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80"/>
        <w:jc w:val="center"/>
      </w:pPr>
      <w:r>
        <w:rPr>
          <w:rFonts w:ascii="Calibri" w:hAnsi="Calibri"/>
          <w:b/>
          <w:i w:val="0"/>
          <w:color w:val="161E44"/>
          <w:sz w:val="44"/>
        </w:rPr>
        <w:t>SPEECH — DEFENSA DEL PROYECTO v4 FINAL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556580"/>
          <w:sz w:val="26"/>
        </w:rPr>
        <w:t>Identificación espacio-temporal de compuestos nutracéuticos en ganado lechero mediante inteligencia artificial</w:t>
      </w:r>
    </w:p>
    <w:p>
      <w:pPr>
        <w:spacing w:before="0" w:after="80"/>
        <w:jc w:val="center"/>
      </w:pPr>
      <w:r>
        <w:rPr>
          <w:rFonts w:ascii="Calibri" w:hAnsi="Calibri"/>
          <w:b w:val="0"/>
          <w:i w:val="0"/>
          <w:color w:val="556580"/>
          <w:sz w:val="22"/>
        </w:rPr>
        <w:t>Equipo 48  |  Tecnológico de Monterrey  |  Junio 2026</w:t>
      </w:r>
    </w:p>
    <w:p>
      <w:pPr>
        <w:spacing w:before="0" w:after="280"/>
        <w:jc w:val="center"/>
      </w:pPr>
      <w:r>
        <w:rPr>
          <w:rFonts w:ascii="Calibri" w:hAnsi="Calibri"/>
          <w:b/>
          <w:i w:val="0"/>
          <w:color w:val="007A4A"/>
          <w:sz w:val="22"/>
        </w:rPr>
        <w:t>17 slides  |  ~12 minutos + 10 min Q&amp;A</w:t>
      </w:r>
    </w:p>
    <w:p>
      <w:pPr>
        <w:spacing w:before="0" w:after="80"/>
        <w:jc w:val="left"/>
      </w:pPr>
      <w:r>
        <w:rPr>
          <w:rFonts w:ascii="Calibri" w:hAnsi="Calibri"/>
          <w:b/>
          <w:i w:val="0"/>
          <w:color w:val="161E44"/>
          <w:sz w:val="24"/>
        </w:rPr>
        <w:t>DIVISIÓN DE ROLES: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01"/>
            <w:shd w:val="clear" w:color="auto" w:fill="1A3C8F"/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PERSONA 1</w:t>
            </w:r>
          </w:p>
        </w:tc>
        <w:tc>
          <w:tcPr>
            <w:tcW w:type="dxa" w:w="1587"/>
          </w:tcPr>
          <w:p>
            <w:r>
              <w:rPr>
                <w:rFonts w:ascii="Calibri" w:hAnsi="Calibri"/>
                <w:b/>
                <w:color w:val="161E44"/>
                <w:sz w:val="22"/>
              </w:rPr>
              <w:t>Slides 1–4</w:t>
            </w:r>
          </w:p>
        </w:tc>
        <w:tc>
          <w:tcPr>
            <w:tcW w:type="dxa" w:w="5499"/>
          </w:tcPr>
          <w:p>
            <w:r>
              <w:rPr>
                <w:rFonts w:ascii="Calibri" w:hAnsi="Calibri"/>
                <w:color w:val="556580"/>
                <w:sz w:val="21"/>
              </w:rPr>
              <w:t>Portada · Agenda · Problemática · EDA  (~3:30 min)</w:t>
            </w:r>
          </w:p>
        </w:tc>
      </w:tr>
      <w:tr>
        <w:tc>
          <w:tcPr>
            <w:tcW w:type="dxa" w:w="1701"/>
            <w:shd w:val="clear" w:color="auto" w:fill="007A4A"/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PERSONA 2</w:t>
            </w:r>
          </w:p>
        </w:tc>
        <w:tc>
          <w:tcPr>
            <w:tcW w:type="dxa" w:w="1587"/>
          </w:tcPr>
          <w:p>
            <w:r>
              <w:rPr>
                <w:rFonts w:ascii="Calibri" w:hAnsi="Calibri"/>
                <w:b/>
                <w:color w:val="161E44"/>
                <w:sz w:val="22"/>
              </w:rPr>
              <w:t>Slides 5–10</w:t>
            </w:r>
          </w:p>
        </w:tc>
        <w:tc>
          <w:tcPr>
            <w:tcW w:type="dxa" w:w="5499"/>
          </w:tcPr>
          <w:p>
            <w:r>
              <w:rPr>
                <w:rFonts w:ascii="Calibri" w:hAnsi="Calibri"/>
                <w:color w:val="556580"/>
                <w:sz w:val="21"/>
              </w:rPr>
              <w:t>Modelos · Stacking · Recomendaciones · Arquitectura GCP · SLOs · Seguridad  (~4:00 min)</w:t>
            </w:r>
          </w:p>
        </w:tc>
      </w:tr>
      <w:tr>
        <w:tc>
          <w:tcPr>
            <w:tcW w:type="dxa" w:w="1701"/>
            <w:shd w:val="clear" w:color="auto" w:fill="7B0099"/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PERSONA 3</w:t>
            </w:r>
          </w:p>
        </w:tc>
        <w:tc>
          <w:tcPr>
            <w:tcW w:type="dxa" w:w="1587"/>
          </w:tcPr>
          <w:p>
            <w:r>
              <w:rPr>
                <w:rFonts w:ascii="Calibri" w:hAnsi="Calibri"/>
                <w:b/>
                <w:color w:val="161E44"/>
                <w:sz w:val="22"/>
              </w:rPr>
              <w:t>Slides 11–17</w:t>
            </w:r>
          </w:p>
        </w:tc>
        <w:tc>
          <w:tcPr>
            <w:tcW w:type="dxa" w:w="5499"/>
          </w:tcPr>
          <w:p>
            <w:r>
              <w:rPr>
                <w:rFonts w:ascii="Calibri" w:hAnsi="Calibri"/>
                <w:color w:val="556580"/>
                <w:sz w:val="21"/>
              </w:rPr>
              <w:t>Handoff · Uso en campo · Costos · Riesgos · Futuros · Go/No-Go · Cierre  (~4:30 min)</w:t>
            </w:r>
          </w:p>
        </w:tc>
      </w:tr>
    </w:tbl>
    <w:p/>
    <w:p>
      <w:pPr>
        <w:spacing w:before="0" w:after="80"/>
        <w:jc w:val="left"/>
      </w:pPr>
      <w:r>
        <w:rPr>
          <w:rFonts w:ascii="Calibri" w:hAnsi="Calibri"/>
          <w:b w:val="0"/>
          <w:i w:val="0"/>
          <w:sz w:val="22"/>
        </w:rPr>
        <w:t>━━━━━━━━━━━━━━━━━━━━━━━━━━━━━━━━━━━━━━━━━━━━━━━━━━━━━━━━━━━━━━━━━━━━━━━━━━━━━━━━━━━━━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D0D8EE"/>
          </w:tcPr>
          <w:p>
            <w:r>
              <w:rPr>
                <w:rFonts w:ascii="Calibri" w:hAnsi="Calibri"/>
                <w:b/>
                <w:color w:val="161E44"/>
                <w:sz w:val="26"/>
              </w:rPr>
              <w:t>▶  PERSONA 1   |   Slides 1–4   |   0:00 – 3:30 min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01"/>
            <w:shd w:val="clear" w:color="auto" w:fill="1A3C8F"/>
          </w:tcPr>
          <w:p>
            <w:r>
              <w:rPr>
                <w:rFonts w:ascii="Calibri" w:hAnsi="Calibri"/>
                <w:b/>
                <w:color w:val="FFFFFF"/>
                <w:sz w:val="21"/>
              </w:rPr>
              <w:t>PERSONA 1</w:t>
            </w:r>
          </w:p>
        </w:tc>
        <w:tc>
          <w:tcPr>
            <w:tcW w:type="dxa" w:w="5102"/>
            <w:shd w:val="clear" w:color="auto" w:fill="161E44"/>
          </w:tcPr>
          <w:p>
            <w:r>
              <w:rPr>
                <w:rFonts w:ascii="Calibri" w:hAnsi="Calibri"/>
                <w:b/>
                <w:color w:val="FFFFFF"/>
                <w:sz w:val="21"/>
              </w:rPr>
              <w:t>Slide 1 | PORTADA</w:t>
            </w:r>
          </w:p>
        </w:tc>
        <w:tc>
          <w:tcPr>
            <w:tcW w:type="dxa" w:w="1984"/>
            <w:shd w:val="clear" w:color="auto" w:fill="EEF2FA"/>
          </w:tcPr>
          <w:p>
            <w:r>
              <w:rPr>
                <w:rFonts w:ascii="Calibri" w:hAnsi="Calibri"/>
                <w:color w:val="161E44"/>
                <w:sz w:val="21"/>
              </w:rPr>
              <w:t>0:00 – 0:30</w:t>
            </w:r>
          </w:p>
        </w:tc>
      </w:tr>
    </w:tbl>
    <w:p>
      <w:pPr>
        <w:spacing w:before="80" w:after="40"/>
        <w:ind w:left="283"/>
      </w:pPr>
      <w:r>
        <w:rPr>
          <w:rFonts w:ascii="Calibri" w:hAnsi="Calibri"/>
          <w:i/>
          <w:color w:val="161E44"/>
          <w:sz w:val="22"/>
        </w:rPr>
        <w:t>"Buenos días. Somos el Equipo 48 del Tecnológico de Monterrey. Hoy les presentamos el resultado de seis meses de trabajo aplicando Machine Learning a un problema real de la industria ganadera: las emisiones de metano en vacas lecheras."</w:t>
      </w:r>
    </w:p>
    <w:p>
      <w:pPr>
        <w:spacing w:before="0" w:after="280"/>
        <w:ind w:left="283"/>
      </w:pPr>
      <w:r>
        <w:rPr>
          <w:rFonts w:ascii="Calibri" w:hAnsi="Calibri"/>
          <w:color w:val="D47000"/>
          <w:sz w:val="19"/>
        </w:rPr>
        <w:t>📌 NOTA: Mirar al jurado. Pausa después de "medio ambiente."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01"/>
            <w:shd w:val="clear" w:color="auto" w:fill="1A3C8F"/>
          </w:tcPr>
          <w:p>
            <w:r>
              <w:rPr>
                <w:rFonts w:ascii="Calibri" w:hAnsi="Calibri"/>
                <w:b/>
                <w:color w:val="FFFFFF"/>
                <w:sz w:val="21"/>
              </w:rPr>
              <w:t>PERSONA 1</w:t>
            </w:r>
          </w:p>
        </w:tc>
        <w:tc>
          <w:tcPr>
            <w:tcW w:type="dxa" w:w="5102"/>
            <w:shd w:val="clear" w:color="auto" w:fill="161E44"/>
          </w:tcPr>
          <w:p>
            <w:r>
              <w:rPr>
                <w:rFonts w:ascii="Calibri" w:hAnsi="Calibri"/>
                <w:b/>
                <w:color w:val="FFFFFF"/>
                <w:sz w:val="21"/>
              </w:rPr>
              <w:t>Slide 2 | AGENDA</w:t>
            </w:r>
          </w:p>
        </w:tc>
        <w:tc>
          <w:tcPr>
            <w:tcW w:type="dxa" w:w="1984"/>
            <w:shd w:val="clear" w:color="auto" w:fill="EEF2FA"/>
          </w:tcPr>
          <w:p>
            <w:r>
              <w:rPr>
                <w:rFonts w:ascii="Calibri" w:hAnsi="Calibri"/>
                <w:color w:val="161E44"/>
                <w:sz w:val="21"/>
              </w:rPr>
              <w:t>0:30 – 0:50</w:t>
            </w:r>
          </w:p>
        </w:tc>
      </w:tr>
    </w:tbl>
    <w:p>
      <w:pPr>
        <w:spacing w:before="80" w:after="40"/>
        <w:ind w:left="283"/>
      </w:pPr>
      <w:r>
        <w:rPr>
          <w:rFonts w:ascii="Calibri" w:hAnsi="Calibri"/>
          <w:i/>
          <w:color w:val="161E44"/>
          <w:sz w:val="22"/>
        </w:rPr>
        <w:t>"En 12 minutos responderemos cuatro preguntas: ¿cuál es el problema? ¿qué encontramos en los datos? ¿cómo funciona la solución y cómo se produce? y ¿por qué esta solución es la correcta para llevar a producción? Comenzamos."</w:t>
      </w:r>
    </w:p>
    <w:p>
      <w:pPr>
        <w:spacing w:before="0" w:after="280"/>
        <w:ind w:left="283"/>
      </w:pPr>
      <w:r>
        <w:rPr>
          <w:rFonts w:ascii="Calibri" w:hAnsi="Calibri"/>
          <w:color w:val="D47000"/>
          <w:sz w:val="19"/>
        </w:rPr>
        <w:t>📌 NOTA: Señalar las secciones en la agenda. No leer la lista completa.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01"/>
            <w:shd w:val="clear" w:color="auto" w:fill="1A3C8F"/>
          </w:tcPr>
          <w:p>
            <w:r>
              <w:rPr>
                <w:rFonts w:ascii="Calibri" w:hAnsi="Calibri"/>
                <w:b/>
                <w:color w:val="FFFFFF"/>
                <w:sz w:val="21"/>
              </w:rPr>
              <w:t>PERSONA 1</w:t>
            </w:r>
          </w:p>
        </w:tc>
        <w:tc>
          <w:tcPr>
            <w:tcW w:type="dxa" w:w="5102"/>
            <w:shd w:val="clear" w:color="auto" w:fill="161E44"/>
          </w:tcPr>
          <w:p>
            <w:r>
              <w:rPr>
                <w:rFonts w:ascii="Calibri" w:hAnsi="Calibri"/>
                <w:b/>
                <w:color w:val="FFFFFF"/>
                <w:sz w:val="21"/>
              </w:rPr>
              <w:t>Slide 3 | PROBLEMÁTICA Y OBJETIVO</w:t>
            </w:r>
          </w:p>
        </w:tc>
        <w:tc>
          <w:tcPr>
            <w:tcW w:type="dxa" w:w="1984"/>
            <w:shd w:val="clear" w:color="auto" w:fill="EEF2FA"/>
          </w:tcPr>
          <w:p>
            <w:r>
              <w:rPr>
                <w:rFonts w:ascii="Calibri" w:hAnsi="Calibri"/>
                <w:color w:val="161E44"/>
                <w:sz w:val="21"/>
              </w:rPr>
              <w:t>0:50 – 2:20</w:t>
            </w:r>
          </w:p>
        </w:tc>
      </w:tr>
    </w:tbl>
    <w:p>
      <w:pPr>
        <w:spacing w:before="80" w:after="40"/>
        <w:ind w:left="283"/>
      </w:pPr>
      <w:r>
        <w:rPr>
          <w:rFonts w:ascii="Calibri" w:hAnsi="Calibri"/>
          <w:i/>
          <w:color w:val="161E44"/>
          <w:sz w:val="22"/>
        </w:rPr>
        <w:t>"El problema tiene dos dimensiones. La ambiental: el ganado bovino genera el 14.5% de los gases de efecto invernadero a nivel mundial. El metano entérico — producido en el rumen de la vaca — es el principal responsable.</w:t>
        <w:br/>
        <w:br/>
        <w:t>La económica: hoy, un veterinario decide cuánto suplemento nutracéutico darle a cada vaca basándose en experiencia y promedios del hato. Eso significa que algunas vacas reciben más de lo que necesitan — dinero perdido — y otras reciben menos — el metano persiste.</w:t>
        <w:br/>
        <w:br/>
        <w:t>Nuestro objetivo fue preciso: construir un modelo que prediga, para cada vaca individual y en tiempo real, cuántos gramos de metano por kilo de leche va a producir. No reactivo. Preventivo."</w:t>
      </w:r>
    </w:p>
    <w:p>
      <w:pPr>
        <w:spacing w:before="0" w:after="280"/>
        <w:ind w:left="283"/>
      </w:pPr>
      <w:r>
        <w:rPr>
          <w:rFonts w:ascii="Calibri" w:hAnsi="Calibri"/>
          <w:color w:val="D47000"/>
          <w:sz w:val="19"/>
        </w:rPr>
        <w:t>📌 NOTA: Énfasis en "individual" y "preventivo" — eso diferencia al ML de los promedios actuales.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01"/>
            <w:shd w:val="clear" w:color="auto" w:fill="1A3C8F"/>
          </w:tcPr>
          <w:p>
            <w:r>
              <w:rPr>
                <w:rFonts w:ascii="Calibri" w:hAnsi="Calibri"/>
                <w:b/>
                <w:color w:val="FFFFFF"/>
                <w:sz w:val="21"/>
              </w:rPr>
              <w:t>PERSONA 1</w:t>
            </w:r>
          </w:p>
        </w:tc>
        <w:tc>
          <w:tcPr>
            <w:tcW w:type="dxa" w:w="5102"/>
            <w:shd w:val="clear" w:color="auto" w:fill="161E44"/>
          </w:tcPr>
          <w:p>
            <w:r>
              <w:rPr>
                <w:rFonts w:ascii="Calibri" w:hAnsi="Calibri"/>
                <w:b/>
                <w:color w:val="FFFFFF"/>
                <w:sz w:val="21"/>
              </w:rPr>
              <w:t>Slide 4 | EDA — HALLAZGOS CLAVE</w:t>
            </w:r>
          </w:p>
        </w:tc>
        <w:tc>
          <w:tcPr>
            <w:tcW w:type="dxa" w:w="1984"/>
            <w:shd w:val="clear" w:color="auto" w:fill="EEF2FA"/>
          </w:tcPr>
          <w:p>
            <w:r>
              <w:rPr>
                <w:rFonts w:ascii="Calibri" w:hAnsi="Calibri"/>
                <w:color w:val="161E44"/>
                <w:sz w:val="21"/>
              </w:rPr>
              <w:t>2:20 – 3:30</w:t>
            </w:r>
          </w:p>
        </w:tc>
      </w:tr>
    </w:tbl>
    <w:p>
      <w:pPr>
        <w:spacing w:before="80" w:after="40"/>
        <w:ind w:left="283"/>
      </w:pPr>
      <w:r>
        <w:rPr>
          <w:rFonts w:ascii="Calibri" w:hAnsi="Calibri"/>
          <w:i/>
          <w:color w:val="161E44"/>
          <w:sz w:val="22"/>
        </w:rPr>
        <w:t>"Trabajamos con 73,000 registros, 100 vacas, 3 razas y 24 meses de datos continuos. ¿Por qué este dataset? Porque tiene variabilidad real: distintas razas, etapas de lactación y patrones estacionales.</w:t>
        <w:br/>
        <w:br/>
        <w:t>Cuatro hallazgos determinaron el diseño del modelo:</w:t>
        <w:br/>
        <w:br/>
        <w:t>Primero: el 23% de las vacas está en nivel crítico de emisión — más de 25 gramos por kilo de leche. Eso representa un 23% de margen de mejora directo.</w:t>
        <w:br/>
        <w:br/>
        <w:t>Segundo: la raza explica el 18% de la variación. Holstein emite 18% menos que Pardo Suizo. No podemos usar un promedio del hato — la raza tiene que ser variable del modelo.</w:t>
        <w:br/>
        <w:br/>
        <w:t>Tercero: correlación de -0.72 entre producción de leche y metano. Las vacas más productivas son las más eficientes metabólicamente — optimizar nutrición mejora ambas cosas.</w:t>
        <w:br/>
        <w:br/>
        <w:t>Cuarto: la ventana de intervención crítica está entre los meses 8 y 14 de lactación. Si intervenimos antes, prevenimos. Si esperamos, solo corregimos."</w:t>
      </w:r>
    </w:p>
    <w:p>
      <w:pPr>
        <w:spacing w:before="0" w:after="280"/>
        <w:ind w:left="283"/>
      </w:pPr>
      <w:r>
        <w:rPr>
          <w:rFonts w:ascii="Calibri" w:hAnsi="Calibri"/>
          <w:color w:val="D47000"/>
          <w:sz w:val="19"/>
        </w:rPr>
        <w:t>📌 NOTA: No leer números de corrido. Decir el hallazgo, pausa, luego el número.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D0D8EE"/>
          </w:tcPr>
          <w:p>
            <w:r>
              <w:rPr>
                <w:rFonts w:ascii="Calibri" w:hAnsi="Calibri"/>
                <w:b/>
                <w:color w:val="161E44"/>
                <w:sz w:val="26"/>
              </w:rPr>
              <w:t>▶  PERSONA 2   |   Slides 5–10   |   3:30 – 7:30 min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01"/>
            <w:shd w:val="clear" w:color="auto" w:fill="007A4A"/>
          </w:tcPr>
          <w:p>
            <w:r>
              <w:rPr>
                <w:rFonts w:ascii="Calibri" w:hAnsi="Calibri"/>
                <w:b/>
                <w:color w:val="FFFFFF"/>
                <w:sz w:val="21"/>
              </w:rPr>
              <w:t>PERSONA 2</w:t>
            </w:r>
          </w:p>
        </w:tc>
        <w:tc>
          <w:tcPr>
            <w:tcW w:type="dxa" w:w="5102"/>
            <w:shd w:val="clear" w:color="auto" w:fill="161E44"/>
          </w:tcPr>
          <w:p>
            <w:r>
              <w:rPr>
                <w:rFonts w:ascii="Calibri" w:hAnsi="Calibri"/>
                <w:b/>
                <w:color w:val="FFFFFF"/>
                <w:sz w:val="21"/>
              </w:rPr>
              <w:t>Slide 5 | MODELOS DESARROLLADOS</w:t>
            </w:r>
          </w:p>
        </w:tc>
        <w:tc>
          <w:tcPr>
            <w:tcW w:type="dxa" w:w="1984"/>
            <w:shd w:val="clear" w:color="auto" w:fill="EEF2FA"/>
          </w:tcPr>
          <w:p>
            <w:r>
              <w:rPr>
                <w:rFonts w:ascii="Calibri" w:hAnsi="Calibri"/>
                <w:color w:val="161E44"/>
                <w:sz w:val="21"/>
              </w:rPr>
              <w:t>3:30 – 4:40</w:t>
            </w:r>
          </w:p>
        </w:tc>
      </w:tr>
    </w:tbl>
    <w:p>
      <w:pPr>
        <w:spacing w:before="80" w:after="40"/>
        <w:ind w:left="283"/>
      </w:pPr>
      <w:r>
        <w:rPr>
          <w:rFonts w:ascii="Calibri" w:hAnsi="Calibri"/>
          <w:i/>
          <w:color w:val="161E44"/>
          <w:sz w:val="22"/>
        </w:rPr>
        <w:t>"Desarrollamos los modelos en tres etapas bajo CRISP-ML(Q).</w:t>
        <w:br/>
        <w:br/>
        <w:t>Empezamos con Ridge Regression como baseline — el punto de referencia que todo lo demás debe superar: RMSE de 0.73. En la segunda etapa probamos cinco modelos distintos para cubrir el espacio de hipótesis: lineal, bayesiano, redes neuronales, árboles, y vecinos más cercanos. El ganador fue el MLP con RMSE de 0.66 — mejora del 9.6%.</w:t>
        <w:br/>
        <w:br/>
        <w:t>En la tercera etapa construimos ensambles. La hipótesis: combinar modelos que fallan de formas distintas produce algo mejor que cualquiera solo. Y así fue."</w:t>
      </w:r>
    </w:p>
    <w:p>
      <w:pPr>
        <w:spacing w:before="0" w:after="280"/>
        <w:ind w:left="283"/>
      </w:pPr>
      <w:r>
        <w:rPr>
          <w:rFonts w:ascii="Calibri" w:hAnsi="Calibri"/>
          <w:color w:val="D47000"/>
          <w:sz w:val="19"/>
        </w:rPr>
        <w:t>📌 NOTA: La progresión 0.73 → 0.66 → 0.61 es la historia del rigor metodológico.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01"/>
            <w:shd w:val="clear" w:color="auto" w:fill="007A4A"/>
          </w:tcPr>
          <w:p>
            <w:r>
              <w:rPr>
                <w:rFonts w:ascii="Calibri" w:hAnsi="Calibri"/>
                <w:b/>
                <w:color w:val="FFFFFF"/>
                <w:sz w:val="21"/>
              </w:rPr>
              <w:t>PERSONA 2</w:t>
            </w:r>
          </w:p>
        </w:tc>
        <w:tc>
          <w:tcPr>
            <w:tcW w:type="dxa" w:w="5102"/>
            <w:shd w:val="clear" w:color="auto" w:fill="161E44"/>
          </w:tcPr>
          <w:p>
            <w:r>
              <w:rPr>
                <w:rFonts w:ascii="Calibri" w:hAnsi="Calibri"/>
                <w:b/>
                <w:color w:val="FFFFFF"/>
                <w:sz w:val="21"/>
              </w:rPr>
              <w:t>Slide 6 | SOLUCIÓN FINAL — STACKING</w:t>
            </w:r>
          </w:p>
        </w:tc>
        <w:tc>
          <w:tcPr>
            <w:tcW w:type="dxa" w:w="1984"/>
            <w:shd w:val="clear" w:color="auto" w:fill="EEF2FA"/>
          </w:tcPr>
          <w:p>
            <w:r>
              <w:rPr>
                <w:rFonts w:ascii="Calibri" w:hAnsi="Calibri"/>
                <w:color w:val="161E44"/>
                <w:sz w:val="21"/>
              </w:rPr>
              <w:t>4:40 – 5:30</w:t>
            </w:r>
          </w:p>
        </w:tc>
      </w:tr>
    </w:tbl>
    <w:p>
      <w:pPr>
        <w:spacing w:before="80" w:after="40"/>
        <w:ind w:left="283"/>
      </w:pPr>
      <w:r>
        <w:rPr>
          <w:rFonts w:ascii="Calibri" w:hAnsi="Calibri"/>
          <w:i/>
          <w:color w:val="161E44"/>
          <w:sz w:val="22"/>
        </w:rPr>
        <w:t>"El StackingRegressor combina tres modelos base con perspectivas distintas:</w:t>
        <w:br/>
        <w:br/>
        <w:t>MLP: captura las relaciones no-lineales entre variables nutricionales.</w:t>
        <w:br/>
        <w:t>BayesianRidge: maneja la incertidumbre con variables correlacionadas.</w:t>
        <w:br/>
        <w:t>ElasticNet: regulariza cuando hay ruido en los sensores.</w:t>
        <w:br/>
        <w:br/>
        <w:t>El meta-modelo Ridge aprende cuánto confiar en cada uno según el tipo de vaca. Resultado: RMSE de 0.6117 — 15.8% mejor que el baseline. R² de 0.9779 — el modelo explica el 97.8% de la variación. Latencia de 7 milisegundos. Tiempo real. Y la diferencia sobre el VotingRegressor fue estadísticamente significativa: p menor a 0.0001."</w:t>
      </w:r>
    </w:p>
    <w:p>
      <w:pPr>
        <w:spacing w:before="0" w:after="280"/>
        <w:ind w:left="283"/>
      </w:pPr>
      <w:r>
        <w:rPr>
          <w:rFonts w:ascii="Calibri" w:hAnsi="Calibri"/>
          <w:color w:val="D47000"/>
          <w:sz w:val="19"/>
        </w:rPr>
        <w:t>📌 NOTA: Si preguntan "¿por qué no XGBoost?": no estaba en el alcance definido en E4.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01"/>
            <w:shd w:val="clear" w:color="auto" w:fill="007A4A"/>
          </w:tcPr>
          <w:p>
            <w:r>
              <w:rPr>
                <w:rFonts w:ascii="Calibri" w:hAnsi="Calibri"/>
                <w:b/>
                <w:color w:val="FFFFFF"/>
                <w:sz w:val="21"/>
              </w:rPr>
              <w:t>PERSONA 2</w:t>
            </w:r>
          </w:p>
        </w:tc>
        <w:tc>
          <w:tcPr>
            <w:tcW w:type="dxa" w:w="5102"/>
            <w:shd w:val="clear" w:color="auto" w:fill="161E44"/>
          </w:tcPr>
          <w:p>
            <w:r>
              <w:rPr>
                <w:rFonts w:ascii="Calibri" w:hAnsi="Calibri"/>
                <w:b/>
                <w:color w:val="FFFFFF"/>
                <w:sz w:val="21"/>
              </w:rPr>
              <w:t>Slide 7 | RECOMENDACIONES</w:t>
            </w:r>
          </w:p>
        </w:tc>
        <w:tc>
          <w:tcPr>
            <w:tcW w:type="dxa" w:w="1984"/>
            <w:shd w:val="clear" w:color="auto" w:fill="EEF2FA"/>
          </w:tcPr>
          <w:p>
            <w:r>
              <w:rPr>
                <w:rFonts w:ascii="Calibri" w:hAnsi="Calibri"/>
                <w:color w:val="161E44"/>
                <w:sz w:val="21"/>
              </w:rPr>
              <w:t>5:30 – 6:10</w:t>
            </w:r>
          </w:p>
        </w:tc>
      </w:tr>
    </w:tbl>
    <w:p>
      <w:pPr>
        <w:spacing w:before="80" w:after="40"/>
        <w:ind w:left="283"/>
      </w:pPr>
      <w:r>
        <w:rPr>
          <w:rFonts w:ascii="Calibri" w:hAnsi="Calibri"/>
          <w:i/>
          <w:color w:val="161E44"/>
          <w:sz w:val="22"/>
        </w:rPr>
        <w:t>"Con el modelo validado, el camino al valor tiene tres fases:</w:t>
        <w:br/>
        <w:br/>
        <w:t>Corto plazo — 3 meses: desplegar la API en GCP, integrar con el sistema de gestión de la granja, y capacitar a los veterinarios.</w:t>
        <w:br/>
        <w:br/>
        <w:t>Mediano plazo — 6 meses: ampliar el dataset a más granjas, automatizar el pipeline de reentrenamiento mensual, y comenzar la certificación de créditos de carbono.</w:t>
        <w:br/>
        <w:br/>
        <w:t>Largo plazo: escalar con sensores IoT y Federated Learning."</w:t>
      </w:r>
    </w:p>
    <w:p>
      <w:pPr>
        <w:spacing w:before="0" w:after="280"/>
        <w:ind w:left="283"/>
      </w:pPr>
      <w:r>
        <w:rPr>
          <w:rFonts w:ascii="Calibri" w:hAnsi="Calibri"/>
          <w:color w:val="D47000"/>
          <w:sz w:val="19"/>
        </w:rPr>
        <w:t>📌 NOTA: Si preguntan timelines: 3 meses para arrancar, 6 meses para escalar, 12 meses para ROI positivo.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01"/>
            <w:shd w:val="clear" w:color="auto" w:fill="007A4A"/>
          </w:tcPr>
          <w:p>
            <w:r>
              <w:rPr>
                <w:rFonts w:ascii="Calibri" w:hAnsi="Calibri"/>
                <w:b/>
                <w:color w:val="FFFFFF"/>
                <w:sz w:val="21"/>
              </w:rPr>
              <w:t>PERSONA 2</w:t>
            </w:r>
          </w:p>
        </w:tc>
        <w:tc>
          <w:tcPr>
            <w:tcW w:type="dxa" w:w="5102"/>
            <w:shd w:val="clear" w:color="auto" w:fill="161E44"/>
          </w:tcPr>
          <w:p>
            <w:r>
              <w:rPr>
                <w:rFonts w:ascii="Calibri" w:hAnsi="Calibri"/>
                <w:b/>
                <w:color w:val="FFFFFF"/>
                <w:sz w:val="21"/>
              </w:rPr>
              <w:t>Slide 8 | ARQUITECTURA GCP (NUEVA)</w:t>
            </w:r>
          </w:p>
        </w:tc>
        <w:tc>
          <w:tcPr>
            <w:tcW w:type="dxa" w:w="1984"/>
            <w:shd w:val="clear" w:color="auto" w:fill="EEF2FA"/>
          </w:tcPr>
          <w:p>
            <w:r>
              <w:rPr>
                <w:rFonts w:ascii="Calibri" w:hAnsi="Calibri"/>
                <w:color w:val="161E44"/>
                <w:sz w:val="21"/>
              </w:rPr>
              <w:t>6:10 – 6:50</w:t>
            </w:r>
          </w:p>
        </w:tc>
      </w:tr>
    </w:tbl>
    <w:p>
      <w:pPr>
        <w:spacing w:before="80" w:after="40"/>
        <w:ind w:left="283"/>
      </w:pPr>
      <w:r>
        <w:rPr>
          <w:rFonts w:ascii="Calibri" w:hAnsi="Calibri"/>
          <w:i/>
          <w:color w:val="161E44"/>
          <w:sz w:val="22"/>
        </w:rPr>
        <w:t>"¿Cómo se ve el sistema en producción? Cuatro capas:</w:t>
        <w:br/>
        <w:br/>
        <w:t>El veterinario usa una interfaz web en Firebase — gratuita — o en el futuro una app móvil. Ingresa los datos de la vaca y recibe la predicción en menos de un segundo.</w:t>
        <w:br/>
        <w:br/>
        <w:t>La API corre en Cloud Run — serverless, escala de cero a diez instancias automáticamente. FastAPI containerizada en Docker. HTTPS con TLS 1.3 y autenticación JWT.</w:t>
        <w:br/>
        <w:br/>
        <w:t>El modelo vive en Vertex AI. Reentrenamiento mensual automático con drift detection. Versionado con rollback inmediato si el nuevo modelo es peor.</w:t>
        <w:br/>
        <w:br/>
        <w:t>Los datos en Cloud SQL y Storage, y todo monitoreado en Cloud Monitoring. Costo total de infraestructura: $732 al año."</w:t>
      </w:r>
    </w:p>
    <w:p>
      <w:pPr>
        <w:spacing w:before="0" w:after="280"/>
        <w:ind w:left="283"/>
      </w:pPr>
      <w:r>
        <w:rPr>
          <w:rFonts w:ascii="Calibri" w:hAnsi="Calibri"/>
          <w:color w:val="D47000"/>
          <w:sz w:val="19"/>
        </w:rPr>
        <w:t>📌 NOTA: Esta slide responde "¿cómo funciona técnicamente?" — la más importante para el jurado técnico.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01"/>
            <w:shd w:val="clear" w:color="auto" w:fill="007A4A"/>
          </w:tcPr>
          <w:p>
            <w:r>
              <w:rPr>
                <w:rFonts w:ascii="Calibri" w:hAnsi="Calibri"/>
                <w:b/>
                <w:color w:val="FFFFFF"/>
                <w:sz w:val="21"/>
              </w:rPr>
              <w:t>PERSONA 2</w:t>
            </w:r>
          </w:p>
        </w:tc>
        <w:tc>
          <w:tcPr>
            <w:tcW w:type="dxa" w:w="5102"/>
            <w:shd w:val="clear" w:color="auto" w:fill="161E44"/>
          </w:tcPr>
          <w:p>
            <w:r>
              <w:rPr>
                <w:rFonts w:ascii="Calibri" w:hAnsi="Calibri"/>
                <w:b/>
                <w:color w:val="FFFFFF"/>
                <w:sz w:val="21"/>
              </w:rPr>
              <w:t>Slide 9 | SLOs Y MONITOREO</w:t>
            </w:r>
          </w:p>
        </w:tc>
        <w:tc>
          <w:tcPr>
            <w:tcW w:type="dxa" w:w="1984"/>
            <w:shd w:val="clear" w:color="auto" w:fill="EEF2FA"/>
          </w:tcPr>
          <w:p>
            <w:r>
              <w:rPr>
                <w:rFonts w:ascii="Calibri" w:hAnsi="Calibri"/>
                <w:color w:val="161E44"/>
                <w:sz w:val="21"/>
              </w:rPr>
              <w:t>6:50 – 7:20</w:t>
            </w:r>
          </w:p>
        </w:tc>
      </w:tr>
    </w:tbl>
    <w:p>
      <w:pPr>
        <w:spacing w:before="80" w:after="40"/>
        <w:ind w:left="283"/>
      </w:pPr>
      <w:r>
        <w:rPr>
          <w:rFonts w:ascii="Calibri" w:hAnsi="Calibri"/>
          <w:i/>
          <w:color w:val="161E44"/>
          <w:sz w:val="22"/>
        </w:rPr>
        <w:t>"Desplegar es solo el inicio. ¿Cómo garantizamos que sigue funcionando?</w:t>
        <w:br/>
        <w:br/>
        <w:t>Tres niveles de latencia: P50 menor a 50ms, P95 menor a 200ms, P99 menor a 500ms. Uptime de 99.5% — máximo 44 horas de inactividad al año.</w:t>
        <w:br/>
        <w:br/>
        <w:t>Para el modelo: si el RMSE sube más del 10% sobre la línea base, o si el test KS detecta drift estadístico en los datos de entrada, se dispara automáticamente el pipeline de reentrenamiento. Sin intervención manual."</w:t>
      </w:r>
    </w:p>
    <w:p>
      <w:pPr>
        <w:spacing w:before="0" w:after="280"/>
        <w:ind w:left="283"/>
      </w:pPr>
      <w:r>
        <w:rPr>
          <w:rFonts w:ascii="Calibri" w:hAnsi="Calibri"/>
          <w:color w:val="D47000"/>
          <w:sz w:val="19"/>
        </w:rPr>
        <w:t>📌 NOTA: Si preguntan "¿por qué 99.5% y no 99.9%?": 99.9% requiere multi-región, 4x más caro. 99.5% es el estándar para sistemas no críticos.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01"/>
            <w:shd w:val="clear" w:color="auto" w:fill="007A4A"/>
          </w:tcPr>
          <w:p>
            <w:r>
              <w:rPr>
                <w:rFonts w:ascii="Calibri" w:hAnsi="Calibri"/>
                <w:b/>
                <w:color w:val="FFFFFF"/>
                <w:sz w:val="21"/>
              </w:rPr>
              <w:t>PERSONA 2</w:t>
            </w:r>
          </w:p>
        </w:tc>
        <w:tc>
          <w:tcPr>
            <w:tcW w:type="dxa" w:w="5102"/>
            <w:shd w:val="clear" w:color="auto" w:fill="161E44"/>
          </w:tcPr>
          <w:p>
            <w:r>
              <w:rPr>
                <w:rFonts w:ascii="Calibri" w:hAnsi="Calibri"/>
                <w:b/>
                <w:color w:val="FFFFFF"/>
                <w:sz w:val="21"/>
              </w:rPr>
              <w:t>Slide 10 | SEGURIDAD Y COMPLIANCE</w:t>
            </w:r>
          </w:p>
        </w:tc>
        <w:tc>
          <w:tcPr>
            <w:tcW w:type="dxa" w:w="1984"/>
            <w:shd w:val="clear" w:color="auto" w:fill="EEF2FA"/>
          </w:tcPr>
          <w:p>
            <w:r>
              <w:rPr>
                <w:rFonts w:ascii="Calibri" w:hAnsi="Calibri"/>
                <w:color w:val="161E44"/>
                <w:sz w:val="21"/>
              </w:rPr>
              <w:t>7:20 – 7:30</w:t>
            </w:r>
          </w:p>
        </w:tc>
      </w:tr>
    </w:tbl>
    <w:p>
      <w:pPr>
        <w:spacing w:before="80" w:after="40"/>
        <w:ind w:left="283"/>
      </w:pPr>
      <w:r>
        <w:rPr>
          <w:rFonts w:ascii="Calibri" w:hAnsi="Calibri"/>
          <w:i/>
          <w:color w:val="161E44"/>
          <w:sz w:val="22"/>
        </w:rPr>
        <w:t>"La seguridad está integrada desde el diseño, no agregada al final.</w:t>
        <w:br/>
        <w:br/>
        <w:t>Cinco roles IAM con principio de mínimo privilegio: desde el administrador ML hasta un auditor de solo lectura para cumplimiento regulatorio.</w:t>
        <w:br/>
        <w:br/>
        <w:t>Un punto clave: la Ley Federal de Protección de Datos Personales — LFPDPPP — aplica cuando almacenamos nombres de veterinarios o propietarios. Nuestra arquitectura minimiza PII: el sistema trabaja con ID anónimo de vaca."</w:t>
      </w:r>
    </w:p>
    <w:p>
      <w:pPr>
        <w:spacing w:before="0" w:after="280"/>
        <w:ind w:left="283"/>
      </w:pPr>
      <w:r>
        <w:rPr>
          <w:rFonts w:ascii="Calibri" w:hAnsi="Calibri"/>
          <w:color w:val="D47000"/>
          <w:sz w:val="19"/>
        </w:rPr>
        <w:t>📌 NOTA: P3 puede retomar esta slide con más detalle si el jurado pregunta en Q&amp;A.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D0D8EE"/>
          </w:tcPr>
          <w:p>
            <w:r>
              <w:rPr>
                <w:rFonts w:ascii="Calibri" w:hAnsi="Calibri"/>
                <w:b/>
                <w:color w:val="161E44"/>
                <w:sz w:val="26"/>
              </w:rPr>
              <w:t>▶  PERSONA 3   |   Slides 11–17   |   7:30 – 12:00 min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01"/>
            <w:shd w:val="clear" w:color="auto" w:fill="7B0099"/>
          </w:tcPr>
          <w:p>
            <w:r>
              <w:rPr>
                <w:rFonts w:ascii="Calibri" w:hAnsi="Calibri"/>
                <w:b/>
                <w:color w:val="FFFFFF"/>
                <w:sz w:val="21"/>
              </w:rPr>
              <w:t>PERSONA 3</w:t>
            </w:r>
          </w:p>
        </w:tc>
        <w:tc>
          <w:tcPr>
            <w:tcW w:type="dxa" w:w="5102"/>
            <w:shd w:val="clear" w:color="auto" w:fill="161E44"/>
          </w:tcPr>
          <w:p>
            <w:r>
              <w:rPr>
                <w:rFonts w:ascii="Calibri" w:hAnsi="Calibri"/>
                <w:b/>
                <w:color w:val="FFFFFF"/>
                <w:sz w:val="21"/>
              </w:rPr>
              <w:t>Slide 11 | HANDOFF Y OPERACIONES</w:t>
            </w:r>
          </w:p>
        </w:tc>
        <w:tc>
          <w:tcPr>
            <w:tcW w:type="dxa" w:w="1984"/>
            <w:shd w:val="clear" w:color="auto" w:fill="EEF2FA"/>
          </w:tcPr>
          <w:p>
            <w:r>
              <w:rPr>
                <w:rFonts w:ascii="Calibri" w:hAnsi="Calibri"/>
                <w:color w:val="161E44"/>
                <w:sz w:val="21"/>
              </w:rPr>
              <w:t>7:30 – 8:10</w:t>
            </w:r>
          </w:p>
        </w:tc>
      </w:tr>
    </w:tbl>
    <w:p>
      <w:pPr>
        <w:spacing w:before="80" w:after="40"/>
        <w:ind w:left="283"/>
      </w:pPr>
      <w:r>
        <w:rPr>
          <w:rFonts w:ascii="Calibri" w:hAnsi="Calibri"/>
          <w:i/>
          <w:color w:val="161E44"/>
          <w:sz w:val="22"/>
        </w:rPr>
        <w:t>"Uno de los puntos del feedback de la entrega anterior fue la sostenibilidad operativa — ¿qué pasa cuando el equipo del Tec ya no está?</w:t>
        <w:br/>
        <w:br/>
        <w:t>La respuesta son cuatro entregables concretos: Infraestructura como Código con Terraform — 7 módulos que reproducen todo el stack en 15 minutos. Runbook con 6 procedimientos documentados: deploy, rollback, escalado, reentrenamiento, incident response y decommissioning. Plan de Knowledge Transfer de 3 sesiones (4h, 2h y 3h según tema). Y un plan de decommissioning con archivo de evidencia por 5 años según LFPDPPP."</w:t>
      </w:r>
    </w:p>
    <w:p>
      <w:pPr>
        <w:spacing w:before="0" w:after="280"/>
        <w:ind w:left="283"/>
      </w:pPr>
      <w:r>
        <w:rPr>
          <w:rFonts w:ascii="Calibri" w:hAnsi="Calibri"/>
          <w:color w:val="D47000"/>
          <w:sz w:val="19"/>
        </w:rPr>
        <w:t>📌 NOTA: Mencionar que este contenido incorpora directamente el feedback de E6.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01"/>
            <w:shd w:val="clear" w:color="auto" w:fill="7B0099"/>
          </w:tcPr>
          <w:p>
            <w:r>
              <w:rPr>
                <w:rFonts w:ascii="Calibri" w:hAnsi="Calibri"/>
                <w:b/>
                <w:color w:val="FFFFFF"/>
                <w:sz w:val="21"/>
              </w:rPr>
              <w:t>PERSONA 3</w:t>
            </w:r>
          </w:p>
        </w:tc>
        <w:tc>
          <w:tcPr>
            <w:tcW w:type="dxa" w:w="5102"/>
            <w:shd w:val="clear" w:color="auto" w:fill="161E44"/>
          </w:tcPr>
          <w:p>
            <w:r>
              <w:rPr>
                <w:rFonts w:ascii="Calibri" w:hAnsi="Calibri"/>
                <w:b/>
                <w:color w:val="FFFFFF"/>
                <w:sz w:val="21"/>
              </w:rPr>
              <w:t>Slide 12 | EJEMPLO DE USO EN CAMPO (NUEVA)</w:t>
            </w:r>
          </w:p>
        </w:tc>
        <w:tc>
          <w:tcPr>
            <w:tcW w:type="dxa" w:w="1984"/>
            <w:shd w:val="clear" w:color="auto" w:fill="EEF2FA"/>
          </w:tcPr>
          <w:p>
            <w:r>
              <w:rPr>
                <w:rFonts w:ascii="Calibri" w:hAnsi="Calibri"/>
                <w:color w:val="161E44"/>
                <w:sz w:val="21"/>
              </w:rPr>
              <w:t>8:10 – 8:50</w:t>
            </w:r>
          </w:p>
        </w:tc>
      </w:tr>
    </w:tbl>
    <w:p>
      <w:pPr>
        <w:spacing w:before="80" w:after="40"/>
        <w:ind w:left="283"/>
      </w:pPr>
      <w:r>
        <w:rPr>
          <w:rFonts w:ascii="Calibri" w:hAnsi="Calibri"/>
          <w:i/>
          <w:color w:val="161E44"/>
          <w:sz w:val="22"/>
        </w:rPr>
        <w:t>"¿Y en la práctica, cómo lo usa el veterinario?</w:t>
        <w:br/>
        <w:br/>
        <w:t>Paso 1: ingresa el ID de la vaca, el mes de lactación, los litros producidos ese día y la raza.</w:t>
        <w:br/>
        <w:t>Paso 2: la API recibe los datos y el StackingRegressor predice en 7 milisegundos.</w:t>
        <w:br/>
        <w:t>Paso 3: el sistema responde "Vaca #A47 → 18.3 gramos de metano por kilo de leche — nivel MEDIO."</w:t>
        <w:br/>
        <w:t>Paso 4: recomendación automática: "Reducir dosis de nutracéutico 15%. Re-evaluar en 7 días."</w:t>
        <w:br/>
        <w:br/>
        <w:t>La diferencia con el sistema actual: sin el modelo, esa vaca recibiría la misma dosis estándar que las otras 99. Con el modelo, recibe la dosis que necesita. Eso, multiplicado por 100 vacas al año, son $10,000 de ahorro directo."</w:t>
      </w:r>
    </w:p>
    <w:p>
      <w:pPr>
        <w:spacing w:before="0" w:after="280"/>
        <w:ind w:left="283"/>
      </w:pPr>
      <w:r>
        <w:rPr>
          <w:rFonts w:ascii="Calibri" w:hAnsi="Calibri"/>
          <w:color w:val="D47000"/>
          <w:sz w:val="19"/>
        </w:rPr>
        <w:t>📌 NOTA: Esta slide es la más entendible para el jurado no técnico. Hablar con calma, dar tiempo a que asimilen.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01"/>
            <w:shd w:val="clear" w:color="auto" w:fill="7B0099"/>
          </w:tcPr>
          <w:p>
            <w:r>
              <w:rPr>
                <w:rFonts w:ascii="Calibri" w:hAnsi="Calibri"/>
                <w:b/>
                <w:color w:val="FFFFFF"/>
                <w:sz w:val="21"/>
              </w:rPr>
              <w:t>PERSONA 3</w:t>
            </w:r>
          </w:p>
        </w:tc>
        <w:tc>
          <w:tcPr>
            <w:tcW w:type="dxa" w:w="5102"/>
            <w:shd w:val="clear" w:color="auto" w:fill="161E44"/>
          </w:tcPr>
          <w:p>
            <w:r>
              <w:rPr>
                <w:rFonts w:ascii="Calibri" w:hAnsi="Calibri"/>
                <w:b/>
                <w:color w:val="FFFFFF"/>
                <w:sz w:val="21"/>
              </w:rPr>
              <w:t>Slide 13 | ANÁLISIS COSTO-BENEFICIO</w:t>
            </w:r>
          </w:p>
        </w:tc>
        <w:tc>
          <w:tcPr>
            <w:tcW w:type="dxa" w:w="1984"/>
            <w:shd w:val="clear" w:color="auto" w:fill="EEF2FA"/>
          </w:tcPr>
          <w:p>
            <w:r>
              <w:rPr>
                <w:rFonts w:ascii="Calibri" w:hAnsi="Calibri"/>
                <w:color w:val="161E44"/>
                <w:sz w:val="21"/>
              </w:rPr>
              <w:t>8:50 – 9:30</w:t>
            </w:r>
          </w:p>
        </w:tc>
      </w:tr>
    </w:tbl>
    <w:p>
      <w:pPr>
        <w:spacing w:before="80" w:after="40"/>
        <w:ind w:left="283"/>
      </w:pPr>
      <w:r>
        <w:rPr>
          <w:rFonts w:ascii="Calibri" w:hAnsi="Calibri"/>
          <w:i/>
          <w:color w:val="161E44"/>
          <w:sz w:val="22"/>
        </w:rPr>
        <w:t>"Los números son claros. Costo total del primer año: $5,952 dólares, desglosado por fase CRISP-ML:</w:t>
        <w:br/>
        <w:br/>
        <w:t>$800 adquisición de datos, $3,200 desarrollo e integración, $732 de infraestructura GCP — calculado con la herramienta oficial de GCP para 500 predicciones diarias — $500 capacitación y $720 de mantenimiento anual.</w:t>
        <w:br/>
        <w:br/>
        <w:t>Los beneficios estimados son $14,800 en el primer año. $10,000 por dosificación óptima de nutracéutico. $2,500 por eficiencia productiva — +1% de producción a precio FIRA. $1,500 en créditos de carbono a $30 por tonelada. Y $800 por reducción de consultas veterinarias de emergencia.</w:t>
        <w:br/>
        <w:br/>
        <w:t>ROI del 149%. El proyecto se recupera en aproximadamente 5 meses."</w:t>
      </w:r>
    </w:p>
    <w:p>
      <w:pPr>
        <w:spacing w:before="0" w:after="280"/>
        <w:ind w:left="283"/>
      </w:pPr>
      <w:r>
        <w:rPr>
          <w:rFonts w:ascii="Calibri" w:hAnsi="Calibri"/>
          <w:color w:val="D47000"/>
          <w:sz w:val="19"/>
        </w:rPr>
        <w:t>📌 NOTA: Si preguntan "¿de dónde salen los beneficios?": son supuestos racionales documentados en sección 5.1 del resumen ejecutivo. Cada número tiene una fórmula trazable.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01"/>
            <w:shd w:val="clear" w:color="auto" w:fill="7B0099"/>
          </w:tcPr>
          <w:p>
            <w:r>
              <w:rPr>
                <w:rFonts w:ascii="Calibri" w:hAnsi="Calibri"/>
                <w:b/>
                <w:color w:val="FFFFFF"/>
                <w:sz w:val="21"/>
              </w:rPr>
              <w:t>PERSONA 3</w:t>
            </w:r>
          </w:p>
        </w:tc>
        <w:tc>
          <w:tcPr>
            <w:tcW w:type="dxa" w:w="5102"/>
            <w:shd w:val="clear" w:color="auto" w:fill="161E44"/>
          </w:tcPr>
          <w:p>
            <w:r>
              <w:rPr>
                <w:rFonts w:ascii="Calibri" w:hAnsi="Calibri"/>
                <w:b/>
                <w:color w:val="FFFFFF"/>
                <w:sz w:val="21"/>
              </w:rPr>
              <w:t>Slide 14 | RIESGOS Y DESAFÍOS</w:t>
            </w:r>
          </w:p>
        </w:tc>
        <w:tc>
          <w:tcPr>
            <w:tcW w:type="dxa" w:w="1984"/>
            <w:shd w:val="clear" w:color="auto" w:fill="EEF2FA"/>
          </w:tcPr>
          <w:p>
            <w:r>
              <w:rPr>
                <w:rFonts w:ascii="Calibri" w:hAnsi="Calibri"/>
                <w:color w:val="161E44"/>
                <w:sz w:val="21"/>
              </w:rPr>
              <w:t>9:30 – 10:10</w:t>
            </w:r>
          </w:p>
        </w:tc>
      </w:tr>
    </w:tbl>
    <w:p>
      <w:pPr>
        <w:spacing w:before="80" w:after="40"/>
        <w:ind w:left="283"/>
      </w:pPr>
      <w:r>
        <w:rPr>
          <w:rFonts w:ascii="Calibri" w:hAnsi="Calibri"/>
          <w:i/>
          <w:color w:val="161E44"/>
          <w:sz w:val="22"/>
        </w:rPr>
        <w:t>"Clasificamos los riesgos en cuatro categorías.</w:t>
        <w:br/>
        <w:br/>
        <w:t>Datos: sesgo de sensores y drift estacional — mitigado con pipeline de validación automática y reentrenamiento trimestral.</w:t>
        <w:br/>
        <w:br/>
        <w:t>Seguridad: ataques adversariales y data poisoning — mitigado con validación estadística de entradas y firma digital del artefacto de modelo.</w:t>
        <w:br/>
        <w:br/>
        <w:t>Confianza: si los veterinarios no confían en las predicciones, no las usan. Este es el riesgo de mayor impacto. Lo mitigamos con SHAP — el modelo explica en lenguaje natural por qué predice lo que predice — y con un período de shadow mode de 4 semanas donde el modelo corre en paralelo sin reemplazar las decisiones del veterinario.</w:t>
        <w:br/>
        <w:br/>
        <w:t>Cumplimiento regulatorio: LFPDPPP si se captura PII — mitigado con minimización de datos y aviso de privacidad activado condicionalmente."</w:t>
      </w:r>
    </w:p>
    <w:p>
      <w:pPr>
        <w:spacing w:before="0" w:after="280"/>
        <w:ind w:left="283"/>
      </w:pPr>
      <w:r>
        <w:rPr>
          <w:rFonts w:ascii="Calibri" w:hAnsi="Calibri"/>
          <w:color w:val="D47000"/>
          <w:sz w:val="19"/>
        </w:rPr>
        <w:t>📌 NOTA: El riesgo de adopción (confianza) es el más importante de mencionar con énfasis.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01"/>
            <w:shd w:val="clear" w:color="auto" w:fill="7B0099"/>
          </w:tcPr>
          <w:p>
            <w:r>
              <w:rPr>
                <w:rFonts w:ascii="Calibri" w:hAnsi="Calibri"/>
                <w:b/>
                <w:color w:val="FFFFFF"/>
                <w:sz w:val="21"/>
              </w:rPr>
              <w:t>PERSONA 3</w:t>
            </w:r>
          </w:p>
        </w:tc>
        <w:tc>
          <w:tcPr>
            <w:tcW w:type="dxa" w:w="5102"/>
            <w:shd w:val="clear" w:color="auto" w:fill="161E44"/>
          </w:tcPr>
          <w:p>
            <w:r>
              <w:rPr>
                <w:rFonts w:ascii="Calibri" w:hAnsi="Calibri"/>
                <w:b/>
                <w:color w:val="FFFFFF"/>
                <w:sz w:val="21"/>
              </w:rPr>
              <w:t>Slide 15 | TRABAJOS FUTUROS</w:t>
            </w:r>
          </w:p>
        </w:tc>
        <w:tc>
          <w:tcPr>
            <w:tcW w:type="dxa" w:w="1984"/>
            <w:shd w:val="clear" w:color="auto" w:fill="EEF2FA"/>
          </w:tcPr>
          <w:p>
            <w:r>
              <w:rPr>
                <w:rFonts w:ascii="Calibri" w:hAnsi="Calibri"/>
                <w:color w:val="161E44"/>
                <w:sz w:val="21"/>
              </w:rPr>
              <w:t>10:10 – 10:40</w:t>
            </w:r>
          </w:p>
        </w:tc>
      </w:tr>
    </w:tbl>
    <w:p>
      <w:pPr>
        <w:spacing w:before="80" w:after="40"/>
        <w:ind w:left="283"/>
      </w:pPr>
      <w:r>
        <w:rPr>
          <w:rFonts w:ascii="Calibri" w:hAnsi="Calibri"/>
          <w:i/>
          <w:color w:val="161E44"/>
          <w:sz w:val="22"/>
        </w:rPr>
        <w:t>"Esto es un punto de partida sólido. Las siguientes versiones contemplan:</w:t>
        <w:br/>
        <w:br/>
        <w:t>AutoML con XGBoost y LightGBM para explorar el espacio de modelos más amplio. Sensores IoT para predicción continua sin intervención manual. Federated Learning para escalar a múltiples granjas sin centralizar datos. Certificación automática de créditos de carbono con trazabilidad. Y un dashboard predictivo avanzado con historico por vaca y reportes automatizados."</w:t>
      </w:r>
    </w:p>
    <w:p>
      <w:pPr>
        <w:spacing w:before="0" w:after="240"/>
        <w:jc w:val="left"/>
      </w:pPr>
      <w:r>
        <w:rPr>
          <w:rFonts w:ascii="Calibri" w:hAnsi="Calibri"/>
          <w:b w:val="0"/>
          <w:i w:val="0"/>
          <w:sz w:val="22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01"/>
            <w:shd w:val="clear" w:color="auto" w:fill="7B0099"/>
          </w:tcPr>
          <w:p>
            <w:r>
              <w:rPr>
                <w:rFonts w:ascii="Calibri" w:hAnsi="Calibri"/>
                <w:b/>
                <w:color w:val="FFFFFF"/>
                <w:sz w:val="21"/>
              </w:rPr>
              <w:t>PERSONA 3</w:t>
            </w:r>
          </w:p>
        </w:tc>
        <w:tc>
          <w:tcPr>
            <w:tcW w:type="dxa" w:w="5102"/>
            <w:shd w:val="clear" w:color="auto" w:fill="161E44"/>
          </w:tcPr>
          <w:p>
            <w:r>
              <w:rPr>
                <w:rFonts w:ascii="Calibri" w:hAnsi="Calibri"/>
                <w:b/>
                <w:color w:val="FFFFFF"/>
                <w:sz w:val="21"/>
              </w:rPr>
              <w:t>Slide 16 | CRITERIOS GO/NO-GO (NUEVA)</w:t>
            </w:r>
          </w:p>
        </w:tc>
        <w:tc>
          <w:tcPr>
            <w:tcW w:type="dxa" w:w="1984"/>
            <w:shd w:val="clear" w:color="auto" w:fill="EEF2FA"/>
          </w:tcPr>
          <w:p>
            <w:r>
              <w:rPr>
                <w:rFonts w:ascii="Calibri" w:hAnsi="Calibri"/>
                <w:color w:val="161E44"/>
                <w:sz w:val="21"/>
              </w:rPr>
              <w:t>10:40 – 11:20</w:t>
            </w:r>
          </w:p>
        </w:tc>
      </w:tr>
    </w:tbl>
    <w:p>
      <w:pPr>
        <w:spacing w:before="80" w:after="40"/>
        <w:ind w:left="283"/>
      </w:pPr>
      <w:r>
        <w:rPr>
          <w:rFonts w:ascii="Calibri" w:hAnsi="Calibri"/>
          <w:i/>
          <w:color w:val="161E44"/>
          <w:sz w:val="22"/>
        </w:rPr>
        <w:t>"Antes de la decisión final, presentamos la validación formal contra los 9 criterios de éxito definidos en CRISP-ML(Q):</w:t>
        <w:br/>
        <w:br/>
        <w:t>Precisión: RMSE 0.6117 cumple el umbral de 0.75. R² de 0.9779 supera el 0.95. Latencia de 7 milisegundos supera el umbral de 100ms.</w:t>
        <w:br/>
        <w:br/>
        <w:t>Infraestructura: GCP evaluada con score 8.85. SLO de uptime 99.5% definido. Pipeline de reentrenamiento automático configurado.</w:t>
        <w:br/>
        <w:br/>
        <w:t>Seguridad: 5 roles IAM implementados. Compliance LFPDPPP trazado. Incident response de 7 fases documentado.</w:t>
        <w:br/>
        <w:br/>
        <w:t>Viabilidad: ROI del 149%. Plan de handoff con Terraform y Runbook. 8 riesgos clasificados en 4 categorías con mitigaciones activas.</w:t>
        <w:br/>
        <w:br/>
        <w:t>Nueve de nueve criterios: GO."</w:t>
      </w:r>
    </w:p>
    <w:p>
      <w:pPr>
        <w:spacing w:before="0" w:after="280"/>
        <w:ind w:left="283"/>
      </w:pPr>
      <w:r>
        <w:rPr>
          <w:rFonts w:ascii="Calibri" w:hAnsi="Calibri"/>
          <w:color w:val="D47000"/>
          <w:sz w:val="19"/>
        </w:rPr>
        <w:t>📌 NOTA: Hablar con seguridad. Cada criterio tiene su evidencia en los documentos entregados.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01"/>
            <w:shd w:val="clear" w:color="auto" w:fill="7B0099"/>
          </w:tcPr>
          <w:p>
            <w:r>
              <w:rPr>
                <w:rFonts w:ascii="Calibri" w:hAnsi="Calibri"/>
                <w:b/>
                <w:color w:val="FFFFFF"/>
                <w:sz w:val="21"/>
              </w:rPr>
              <w:t>PERSONA 3</w:t>
            </w:r>
          </w:p>
        </w:tc>
        <w:tc>
          <w:tcPr>
            <w:tcW w:type="dxa" w:w="5102"/>
            <w:shd w:val="clear" w:color="auto" w:fill="161E44"/>
          </w:tcPr>
          <w:p>
            <w:r>
              <w:rPr>
                <w:rFonts w:ascii="Calibri" w:hAnsi="Calibri"/>
                <w:b/>
                <w:color w:val="FFFFFF"/>
                <w:sz w:val="21"/>
              </w:rPr>
              <w:t>Slide 17 | CIERRE — DECISIÓN GO</w:t>
            </w:r>
          </w:p>
        </w:tc>
        <w:tc>
          <w:tcPr>
            <w:tcW w:type="dxa" w:w="1984"/>
            <w:shd w:val="clear" w:color="auto" w:fill="EEF2FA"/>
          </w:tcPr>
          <w:p>
            <w:r>
              <w:rPr>
                <w:rFonts w:ascii="Calibri" w:hAnsi="Calibri"/>
                <w:color w:val="161E44"/>
                <w:sz w:val="21"/>
              </w:rPr>
              <w:t>11:20 – 11:45</w:t>
            </w:r>
          </w:p>
        </w:tc>
      </w:tr>
    </w:tbl>
    <w:p>
      <w:pPr>
        <w:spacing w:before="80" w:after="40"/>
        <w:ind w:left="283"/>
      </w:pPr>
      <w:r>
        <w:rPr>
          <w:rFonts w:ascii="Calibri" w:hAnsi="Calibri"/>
          <w:i/>
          <w:color w:val="161E44"/>
          <w:sz w:val="22"/>
        </w:rPr>
        <w:t>"La decisión que fundamentamos a lo largo de este proyecto es GO.</w:t>
        <w:br/>
        <w:br/>
        <w:t>El StackingRegressor es preciso, rápido, interpretable y rentable. Está documentado, asegurado y listo para operar. Y está respaldado por la evidencia de 9 criterios de éxito cumplidos.</w:t>
        <w:br/>
        <w:br/>
        <w:t>Equipo 48 está listo para responder sus preguntas. Muchas gracias."</w:t>
      </w:r>
    </w:p>
    <w:p>
      <w:pPr>
        <w:spacing w:before="0" w:after="280"/>
        <w:ind w:left="283"/>
      </w:pPr>
      <w:r>
        <w:rPr>
          <w:rFonts w:ascii="Calibri" w:hAnsi="Calibri"/>
          <w:color w:val="D47000"/>
          <w:sz w:val="19"/>
        </w:rPr>
        <w:t>📌 NOTA: Terminar con contacto visual. Esperar en silencio. NO agregar más información.</w:t>
      </w:r>
    </w:p>
    <w:p/>
    <w:p>
      <w:pPr>
        <w:spacing w:before="0" w:after="80"/>
        <w:jc w:val="left"/>
      </w:pPr>
      <w:r>
        <w:rPr>
          <w:rFonts w:ascii="Calibri" w:hAnsi="Calibri"/>
          <w:b w:val="0"/>
          <w:i w:val="0"/>
          <w:sz w:val="22"/>
        </w:rPr>
        <w:t>━━━━━━━━━━━━━━━━━━━━━━━━━━━━━━━━━━━━━━━━━━━━━━━━━━━━━━━━━━━━━━━━━━━━━━━━━━━━━━━━━━━━━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before="200" w:after="120"/>
        <w:jc w:val="left"/>
      </w:pPr>
      <w:r>
        <w:rPr>
          <w:rFonts w:ascii="Calibri" w:hAnsi="Calibri"/>
          <w:b/>
          <w:i w:val="0"/>
          <w:color w:val="161E44"/>
          <w:sz w:val="28"/>
        </w:rPr>
        <w:t>PREGUNTAS FRECUENTES — SESIÓN Q&amp;A (10 min)</w:t>
      </w:r>
    </w:p>
    <w:p>
      <w:pPr>
        <w:spacing w:before="0" w:after="280"/>
        <w:jc w:val="left"/>
      </w:pPr>
      <w:r>
        <w:rPr>
          <w:rFonts w:ascii="Calibri" w:hAnsi="Calibri"/>
          <w:b w:val="0"/>
          <w:i/>
          <w:color w:val="556580"/>
          <w:sz w:val="20"/>
        </w:rPr>
        <w:t>(Ver documento CatalogoQA_Equipo48.docx para las 25 preguntas completas con respuesta)</w:t>
      </w:r>
    </w:p>
    <w:p>
      <w:pPr>
        <w:spacing w:before="80" w:after="40"/>
        <w:jc w:val="left"/>
      </w:pPr>
      <w:r>
        <w:rPr>
          <w:rFonts w:ascii="Calibri" w:hAnsi="Calibri"/>
          <w:b/>
          <w:i w:val="0"/>
          <w:color w:val="161E44"/>
          <w:sz w:val="22"/>
        </w:rPr>
        <w:t>P: ¿De dónde salen los beneficios de $14,800?</w:t>
      </w:r>
    </w:p>
    <w:p>
      <w:pPr>
        <w:spacing w:before="0" w:after="200"/>
        <w:jc w:val="left"/>
      </w:pPr>
      <w:r>
        <w:rPr>
          <w:rFonts w:ascii="Calibri" w:hAnsi="Calibri"/>
          <w:b w:val="0"/>
          <w:i w:val="0"/>
          <w:color w:val="556580"/>
          <w:sz w:val="22"/>
        </w:rPr>
        <w:t>R: Son supuestos racionales documentados en la Sección 5.1 del Resumen Ejecutivo. $10,000 = 100 vacas × $100/vaca/año en ahorro de sobredosificación (100 × 0.5 dosis × $2 × 365 × factor conservador). $2,500 = +1% producción × 730K litros × $0.34/litro (precio FIRA). $1,500 = 50 ton CO₂e × $30/ton (mercado Verra VCS). $800 = 8 visitas vet. evitadas × $100.</w:t>
      </w:r>
    </w:p>
    <w:p>
      <w:pPr>
        <w:spacing w:before="80" w:after="40"/>
        <w:jc w:val="left"/>
      </w:pPr>
      <w:r>
        <w:rPr>
          <w:rFonts w:ascii="Calibri" w:hAnsi="Calibri"/>
          <w:b/>
          <w:i w:val="0"/>
          <w:color w:val="161E44"/>
          <w:sz w:val="22"/>
        </w:rPr>
        <w:t>P: ¿Por qué GCP sobre AWS o Azure?</w:t>
      </w:r>
    </w:p>
    <w:p>
      <w:pPr>
        <w:spacing w:before="0" w:after="200"/>
        <w:jc w:val="left"/>
      </w:pPr>
      <w:r>
        <w:rPr>
          <w:rFonts w:ascii="Calibri" w:hAnsi="Calibri"/>
          <w:b w:val="0"/>
          <w:i w:val="0"/>
          <w:color w:val="556580"/>
          <w:sz w:val="22"/>
        </w:rPr>
        <w:t>R: Evaluamos 4 proveedores con 8 criterios. GCP obtuvo 8.85/10 vs AWS 8.55. El diferencial clave: Cloud Run a $126/año vs $400+ en AWS para el mismo volumen, integración nativa sklearn en Vertex AI, y $300 de crédito educativo inicial.</w:t>
      </w:r>
    </w:p>
    <w:p>
      <w:pPr>
        <w:spacing w:before="80" w:after="40"/>
        <w:jc w:val="left"/>
      </w:pPr>
      <w:r>
        <w:rPr>
          <w:rFonts w:ascii="Calibri" w:hAnsi="Calibri"/>
          <w:b/>
          <w:i w:val="0"/>
          <w:color w:val="161E44"/>
          <w:sz w:val="22"/>
        </w:rPr>
        <w:t>P: ¿El modelo funcionaría con una raza nueva?</w:t>
      </w:r>
    </w:p>
    <w:p>
      <w:pPr>
        <w:spacing w:before="0" w:after="200"/>
        <w:jc w:val="left"/>
      </w:pPr>
      <w:r>
        <w:rPr>
          <w:rFonts w:ascii="Calibri" w:hAnsi="Calibri"/>
          <w:b w:val="0"/>
          <w:i w:val="0"/>
          <w:color w:val="556580"/>
          <w:sz w:val="22"/>
        </w:rPr>
        <w:t>R: No con la precisión actual — fue entrenado con Holstein, Jersey y Pardo Suizo. Si llega una nueva raza, el sistema de monitoreo detectaría el drift vía KS test y dispararía reentrenamiento. La acción correcta es recopilar datos antes de operar con esa raza.</w:t>
      </w:r>
    </w:p>
    <w:p>
      <w:pPr>
        <w:spacing w:before="80" w:after="40"/>
        <w:jc w:val="left"/>
      </w:pPr>
      <w:r>
        <w:rPr>
          <w:rFonts w:ascii="Calibri" w:hAnsi="Calibri"/>
          <w:b/>
          <w:i w:val="0"/>
          <w:color w:val="161E44"/>
          <w:sz w:val="22"/>
        </w:rPr>
        <w:t>P: ¿Cómo evitaron overfitting con R² de 0.9779?</w:t>
      </w:r>
    </w:p>
    <w:p>
      <w:pPr>
        <w:spacing w:before="0" w:after="200"/>
        <w:jc w:val="left"/>
      </w:pPr>
      <w:r>
        <w:rPr>
          <w:rFonts w:ascii="Calibri" w:hAnsi="Calibri"/>
          <w:b w:val="0"/>
          <w:i w:val="0"/>
          <w:color w:val="556580"/>
          <w:sz w:val="22"/>
        </w:rPr>
        <w:t>R: Usamos GroupKFold con grupos por ID de vaca — garantiza que los datos de una vaca no aparecen simultáneamente en train y test. El R² en train fue 0.983 vs 0.9779 en test — diferencia de 0.5%, dentro del rango normal. El R² alto refleja correlaciones biológicas fuertes.</w:t>
      </w:r>
    </w:p>
    <w:p>
      <w:pPr>
        <w:spacing w:before="80" w:after="40"/>
        <w:jc w:val="left"/>
      </w:pPr>
      <w:r>
        <w:rPr>
          <w:rFonts w:ascii="Calibri" w:hAnsi="Calibri"/>
          <w:b/>
          <w:i w:val="0"/>
          <w:color w:val="161E44"/>
          <w:sz w:val="22"/>
        </w:rPr>
        <w:t>P: ¿Por qué Stacking y no XGBoost?</w:t>
      </w:r>
    </w:p>
    <w:p>
      <w:pPr>
        <w:spacing w:before="0" w:after="200"/>
        <w:jc w:val="left"/>
      </w:pPr>
      <w:r>
        <w:rPr>
          <w:rFonts w:ascii="Calibri" w:hAnsi="Calibri"/>
          <w:b w:val="0"/>
          <w:i w:val="0"/>
          <w:color w:val="556580"/>
          <w:sz w:val="22"/>
        </w:rPr>
        <w:t>R: XGBoost no estaba en el alcance definido en la propuesta E4. Los 7 modelos evaluados cubren el espacio de familias definidas. XGBoost se contempla en trabajos futuros. El Stacking superó el umbral de aceptación y es estadísticamente significativo vs Voting (p&lt;0.0001).</w:t>
      </w:r>
    </w:p>
    <w:p>
      <w:pPr>
        <w:spacing w:before="80" w:after="40"/>
        <w:jc w:val="left"/>
      </w:pPr>
      <w:r>
        <w:rPr>
          <w:rFonts w:ascii="Calibri" w:hAnsi="Calibri"/>
          <w:b/>
          <w:i w:val="0"/>
          <w:color w:val="161E44"/>
          <w:sz w:val="22"/>
        </w:rPr>
        <w:t>P: ¿Qué pasa si los veterinarios no adoptan el sistema?</w:t>
      </w:r>
    </w:p>
    <w:p>
      <w:pPr>
        <w:spacing w:before="0" w:after="200"/>
        <w:jc w:val="left"/>
      </w:pPr>
      <w:r>
        <w:rPr>
          <w:rFonts w:ascii="Calibri" w:hAnsi="Calibri"/>
          <w:b w:val="0"/>
          <w:i w:val="0"/>
          <w:color w:val="556580"/>
          <w:sz w:val="22"/>
        </w:rPr>
        <w:t>R: Es el riesgo de mayor impacto. Tres mitigaciones: SHAP explica cada predicción en lenguaje natural, 4 semanas de shadow mode donde el modelo corre en paralelo sin reemplazar decisiones, y workshops de capacitación con casos reales del hato.</w:t>
      </w:r>
    </w:p>
    <w:p>
      <w:pPr>
        <w:spacing w:before="80" w:after="40"/>
        <w:jc w:val="left"/>
      </w:pPr>
      <w:r>
        <w:rPr>
          <w:rFonts w:ascii="Calibri" w:hAnsi="Calibri"/>
          <w:b/>
          <w:i w:val="0"/>
          <w:color w:val="161E44"/>
          <w:sz w:val="22"/>
        </w:rPr>
        <w:t>P: ¿El GCP costo de $732 está calculado con precios reales?</w:t>
      </w:r>
    </w:p>
    <w:p>
      <w:pPr>
        <w:spacing w:before="0" w:after="200"/>
        <w:jc w:val="left"/>
      </w:pPr>
      <w:r>
        <w:rPr>
          <w:rFonts w:ascii="Calibri" w:hAnsi="Calibri"/>
          <w:b w:val="0"/>
          <w:i w:val="0"/>
          <w:color w:val="556580"/>
          <w:sz w:val="22"/>
        </w:rPr>
        <w:t>R: Sí. Usamos la calculadora oficial de GCP con 500 predicciones/día y 100 vacas: Cloud Run $126 + Vertex AI $315 + Cloud SQL $120 + Storage $28 + Monitoring $82 + Egress $61 = $732/año.</w:t>
      </w:r>
    </w:p>
    <w:p>
      <w:pPr>
        <w:spacing w:before="80" w:after="40"/>
        <w:jc w:val="left"/>
      </w:pPr>
      <w:r>
        <w:rPr>
          <w:rFonts w:ascii="Calibri" w:hAnsi="Calibri"/>
          <w:b/>
          <w:i w:val="0"/>
          <w:color w:val="161E44"/>
          <w:sz w:val="22"/>
        </w:rPr>
        <w:t>P: ¿Cuándo aplica la LFPDPPP?</w:t>
      </w:r>
    </w:p>
    <w:p>
      <w:pPr>
        <w:spacing w:before="0" w:after="200"/>
        <w:jc w:val="left"/>
      </w:pPr>
      <w:r>
        <w:rPr>
          <w:rFonts w:ascii="Calibri" w:hAnsi="Calibri"/>
          <w:b w:val="0"/>
          <w:i w:val="0"/>
          <w:color w:val="556580"/>
          <w:sz w:val="22"/>
        </w:rPr>
        <w:t>R: En el momento en que el sistema almacena nombres de veterinarios o propietarios. Los datos de las vacas (ID, sensores) no son datos personales. Los logs de acceso sí registran quién hizo cada predicción — eso activa el aviso de privacidad. Retención máxima: 90 días, acceso solo para auditor.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