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29</w:t>
      </w:r>
      <w:r>
        <w:t xml:space="preserve"> </w:t>
      </w:r>
      <w:r>
        <w:t xml:space="preserve">Jan</w:t>
      </w:r>
      <w:r>
        <w:t xml:space="preserve"> </w:t>
      </w:r>
      <w:r>
        <w:t xml:space="preserve">2022</w:t>
      </w:r>
      <w:r>
        <w:t xml:space="preserve"> </w:t>
      </w:r>
      <w:r>
        <w:t xml:space="preserve">11:22:07</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2" w:name="intro"/>
    <w:p>
      <w:pPr>
        <w:pStyle w:val="Heading1"/>
      </w:pPr>
      <w:r>
        <w:rPr>
          <w:rStyle w:val="SectionNumber"/>
        </w:rPr>
        <w:t xml:space="preserve">1</w:t>
      </w:r>
      <w:r>
        <w:tab/>
      </w: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 R Markdown, Observable, and the JupyterBook 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 Among other uses, that allows authors to automatically time-stamp their documents, or insert the current version number of the software they use into their methods. For instance, this document was built at</w:t>
      </w:r>
      <w:r>
        <w:t xml:space="preserve"> </w:t>
      </w:r>
      <w:r>
        <w:rPr>
          <w:b/>
        </w:rPr>
        <w:t xml:space="preserve">29 Jan 2022 11:22:08 MST</w:t>
      </w:r>
      <w:r>
        <w:t xml:space="preserve"> </w:t>
      </w:r>
      <w:r>
        <w:t xml:space="preserve">and calls the following R packages:</w:t>
      </w:r>
      <w:r>
        <w:t xml:space="preserve"> </w:t>
      </w:r>
      <w:r>
        <w:rPr>
          <w:rStyle w:val="VerbatimChar"/>
        </w:rPr>
        <w:t xml:space="preserve">{tidyverse}</w:t>
      </w:r>
      <w:r>
        <w:t xml:space="preserve"> </w:t>
      </w:r>
      <w:r>
        <w:t xml:space="preserve">ver.</w:t>
      </w:r>
      <w:r>
        <w:t xml:space="preserve"> </w:t>
      </w:r>
      <w:r>
        <w:rPr>
          <w:b/>
        </w:rPr>
        <w:t xml:space="preserve">1.3.0</w:t>
      </w:r>
      <w:r>
        <w:t xml:space="preserve">,</w:t>
      </w:r>
      <w:r>
        <w:t xml:space="preserve"> </w:t>
      </w:r>
      <w:r>
        <w:rPr>
          <w:rStyle w:val="VerbatimChar"/>
        </w:rPr>
        <w:t xml:space="preserve">{ggbeeswarm}</w:t>
      </w:r>
      <w:r>
        <w:t xml:space="preserve"> </w:t>
      </w:r>
      <w:r>
        <w:t xml:space="preserve">ver.</w:t>
      </w:r>
      <w:r>
        <w:t xml:space="preserve"> </w:t>
      </w:r>
      <w:r>
        <w:rPr>
          <w:b/>
        </w:rPr>
        <w:t xml:space="preserve">0.6.0</w:t>
      </w:r>
      <w:r>
        <w:t xml:space="preserve"> </w:t>
      </w:r>
      <w:r>
        <w:t xml:space="preserve">and</w:t>
      </w:r>
      <w:r>
        <w:t xml:space="preserve"> </w:t>
      </w:r>
      <w:r>
        <w:rPr>
          <w:rStyle w:val="VerbatimChar"/>
        </w:rPr>
        <w:t xml:space="preserve">{bookdown}</w:t>
      </w:r>
      <w:r>
        <w:t xml:space="preserve"> </w:t>
      </w:r>
      <w:r>
        <w:t xml:space="preserve">ver.</w:t>
      </w:r>
      <w:r>
        <w:t xml:space="preserve"> </w:t>
      </w:r>
      <w:r>
        <w:rPr>
          <w:b/>
        </w:rPr>
        <w:t xml:space="preserve">0.24</w:t>
      </w:r>
      <w:r>
        <w:t xml:space="preserve">.</w:t>
      </w:r>
    </w:p>
    <w:p>
      <w:pPr>
        <w:pStyle w:val="BodyText"/>
      </w:pPr>
      <w:r>
        <w:t xml:space="preserve">In this manuscript, created in RStudio using the R Markdown language, we will demonstrate a more practical example. (A JavaScript version is available at</w:t>
      </w:r>
      <w:r>
        <w:t xml:space="preserve"> </w:t>
      </w:r>
      <w:hyperlink r:id="rId21">
        <w:r>
          <w:rPr>
            <w:rStyle w:val="Hyperlink"/>
          </w:rPr>
          <w:t xml:space="preserve">https://observablehq.com/d/7a08166446057936</w:t>
        </w:r>
      </w:hyperlink>
      <w:r>
        <w:t xml:space="preserve">.)</w:t>
      </w:r>
    </w:p>
    <w:bookmarkEnd w:id="22"/>
    <w:bookmarkStart w:id="27" w:name="results"/>
    <w:p>
      <w:pPr>
        <w:pStyle w:val="Heading1"/>
      </w:pPr>
      <w:r>
        <w:rPr>
          <w:rStyle w:val="SectionNumber"/>
        </w:rPr>
        <w:t xml:space="preserve">2</w:t>
      </w:r>
      <w:r>
        <w:tab/>
      </w:r>
      <w:r>
        <w:t xml:space="preserve">Results</w:t>
      </w:r>
    </w:p>
    <w:bookmarkStart w:id="24" w:name="sec:1"/>
    <w:p>
      <w:pPr>
        <w:pStyle w:val="Heading2"/>
      </w:pPr>
      <w:r>
        <w:rPr>
          <w:rStyle w:val="SectionNumber"/>
        </w:rPr>
        <w:t xml:space="preserve">2.1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to calculate the circumference and area of a circle with radius</w:t>
      </w:r>
      <w:r>
        <w:t xml:space="preserve"> </w:t>
      </w:r>
      <w:r>
        <w:rPr>
          <w:i/>
        </w:rPr>
        <w:t xml:space="preserve">r</w:t>
      </w:r>
      <w:r>
        <w:t xml:space="preserve"> </w:t>
      </w:r>
      <w:r>
        <w:t xml:space="preserve">=</w:t>
      </w:r>
      <w:r>
        <w:t xml:space="preserve"> </w:t>
      </w:r>
      <w:r>
        <w:rPr>
          <w:b/>
        </w:rPr>
        <w:t xml:space="preserve">10</w:t>
      </w:r>
      <w:r>
        <w:t xml:space="preserve">, you could write</w:t>
      </w:r>
      <w:r>
        <w:t xml:space="preserve"> </w:t>
      </w:r>
      <w:r>
        <w:t xml:space="preserve">“</w:t>
      </w:r>
      <w:r>
        <w:t xml:space="preserve">A =</w:t>
      </w:r>
      <w:r>
        <w:t xml:space="preserve"> </w:t>
      </w:r>
      <w:r>
        <w:rPr>
          <w:rStyle w:val="VerbatimChar"/>
        </w:rPr>
        <w:t xml:space="preserve">`r pi * r^2`</w:t>
      </w:r>
      <w:r>
        <w:t xml:space="preserve"> </w:t>
      </w:r>
      <w:r>
        <w:t xml:space="preserve">and C =</w:t>
      </w:r>
      <w:r>
        <w:t xml:space="preserve"> </w:t>
      </w:r>
      <w:r>
        <w:rPr>
          <w:rStyle w:val="VerbatimChar"/>
        </w:rPr>
        <w:t xml:space="preserve">`r 2 * pi * r`</w:t>
      </w:r>
      <w:r>
        <w:t xml:space="preserve">”</w:t>
      </w:r>
      <w:r>
        <w:t xml:space="preserve">. That evaluates to</w:t>
      </w:r>
      <w:r>
        <w:t xml:space="preserve"> </w:t>
      </w:r>
      <w:r>
        <w:t xml:space="preserve">“</w:t>
      </w:r>
      <w:r>
        <w:t xml:space="preserve">A =</w:t>
      </w:r>
      <w:r>
        <w:t xml:space="preserve"> </w:t>
      </w:r>
      <w:r>
        <w:rPr>
          <w:b/>
        </w:rPr>
        <w:t xml:space="preserve">314.16</w:t>
      </w:r>
      <w:r>
        <w:t xml:space="preserve"> </w:t>
      </w:r>
      <w:r>
        <w:t xml:space="preserve">and C =</w:t>
      </w:r>
      <w:r>
        <w:t xml:space="preserve"> </w:t>
      </w:r>
      <w:r>
        <w:rPr>
          <w:b/>
        </w:rPr>
        <w:t xml:space="preserve">62.83</w:t>
      </w:r>
      <w:r>
        <w:t xml:space="preserve">”</w:t>
      </w:r>
      <w:r>
        <w:t xml:space="preserve">.</w:t>
      </w:r>
    </w:p>
    <w:p>
      <w:pPr>
        <w:pStyle w:val="BodyText"/>
      </w:pPr>
      <w:r>
        <w:t xml:space="preserve">Returning to our dataset, we have</w:t>
      </w:r>
      <w:r>
        <w:t xml:space="preserve"> </w:t>
      </w:r>
      <w:r>
        <w:rPr>
          <w:b/>
        </w:rPr>
        <w:t xml:space="preserve">99</w:t>
      </w:r>
      <w:r>
        <w:t xml:space="preserve"> </w:t>
      </w:r>
      <w:r>
        <w:t xml:space="preserve">(simulated) subjects in our study (see Table</w:t>
      </w:r>
      <w:r>
        <w:t xml:space="preserve"> </w:t>
      </w:r>
      <w:r>
        <w:t xml:space="preserve">3.1</w:t>
      </w:r>
      <w:r>
        <w:t xml:space="preserve">; see</w:t>
      </w:r>
      <w:r>
        <w:t xml:space="preserve"> </w:t>
      </w:r>
      <w:hyperlink r:id="rId23">
        <w:r>
          <w:rPr>
            <w:rStyle w:val="VerbatimChar"/>
          </w:rPr>
          <w:t xml:space="preserve">R/mock_data.R</w:t>
        </w:r>
      </w:hyperlink>
      <w:r>
        <w:t xml:space="preserve"> </w:t>
      </w:r>
      <w:r>
        <w:t xml:space="preserve">in the GitHub repository for code to generate the mock dataset). Note the numbering of the tables, figures and sections in this document – that’s accomplished automatically thanks to the</w:t>
      </w:r>
      <w:r>
        <w:t xml:space="preserve"> </w:t>
      </w:r>
      <w:r>
        <w:rPr>
          <w:rStyle w:val="VerbatimChar"/>
        </w:rPr>
        <w:t xml:space="preserve">{bookdown}</w:t>
      </w:r>
      <w:r>
        <w:t xml:space="preserve"> </w:t>
      </w:r>
      <w:r>
        <w:t xml:space="preserve">package.</w:t>
      </w:r>
      <w:r>
        <w:t xml:space="preserve"> </w:t>
      </w:r>
      <w:r>
        <w:t xml:space="preserve">The average metabolite concentration in our dataset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4"/>
    <w:bookmarkStart w:id="26" w:name="sec:2"/>
    <w:p>
      <w:pPr>
        <w:pStyle w:val="Heading2"/>
      </w:pPr>
      <w:r>
        <w:rPr>
          <w:rStyle w:val="SectionNumber"/>
        </w:rPr>
        <w:t xml:space="preserve">2.2</w:t>
      </w:r>
      <w:r>
        <w:tab/>
      </w:r>
      <w:r>
        <w:t xml:space="preserve">Incorporating new data</w:t>
      </w:r>
    </w:p>
    <w:p>
      <w:pPr>
        <w:pStyle w:val="FirstParagraph"/>
      </w:pPr>
      <w:r>
        <w:t xml:space="preserve">Now suppose we get another tranche of data (Table</w:t>
      </w:r>
      <w:r>
        <w:t xml:space="preserve"> </w:t>
      </w:r>
      <w:r>
        <w:t xml:space="preserve">3.2</w:t>
      </w:r>
      <w:r>
        <w:t xml:space="preserve">). There are</w:t>
      </w:r>
      <w:r>
        <w:t xml:space="preserve"> </w:t>
      </w:r>
      <w:r>
        <w:rPr>
          <w:b/>
        </w:rPr>
        <w:t xml:space="preserve">60</w:t>
      </w:r>
      <w:r>
        <w:t xml:space="preserve"> </w:t>
      </w:r>
      <w:r>
        <w:t xml:space="preserve">subjects in this new dataset. Their average concentration is</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The revised average metabolite concentration is</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subjects in Group 2, and</w:t>
      </w:r>
      <w:r>
        <w:t xml:space="preserve"> </w:t>
      </w:r>
      <w:r>
        <w:rPr>
          <w:b/>
        </w:rPr>
        <w:t xml:space="preserve">44</w:t>
      </w:r>
      <w:r>
        <w:t xml:space="preserve"> </w:t>
      </w:r>
      <w:r>
        <w:t xml:space="preserve">in Group 3. The concentration distribution for each group is shown graphically in Figure</w:t>
      </w:r>
      <w:r>
        <w:t xml:space="preserve"> </w:t>
      </w:r>
      <w:r>
        <w:t xml:space="preserve">2.1</w:t>
      </w:r>
      <w:r>
        <w:t xml:space="preserve">.</w:t>
      </w:r>
    </w:p>
    <w:p>
      <w:pPr>
        <w:pStyle w:val="CaptionedFigure"/>
      </w:pPr>
      <w:r>
        <w:drawing>
          <wp:inline>
            <wp:extent cx="4876800" cy="3657600"/>
            <wp:effectExtent b="0" l="0" r="0" t="0"/>
            <wp:docPr descr="Figure 2.1: Metabolite concentration of clinical trial subjects" title="" id="1" name="Picture"/>
            <a:graphic>
              <a:graphicData uri="http://schemas.openxmlformats.org/drawingml/2006/picture">
                <pic:pic>
                  <pic:nvPicPr>
                    <pic:cNvPr descr="computed_manuscript_files/figure-docx/plot-data-1.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2.1: Metabolite concentration of clinical trial subjects</w:t>
      </w:r>
    </w:p>
    <w:bookmarkEnd w:id="26"/>
    <w:bookmarkEnd w:id="27"/>
    <w:bookmarkStart w:id="28" w:name="code"/>
    <w:p>
      <w:pPr>
        <w:pStyle w:val="Heading1"/>
      </w:pPr>
      <w:r>
        <w:rPr>
          <w:rStyle w:val="SectionNumber"/>
        </w:rPr>
        <w:t xml:space="preserve">3</w:t>
      </w:r>
      <w:r>
        <w:tab/>
      </w:r>
      <w:r>
        <w:t xml:space="preserve">Code</w:t>
      </w:r>
    </w:p>
    <w:p>
      <w:pPr>
        <w:pStyle w:val="FirstParagraph"/>
      </w:pPr>
      <w:r>
        <w:t xml:space="preserve">The following code was used to load, merge, and plot the (simulated) clinical trial data:</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plot the data</w:t>
      </w:r>
      <w:r>
        <w:br/>
      </w:r>
      <w:r>
        <w:rPr>
          <w:rStyle w:val="NormalTok"/>
        </w:rPr>
        <w:t xml:space="preserve">p </w:t>
      </w:r>
      <w:r>
        <w:rPr>
          <w:rStyle w:val="OtherTok"/>
        </w:rPr>
        <w:t xml:space="preserve">&lt;-</w:t>
      </w:r>
      <w:r>
        <w:rPr>
          <w:rStyle w:val="NormalTok"/>
        </w:rPr>
        <w:t xml:space="preserve"> final_data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fill =</w:t>
      </w:r>
      <w:r>
        <w:rPr>
          <w:rStyle w:val="NormalTok"/>
        </w:rPr>
        <w:t xml:space="preserve"> class,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w:t>
      </w:r>
    </w:p>
    <w:p>
      <w:pPr>
        <w:pStyle w:val="TableCaption"/>
      </w:pPr>
      <w:r>
        <w:t xml:space="preserve">Table 3.1: Initial subject data</w:t>
      </w:r>
    </w:p>
    <w:tbl>
      <w:tblPr>
        <w:tblStyle w:val="Table"/>
        <w:tblW w:type="pct" w:w="0.0"/>
        <w:tblLook w:firstRow="1" w:lastRow="0" w:firstColumn="0" w:lastColumn="0" w:noHBand="0" w:noVBand="0"/>
        <w:tblCaption w:val="Table 3.1: 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Table 3.2: New subject data</w:t>
      </w:r>
    </w:p>
    <w:tbl>
      <w:tblPr>
        <w:tblStyle w:val="Table"/>
        <w:tblW w:type="pct" w:w="0.0"/>
        <w:tblLook w:firstRow="1" w:lastRow="0" w:firstColumn="0" w:lastColumn="0" w:noHBand="0" w:noVBand="0"/>
        <w:tblCaption w:val="Table 3.2: New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bookmarkEnd w:id="28"/>
    <w:bookmarkStart w:id="29" w:name="colophon"/>
    <w:p>
      <w:pPr>
        <w:pStyle w:val="Heading1"/>
      </w:pPr>
      <w:r>
        <w:rPr>
          <w:rStyle w:val="SectionNumber"/>
        </w:rPr>
        <w:t xml:space="preserve">4</w:t>
      </w:r>
      <w:r>
        <w:tab/>
      </w:r>
      <w:r>
        <w:t xml:space="preserve">Colophon</w:t>
      </w:r>
    </w:p>
    <w:p>
      <w:pPr>
        <w:pStyle w:val="FirstParagraph"/>
      </w:pPr>
      <w:r>
        <w:t xml:space="preserve">This manuscript was built at</w:t>
      </w:r>
      <w:r>
        <w:t xml:space="preserve"> </w:t>
      </w:r>
      <w:r>
        <w:rPr>
          <w:b/>
        </w:rPr>
        <w:t xml:space="preserve">29 Jan 2022 11:22:09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[f8d7837] 2022-01-29: Merge branch 'main' of github.com:jperkel/computed_manuscript</w:t>
      </w:r>
    </w:p>
    <w:bookmarkEnd w:id="29"/>
    <w:bookmarkStart w:id="36" w:name="references"/>
    <w:p>
      <w:pPr>
        <w:pStyle w:val="Heading1"/>
      </w:pPr>
      <w:r>
        <w:t xml:space="preserve">References</w:t>
      </w:r>
    </w:p>
    <w:bookmarkStart w:id="35" w:name="refs"/>
    <w:bookmarkStart w:id="30"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30"/>
    <w:bookmarkStart w:id="31"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1"/>
    <w:bookmarkStart w:id="32"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2"/>
    <w:bookmarkStart w:id="33"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3"/>
    <w:bookmarkStart w:id="34"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https://github.com/jperkel/computed_manuscript/blob/main/R/mock_data.R" TargetMode="External" /><Relationship Type="http://schemas.openxmlformats.org/officeDocument/2006/relationships/hyperlink" Id="rId21" Target="https://observablehq.com/d/7a08166446057936" TargetMode="External" /><Relationship Type="http://schemas.openxmlformats.org/officeDocument/2006/relationships/hyperlink" Id="rId20" Target="https://retorque.re/zotero-better-bibtex/"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perkel/computed_manuscript/blob/main/R/mock_data.R" TargetMode="External" /><Relationship Type="http://schemas.openxmlformats.org/officeDocument/2006/relationships/hyperlink" Id="rId21" Target="https://observablehq.com/d/7a08166446057936" TargetMode="External" /><Relationship Type="http://schemas.openxmlformats.org/officeDocument/2006/relationships/hyperlink" Id="rId20" Target="https://retorque.re/zotero-better-bib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2022-01-29T18:22:10Z</dcterms:created>
  <dcterms:modified xsi:type="dcterms:W3CDTF">2022-01-29T18:22:10Z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29 Jan 2022 11:22:07 MST</vt:lpwstr>
  </property>
  <property fmtid="{D5CDD505-2E9C-101B-9397-08002B2CF9AE}" pid="8" name="output">
    <vt:lpwstr/>
  </property>
  <property fmtid="{D5CDD505-2E9C-101B-9397-08002B2CF9AE}" pid="9" name="subtitle">
    <vt:lpwstr>Created in Rmarkdown</vt:lpwstr>
  </property>
  <property fmtid="{D5CDD505-2E9C-101B-9397-08002B2CF9AE}" pid="10" name="titlerunning">
    <vt:lpwstr>Example computed manuscript</vt:lpwstr>
  </property>
</Properties>
</file>