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wq70ykbh29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juuvg3q91h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Auditoría del Módulo 3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3y73onlbly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Acceso a otras clases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 verificado que ninguna clase del módulo 3 accede directamente a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Ciudad</w:t>
      </w:r>
      <w:r w:rsidDel="00000000" w:rsidR="00000000" w:rsidRPr="00000000">
        <w:rPr>
          <w:rtl w:val="0"/>
        </w:rPr>
        <w:t xml:space="preserve"> ni a la estructura interna del tablero.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ccrvyw4l4jr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Modificación del estado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no modifica bloques ni altera el estado del sistema. Únicamente realiza cálculos a partir de datos ya existentes.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rl9vkgivocr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Inmutabilidad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MetricaCiudad</w:t>
      </w:r>
      <w:r w:rsidDel="00000000" w:rsidR="00000000" w:rsidRPr="00000000">
        <w:rPr>
          <w:rtl w:val="0"/>
        </w:rPr>
        <w:t xml:space="preserve"> es inmutable: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 atributos 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métodos setters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dispone de métodos getters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4itvoi7vnpg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Uso de recursos externos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utilizan interfaces gráficas ni acceso a bases de datos.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an9vribyxu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3 cumple con los requisitos de diseño, siendo de solo lectura y manteniendo un bajo acoplamiento con el resto del sistema.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