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9E7" w:rsidRDefault="008739E7">
      <w:proofErr w:type="spellStart"/>
      <w:r>
        <w:rPr>
          <w:rFonts w:hint="eastAsia"/>
        </w:rPr>
        <w:t>Gomera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Jamesphilip</w:t>
      </w:r>
      <w:proofErr w:type="spellEnd"/>
      <w:r>
        <w:rPr>
          <w:rFonts w:hint="eastAsia"/>
        </w:rPr>
        <w:t xml:space="preserve"> A. </w:t>
      </w:r>
    </w:p>
    <w:p w:rsidR="008739E7" w:rsidRDefault="008739E7">
      <w:r>
        <w:rPr>
          <w:rFonts w:hint="eastAsia"/>
        </w:rPr>
        <w:t>BSIT 4104</w:t>
      </w:r>
    </w:p>
    <w:p w:rsidR="008739E7" w:rsidRDefault="008739E7"/>
    <w:p w:rsidR="008739E7" w:rsidRDefault="008739E7">
      <w:pPr>
        <w:pStyle w:val="Heading2"/>
        <w:spacing w:before="150" w:after="150"/>
        <w:divId w:val="1362782017"/>
        <w:rPr>
          <w:rFonts w:ascii="Open Sans" w:eastAsia="Times New Roman" w:hAnsi="Open Sans" w:cs="Open Sans"/>
          <w:color w:val="555555"/>
          <w:sz w:val="36"/>
          <w:szCs w:val="36"/>
        </w:rPr>
      </w:pPr>
      <w:r>
        <w:rPr>
          <w:rFonts w:ascii="Open Sans" w:eastAsia="Times New Roman" w:hAnsi="Open Sans" w:cs="Open Sans"/>
          <w:color w:val="555555"/>
        </w:rPr>
        <w:t>Generalization for Week 1</w:t>
      </w:r>
    </w:p>
    <w:p w:rsidR="008739E7" w:rsidRDefault="008739E7">
      <w:pPr>
        <w:pStyle w:val="NormalWeb"/>
        <w:shd w:val="clear" w:color="auto" w:fill="FFFFFF"/>
        <w:spacing w:before="0" w:beforeAutospacing="0" w:after="150" w:afterAutospacing="0"/>
        <w:divId w:val="46926521"/>
        <w:rPr>
          <w:rFonts w:ascii="Arial" w:hAnsi="Arial" w:cs="Arial"/>
          <w:color w:val="555555"/>
        </w:rPr>
      </w:pPr>
      <w:r>
        <w:rPr>
          <w:rFonts w:ascii="Arial" w:hAnsi="Arial" w:cs="Arial"/>
          <w:b/>
          <w:bCs/>
          <w:color w:val="555555"/>
        </w:rPr>
        <w:t>Direction:</w:t>
      </w:r>
      <w:r>
        <w:rPr>
          <w:rFonts w:ascii="Arial" w:hAnsi="Arial" w:cs="Arial"/>
          <w:color w:val="555555"/>
        </w:rPr>
        <w:t> Perform the following task.</w:t>
      </w:r>
    </w:p>
    <w:p w:rsidR="008739E7" w:rsidRDefault="008739E7">
      <w:pPr>
        <w:pStyle w:val="NormalWeb"/>
        <w:shd w:val="clear" w:color="auto" w:fill="FFFFFF"/>
        <w:spacing w:before="0" w:beforeAutospacing="0" w:after="150" w:afterAutospacing="0"/>
        <w:divId w:val="46926521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1.      Differentiate Criminal Law and Civil Law.</w:t>
      </w:r>
    </w:p>
    <w:p w:rsidR="008739E7" w:rsidRDefault="00F96947">
      <w:pPr>
        <w:pStyle w:val="NormalWeb"/>
        <w:shd w:val="clear" w:color="auto" w:fill="FFFFFF"/>
        <w:spacing w:before="0" w:beforeAutospacing="0" w:after="150" w:afterAutospacing="0"/>
        <w:divId w:val="46926521"/>
        <w:rPr>
          <w:rFonts w:ascii="Arial" w:hAnsi="Arial" w:cs="Arial"/>
          <w:color w:val="555555"/>
        </w:rPr>
      </w:pPr>
      <w:r>
        <w:rPr>
          <w:rFonts w:ascii="Georgia" w:eastAsia="Times New Roman" w:hAnsi="Georgia"/>
          <w:color w:val="1A1A1A"/>
          <w:sz w:val="27"/>
          <w:szCs w:val="27"/>
          <w:shd w:val="clear" w:color="auto" w:fill="FFFFFF"/>
        </w:rPr>
        <w:t> </w:t>
      </w:r>
      <w:r>
        <w:rPr>
          <w:rFonts w:asciiTheme="minorEastAsia" w:hAnsiTheme="minorEastAsia" w:hint="eastAsia"/>
          <w:color w:val="1A1A1A"/>
          <w:sz w:val="27"/>
          <w:szCs w:val="27"/>
          <w:shd w:val="clear" w:color="auto" w:fill="FFFFFF"/>
        </w:rPr>
        <w:t xml:space="preserve">- </w:t>
      </w:r>
      <w:r>
        <w:rPr>
          <w:rStyle w:val="Strong"/>
          <w:rFonts w:ascii="Georgia" w:eastAsia="Times New Roman" w:hAnsi="Georgia"/>
          <w:color w:val="1A1A1A"/>
          <w:sz w:val="27"/>
          <w:szCs w:val="27"/>
          <w:shd w:val="clear" w:color="auto" w:fill="FFFFFF"/>
        </w:rPr>
        <w:t>Criminal law deals with behavior that is or can be construed as an offense against the public, society, or the state—even if the immediate victim is an individual.</w:t>
      </w:r>
      <w:r>
        <w:rPr>
          <w:rFonts w:ascii="Georgia" w:eastAsia="Times New Roman" w:hAnsi="Georgia"/>
          <w:color w:val="1A1A1A"/>
          <w:sz w:val="27"/>
          <w:szCs w:val="27"/>
          <w:shd w:val="clear" w:color="auto" w:fill="FFFFFF"/>
        </w:rPr>
        <w:t xml:space="preserve"> Examples are murder, assault, </w:t>
      </w:r>
      <w:proofErr w:type="spellStart"/>
      <w:r>
        <w:rPr>
          <w:rFonts w:ascii="Georgia" w:eastAsia="Times New Roman" w:hAnsi="Georgia"/>
          <w:color w:val="1A1A1A"/>
          <w:sz w:val="27"/>
          <w:szCs w:val="27"/>
          <w:shd w:val="clear" w:color="auto" w:fill="FFFFFF"/>
        </w:rPr>
        <w:t>theft,and</w:t>
      </w:r>
      <w:proofErr w:type="spellEnd"/>
      <w:r>
        <w:rPr>
          <w:rFonts w:ascii="Georgia" w:eastAsia="Times New Roman" w:hAnsi="Georgia"/>
          <w:color w:val="1A1A1A"/>
          <w:sz w:val="27"/>
          <w:szCs w:val="27"/>
          <w:shd w:val="clear" w:color="auto" w:fill="FFFFFF"/>
        </w:rPr>
        <w:t xml:space="preserve"> drunken driving. </w:t>
      </w:r>
      <w:r>
        <w:rPr>
          <w:rStyle w:val="Strong"/>
          <w:rFonts w:ascii="Georgia" w:eastAsia="Times New Roman" w:hAnsi="Georgia"/>
          <w:color w:val="1A1A1A"/>
          <w:sz w:val="27"/>
          <w:szCs w:val="27"/>
          <w:shd w:val="clear" w:color="auto" w:fill="FFFFFF"/>
        </w:rPr>
        <w:t>Civil law deals with behavior that constitutes an injury to an individual or other private party, such as a corporation.</w:t>
      </w:r>
      <w:r>
        <w:rPr>
          <w:rFonts w:ascii="Georgia" w:eastAsia="Times New Roman" w:hAnsi="Georgia"/>
          <w:color w:val="1A1A1A"/>
          <w:sz w:val="27"/>
          <w:szCs w:val="27"/>
          <w:shd w:val="clear" w:color="auto" w:fill="FFFFFF"/>
        </w:rPr>
        <w:t> Examples are defamation (including libel and slander), breach of contract, negligence resulting in injury or death, and property damage.</w:t>
      </w:r>
      <w:r w:rsidR="008739E7">
        <w:rPr>
          <w:rFonts w:ascii="Arial" w:hAnsi="Arial" w:cs="Arial"/>
          <w:color w:val="555555"/>
        </w:rPr>
        <w:t> </w:t>
      </w:r>
    </w:p>
    <w:p w:rsidR="006B235D" w:rsidRDefault="006B235D">
      <w:pPr>
        <w:pStyle w:val="NormalWeb"/>
        <w:shd w:val="clear" w:color="auto" w:fill="FFFFFF"/>
        <w:spacing w:before="0" w:beforeAutospacing="0" w:after="150" w:afterAutospacing="0"/>
        <w:divId w:val="46926521"/>
        <w:rPr>
          <w:rFonts w:ascii="Arial" w:hAnsi="Arial" w:cs="Arial"/>
          <w:color w:val="555555"/>
        </w:rPr>
      </w:pPr>
    </w:p>
    <w:p w:rsidR="008739E7" w:rsidRDefault="008739E7">
      <w:pPr>
        <w:pStyle w:val="NormalWeb"/>
        <w:shd w:val="clear" w:color="auto" w:fill="FFFFFF"/>
        <w:spacing w:before="0" w:beforeAutospacing="0" w:after="150" w:afterAutospacing="0"/>
        <w:divId w:val="46926521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2.      Explain the Philippine Legislature.</w:t>
      </w:r>
    </w:p>
    <w:p w:rsidR="008739E7" w:rsidRDefault="00207C69" w:rsidP="00207C69">
      <w:pPr>
        <w:pStyle w:val="NormalWeb"/>
        <w:shd w:val="clear" w:color="auto" w:fill="FFFFFF"/>
        <w:spacing w:before="0" w:beforeAutospacing="0" w:after="150" w:afterAutospacing="0"/>
        <w:ind w:left="243" w:right="243"/>
        <w:divId w:val="46926521"/>
      </w:pPr>
      <w:r>
        <w:rPr>
          <w:rFonts w:asciiTheme="minorEastAsia" w:hAnsiTheme="minorEastAsia" w:hint="eastAsia"/>
          <w:color w:val="BDC1C6"/>
          <w:sz w:val="27"/>
          <w:szCs w:val="27"/>
          <w:shd w:val="clear" w:color="auto" w:fill="202124"/>
        </w:rPr>
        <w:t xml:space="preserve">- </w:t>
      </w:r>
      <w:r>
        <w:rPr>
          <w:rFonts w:ascii="Roboto" w:eastAsia="Times New Roman" w:hAnsi="Roboto"/>
          <w:color w:val="BDC1C6"/>
          <w:sz w:val="27"/>
          <w:szCs w:val="27"/>
          <w:shd w:val="clear" w:color="auto" w:fill="202124"/>
        </w:rPr>
        <w:t>The Philippine Legislature was </w:t>
      </w:r>
      <w:r>
        <w:rPr>
          <w:rFonts w:ascii="Roboto" w:eastAsia="Times New Roman" w:hAnsi="Roboto"/>
          <w:b/>
          <w:bCs/>
          <w:color w:val="BDC1C6"/>
          <w:sz w:val="27"/>
          <w:szCs w:val="27"/>
          <w:shd w:val="clear" w:color="auto" w:fill="202124"/>
        </w:rPr>
        <w:t>the legislature of the Philippines from 1907 to 1935, during the American colonial period, and predecessor of the current Congress of the Philippines</w:t>
      </w:r>
      <w:r>
        <w:rPr>
          <w:rFonts w:ascii="Roboto" w:eastAsia="Times New Roman" w:hAnsi="Roboto"/>
          <w:color w:val="BDC1C6"/>
          <w:sz w:val="27"/>
          <w:szCs w:val="27"/>
          <w:shd w:val="clear" w:color="auto" w:fill="202124"/>
        </w:rPr>
        <w:t>. It was bicameral and the legislative branch of the Insular Government.</w:t>
      </w:r>
    </w:p>
    <w:sectPr w:rsidR="0087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E7"/>
    <w:rsid w:val="00207C69"/>
    <w:rsid w:val="006B235D"/>
    <w:rsid w:val="008739E7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996DA"/>
  <w15:chartTrackingRefBased/>
  <w15:docId w15:val="{054ABEB2-A057-A840-9864-A7A20480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739E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6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521">
                  <w:marLeft w:val="243"/>
                  <w:marRight w:val="243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2022-08-24T13:52:00Z</dcterms:created>
  <dcterms:modified xsi:type="dcterms:W3CDTF">2022-08-24T13:52:00Z</dcterms:modified>
</cp:coreProperties>
</file>