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497D"/>
          <w:sz w:val="44"/>
        </w:rPr>
        <w:t>INFORME DE TRANSICIÓN DE SOFTWARE</w:t>
      </w:r>
    </w:p>
    <w:p/>
    <w:p>
      <w:pPr>
        <w:jc w:val="center"/>
      </w:pPr>
      <w:r>
        <w:rPr>
          <w:color w:val="2E74B5"/>
          <w:sz w:val="32"/>
        </w:rPr>
        <w:t>Proyecto Demo</w:t>
      </w:r>
    </w:p>
    <w:p/>
    <w:p>
      <w:pPr>
        <w:jc w:val="center"/>
      </w:pPr>
      <w:r>
        <w:rPr>
          <w:color w:val="707070"/>
          <w:sz w:val="24"/>
        </w:rPr>
        <w:t>21 de mayo de 2026</w:t>
      </w:r>
    </w:p>
    <w:p/>
    <w:p>
      <w:pPr>
        <w:jc w:val="center"/>
      </w:pPr>
      <w:r>
        <w:rPr>
          <w:i/>
          <w:color w:val="A0A0A0"/>
          <w:sz w:val="20"/>
        </w:rPr>
        <w:t>Generado por Agencia de Transición de Software</w:t>
      </w:r>
    </w:p>
    <w:p>
      <w:r>
        <w:br w:type="page"/>
      </w:r>
    </w:p>
    <w:p>
      <w:r>
        <w:rPr>
          <w:b/>
          <w:color w:val="1F497D"/>
          <w:sz w:val="28"/>
        </w:rPr>
        <w:t>Informe de Transición de Software</w:t>
      </w:r>
    </w:p>
    <w:p>
      <w:r>
        <w:rPr>
          <w:b/>
        </w:rPr>
        <w:t>Proyecto:</w:t>
      </w:r>
      <w:r>
        <w:t xml:space="preserve"> Proyecto Demo  </w:t>
      </w:r>
    </w:p>
    <w:p>
      <w:r>
        <w:rPr>
          <w:b/>
        </w:rPr>
        <w:t>Run ID:</w:t>
      </w:r>
      <w:r>
        <w:t xml:space="preserve"> </w:t>
      </w:r>
      <w:r>
        <w:rPr>
          <w:rFonts w:ascii="Courier New" w:hAnsi="Courier New"/>
          <w:sz w:val="18"/>
        </w:rPr>
        <w:t>2026-05-19_10-00</w:t>
      </w:r>
      <w:r>
        <w:t xml:space="preserve">  </w:t>
      </w:r>
    </w:p>
    <w:p>
      <w:r>
        <w:rPr>
          <w:b/>
        </w:rPr>
        <w:t>Fecha:</w:t>
      </w:r>
      <w:r>
        <w:t xml:space="preserve"> 21 de mayo de 2026  </w:t>
      </w:r>
    </w:p>
    <w:p>
      <w:r>
        <w:rPr>
          <w:b/>
        </w:rPr>
        <w:t>Generado por:</w:t>
      </w:r>
      <w:r>
        <w:t xml:space="preserve"> Agencia de Transición  </w:t>
      </w:r>
    </w:p>
    <w:p/>
    <w:p>
      <w:r>
        <w:br w:type="page"/>
      </w:r>
    </w:p>
    <w:p>
      <w:pPr>
        <w:pStyle w:val="Heading1"/>
      </w:pPr>
      <w:r>
        <w:t>Scout — Descubrimiento de Repositorios</w:t>
      </w:r>
    </w:p>
    <w:p>
      <w:pPr>
        <w:pStyle w:val="Heading3"/>
      </w:pPr>
      <w:r>
        <w:t>A</w:t>
      </w:r>
    </w:p>
    <w:p>
      <w:pPr>
        <w:pStyle w:val="Heading4"/>
      </w:pPr>
      <w:r>
        <w:t>B</w:t>
      </w:r>
    </w:p>
    <w:p>
      <w:pPr>
        <w:pStyle w:val="Heading4"/>
      </w:pPr>
      <w:r>
        <w:t>C</w:t>
      </w:r>
    </w:p>
    <w:p>
      <w:pPr>
        <w:pStyle w:val="Heading4"/>
      </w:pPr>
      <w:r>
        <w:t>D</w:t>
      </w:r>
    </w:p>
    <w:p>
      <w:pPr>
        <w:spacing w:before="40" w:after="40"/>
        <w:ind w:left="576"/>
      </w:pPr>
      <w:r>
        <w:rPr>
          <w:i/>
          <w:color w:val="555555"/>
        </w:rPr>
        <w:t>cita de validacion</w:t>
        <w:br/>
      </w:r>
    </w:p>
    <w:p>
      <w:pPr>
        <w:pStyle w:val="ListBullet"/>
        <w:ind w:left="360"/>
      </w:pPr>
      <w:r>
        <w:t>☐ pendiente</w:t>
        <w:br/>
      </w:r>
    </w:p>
    <w:p>
      <w:pPr>
        <w:pStyle w:val="ListBullet"/>
        <w:ind w:left="360"/>
      </w:pPr>
      <w:r>
        <w:t>☑ completado</w:t>
      </w:r>
    </w:p>
    <w:p>
      <w:r>
        <w:br w:type="page"/>
      </w:r>
    </w:p>
    <w:p>
      <w:pPr>
        <w:pStyle w:val="Heading1"/>
      </w:pPr>
      <w:r>
        <w:t>Analyst — Stack y Calidad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Col A</w:t>
            </w:r>
          </w:p>
        </w:tc>
        <w:tc>
          <w:tcPr>
            <w:tcW w:type="dxa" w:w="4561"/>
            <w:shd w:val="clear" w:color="auto" w:fill="D6E4F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Col B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</w:r>
            <w:r>
              <w:rPr>
                <w:sz w:val="20"/>
              </w:rPr>
              <w:t>v1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</w:r>
            <w:r>
              <w:rPr>
                <w:sz w:val="20"/>
              </w:rPr>
              <w:t>v2</w:t>
            </w:r>
          </w:p>
        </w:tc>
      </w:tr>
    </w:tbl>
    <w:p/>
    <w:p>
      <w:r>
        <w:t>| ascii | diag |</w:t>
        <w:br/>
      </w:r>
    </w:p>
    <w:p>
      <w:r>
        <w:t>| sin | separador |</w:t>
        <w:br/>
      </w:r>
    </w:p>
    <w:p>
      <w:r>
        <w:t>| en | bloque |</w:t>
      </w:r>
    </w:p>
    <w:p>
      <w:r>
        <w:br w:type="page"/>
      </w:r>
    </w:p>
    <w:p>
      <w:pPr>
        <w:pStyle w:val="Heading1"/>
      </w:pPr>
      <w:r>
        <w:t>Auditor — Seguridad</w:t>
      </w:r>
    </w:p>
    <w:p>
      <w:pPr>
        <w:spacing w:after="0"/>
      </w:pPr>
      <w:r>
        <w:rPr>
          <w:i/>
          <w:color w:val="888888"/>
          <w:sz w:val="16"/>
        </w:rPr>
        <w:t>[python]</w:t>
      </w:r>
    </w:p>
    <w:p>
      <w:pPr>
        <w:shd w:val="clear" w:color="auto" w:fill="F2F2F2"/>
        <w:spacing w:before="0" w:after="0"/>
      </w:pPr>
      <w:r>
        <w:rPr>
          <w:rFonts w:ascii="Courier New" w:hAnsi="Courier New"/>
          <w:sz w:val="18"/>
        </w:rPr>
        <w:t>print('hola')</w:t>
        <w:br/>
      </w:r>
    </w:p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97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E74B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