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rtl w:val="0"/>
        </w:rPr>
      </w:r>
    </w:p>
    <w:p w:rsidR="00000000" w:rsidDel="00000000" w:rsidP="00000000" w:rsidRDefault="00000000" w:rsidRPr="00000000" w14:paraId="00000002">
      <w:pPr>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Análisis del impacto de la IA generativa en el ámbito universitario</w:t>
      </w:r>
    </w:p>
    <w:p w:rsidR="00000000" w:rsidDel="00000000" w:rsidP="00000000" w:rsidRDefault="00000000" w:rsidRPr="00000000" w14:paraId="00000004">
      <w:pPr>
        <w:jc w:val="center"/>
        <w:rPr>
          <w:b w:val="1"/>
          <w:bCs w:val="1"/>
          <w:sz w:val="30"/>
          <w:szCs w:val="30"/>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06">
      <w:pPr>
        <w:jc w:val="center"/>
        <w:rPr>
          <w:b w:val="1"/>
          <w:bCs w:val="1"/>
          <w:sz w:val="26"/>
          <w:szCs w:val="26"/>
        </w:rPr>
      </w:pPr>
      <w:r w:rsidDel="00000000" w:rsidR="00000000" w:rsidRPr="00000000">
        <w:rPr>
          <w:b w:val="1"/>
          <w:bCs w:val="1"/>
          <w:sz w:val="26"/>
          <w:szCs w:val="26"/>
          <w:rtl w:val="0"/>
        </w:rPr>
        <w:t xml:space="preserve">Hecho por:</w:t>
      </w:r>
    </w:p>
    <w:p w:rsidR="00000000" w:rsidDel="00000000" w:rsidP="00000000" w:rsidRDefault="00000000" w:rsidRPr="00000000" w14:paraId="00000007">
      <w:pPr>
        <w:jc w:val="center"/>
        <w:rPr>
          <w:sz w:val="26"/>
          <w:szCs w:val="26"/>
        </w:rPr>
      </w:pPr>
      <w:r w:rsidDel="00000000" w:rsidR="00000000" w:rsidRPr="00000000">
        <w:rPr>
          <w:sz w:val="26"/>
          <w:szCs w:val="26"/>
          <w:rtl w:val="0"/>
        </w:rPr>
        <w:t xml:space="preserve">Jorge Parra Hidalgo 13104</w:t>
      </w:r>
    </w:p>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José Ricardo Holguin Chiquito 13375</w:t>
      </w:r>
    </w:p>
    <w:p w:rsidR="00000000" w:rsidDel="00000000" w:rsidP="00000000" w:rsidRDefault="00000000" w:rsidRPr="00000000" w14:paraId="00000009">
      <w:pPr>
        <w:jc w:val="center"/>
        <w:rPr>
          <w:sz w:val="26"/>
          <w:szCs w:val="26"/>
        </w:rPr>
      </w:pPr>
      <w:r w:rsidDel="00000000" w:rsidR="00000000" w:rsidRPr="00000000">
        <w:rPr>
          <w:sz w:val="26"/>
          <w:szCs w:val="26"/>
          <w:rtl w:val="0"/>
        </w:rPr>
        <w:t xml:space="preserve">Mauricio Raul Prieto Villa 13025</w:t>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jc w:val="center"/>
        <w:rPr>
          <w:sz w:val="26"/>
          <w:szCs w:val="26"/>
        </w:rPr>
      </w:pPr>
      <w:r w:rsidDel="00000000" w:rsidR="00000000" w:rsidRPr="00000000">
        <w:rPr>
          <w:b w:val="1"/>
          <w:bCs w:val="1"/>
          <w:sz w:val="26"/>
          <w:szCs w:val="26"/>
          <w:rtl w:val="0"/>
        </w:rPr>
        <w:t xml:space="preserve">Docente </w:t>
      </w:r>
      <w:r w:rsidDel="00000000" w:rsidR="00000000" w:rsidRPr="00000000">
        <w:rPr>
          <w:sz w:val="26"/>
          <w:szCs w:val="26"/>
          <w:rtl w:val="0"/>
        </w:rPr>
        <w:t xml:space="preserve"> </w:t>
      </w:r>
    </w:p>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Héctor Alfredo López-Aguilar</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jc w:val="center"/>
        <w:rPr>
          <w:b w:val="1"/>
          <w:bCs w:val="1"/>
          <w:sz w:val="26"/>
          <w:szCs w:val="26"/>
        </w:rPr>
      </w:pPr>
      <w:r w:rsidDel="00000000" w:rsidR="00000000" w:rsidRPr="00000000">
        <w:rPr>
          <w:b w:val="1"/>
          <w:bCs w:val="1"/>
          <w:sz w:val="26"/>
          <w:szCs w:val="26"/>
          <w:rtl w:val="0"/>
        </w:rPr>
        <w:t xml:space="preserve">Materia</w:t>
      </w:r>
    </w:p>
    <w:p w:rsidR="00000000" w:rsidDel="00000000" w:rsidP="00000000" w:rsidRDefault="00000000" w:rsidRPr="00000000" w14:paraId="00000010">
      <w:pPr>
        <w:jc w:val="center"/>
        <w:rPr>
          <w:sz w:val="26"/>
          <w:szCs w:val="26"/>
        </w:rPr>
      </w:pPr>
      <w:r w:rsidDel="00000000" w:rsidR="00000000" w:rsidRPr="00000000">
        <w:rPr>
          <w:sz w:val="26"/>
          <w:szCs w:val="26"/>
          <w:rtl w:val="0"/>
        </w:rPr>
        <w:t xml:space="preserve">Seminario de la Titulación</w:t>
      </w:r>
    </w:p>
    <w:p w:rsidR="00000000" w:rsidDel="00000000" w:rsidP="00000000" w:rsidRDefault="00000000" w:rsidRPr="00000000" w14:paraId="00000011">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3">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4">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5">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7">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A">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B">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C">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D">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E">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1F">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0">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1">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2">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3">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4">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5">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7">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8">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9">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A">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B">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1.- Justificación de  la investigación</w:t>
      </w:r>
    </w:p>
    <w:p w:rsidR="00000000" w:rsidDel="00000000" w:rsidP="00000000" w:rsidRDefault="00000000" w:rsidRPr="00000000" w14:paraId="0000002E">
      <w:pPr>
        <w:ind w:firstLine="20"/>
        <w:jc w:val="both"/>
        <w:rPr/>
      </w:pPr>
      <w:r w:rsidDel="00000000" w:rsidR="00000000" w:rsidRPr="00000000">
        <w:rPr>
          <w:rtl w:val="0"/>
        </w:rPr>
        <w:t xml:space="preserve">La inteligencia artificial generativa se ha integrado cada vez más en el ámbito universitario. De acuerdo con el Digital Education Council (2026), el 92% de los estudiantes encuestados en América Latina utiliza IA en sus estudios y el 65% considera que podría generar un aprendizaje más superficial y afectar el pensamiento crítico. Por ello, esta investigación busca analizar el impacto de estas herramientas en la eficiencia de las actividades académicas, la capacidad para identificar contenido generado por IA y el pensamiento crítico y la autonomía de los estudiantes.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b w:val="1"/>
          <w:bCs w:val="1"/>
          <w:rtl w:val="0"/>
        </w:rPr>
        <w:t xml:space="preserve">2.- Objetivos</w:t>
      </w:r>
    </w:p>
    <w:p w:rsidR="00000000" w:rsidDel="00000000" w:rsidP="00000000" w:rsidRDefault="00000000" w:rsidRPr="00000000" w14:paraId="00000031">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32">
      <w:pPr>
        <w:ind w:left="720" w:firstLine="0"/>
        <w:jc w:val="both"/>
        <w:rPr>
          <w:b w:val="1"/>
          <w:bCs w:val="1"/>
        </w:rPr>
      </w:pPr>
      <w:r w:rsidDel="00000000" w:rsidR="00000000" w:rsidRPr="00000000">
        <w:rPr>
          <w:b w:val="1"/>
          <w:bCs w:val="1"/>
          <w:rtl w:val="0"/>
        </w:rPr>
        <w:t xml:space="preserve">Objetivo general:</w:t>
      </w:r>
    </w:p>
    <w:p w:rsidR="00000000" w:rsidDel="00000000" w:rsidP="00000000" w:rsidRDefault="00000000" w:rsidRPr="00000000" w14:paraId="00000033">
      <w:pPr>
        <w:ind w:left="720" w:firstLine="0"/>
        <w:jc w:val="both"/>
        <w:rPr/>
      </w:pPr>
      <w:r w:rsidDel="00000000" w:rsidR="00000000" w:rsidRPr="00000000">
        <w:rPr>
          <w:rtl w:val="0"/>
        </w:rPr>
        <w:t xml:space="preserve">Evaluar el cómo el uso continuo de la inteligencia artificial ha impactado el desarrollo de la vida universitaria de alumnos y profesores, creando así dependencia a estas herramientas, pero a la vez, aumenta la exigencia hacia el cuerpo estudiantil. </w:t>
      </w:r>
    </w:p>
    <w:p w:rsidR="00000000" w:rsidDel="00000000" w:rsidP="00000000" w:rsidRDefault="00000000" w:rsidRPr="00000000" w14:paraId="00000034">
      <w:pPr>
        <w:ind w:left="720" w:firstLine="0"/>
        <w:jc w:val="both"/>
        <w:rPr/>
      </w:pPr>
      <w:r w:rsidDel="00000000" w:rsidR="00000000" w:rsidRPr="00000000">
        <w:rPr>
          <w:rtl w:val="0"/>
        </w:rPr>
        <w:t xml:space="preserve"> </w:t>
      </w:r>
    </w:p>
    <w:p w:rsidR="00000000" w:rsidDel="00000000" w:rsidP="00000000" w:rsidRDefault="00000000" w:rsidRPr="00000000" w14:paraId="00000035">
      <w:pPr>
        <w:ind w:left="720" w:firstLine="0"/>
        <w:jc w:val="both"/>
        <w:rPr>
          <w:b w:val="1"/>
          <w:bCs w:val="1"/>
        </w:rPr>
      </w:pPr>
      <w:r w:rsidDel="00000000" w:rsidR="00000000" w:rsidRPr="00000000">
        <w:rPr>
          <w:b w:val="1"/>
          <w:bCs w:val="1"/>
          <w:rtl w:val="0"/>
        </w:rPr>
        <w:t xml:space="preserve">Objetivo específico 1:</w:t>
      </w:r>
    </w:p>
    <w:p w:rsidR="00000000" w:rsidDel="00000000" w:rsidP="00000000" w:rsidRDefault="00000000" w:rsidRPr="00000000" w14:paraId="00000036">
      <w:pPr>
        <w:ind w:left="720" w:firstLine="0"/>
        <w:jc w:val="both"/>
        <w:rPr/>
      </w:pPr>
      <w:r w:rsidDel="00000000" w:rsidR="00000000" w:rsidRPr="00000000">
        <w:rPr>
          <w:rtl w:val="0"/>
        </w:rPr>
        <w:t xml:space="preserve">Relacionar el grado de exposición previa a herramientas de inteligencia artificial con la capacidad del individuo para identificar y diferenciar respuestas generadas por IA de aquellas producidas por humanos. </w:t>
      </w:r>
    </w:p>
    <w:p w:rsidR="00000000" w:rsidDel="00000000" w:rsidP="00000000" w:rsidRDefault="00000000" w:rsidRPr="00000000" w14:paraId="00000037">
      <w:pPr>
        <w:jc w:val="both"/>
        <w:rPr/>
      </w:pPr>
      <w:r w:rsidDel="00000000" w:rsidR="00000000" w:rsidRPr="00000000">
        <w:rPr>
          <w:rtl w:val="0"/>
        </w:rPr>
        <w:t xml:space="preserve"> </w:t>
      </w:r>
    </w:p>
    <w:p w:rsidR="00000000" w:rsidDel="00000000" w:rsidP="00000000" w:rsidRDefault="00000000" w:rsidRPr="00000000" w14:paraId="00000038">
      <w:pPr>
        <w:ind w:left="720" w:firstLine="0"/>
        <w:jc w:val="both"/>
        <w:rPr>
          <w:b w:val="1"/>
          <w:bCs w:val="1"/>
        </w:rPr>
      </w:pPr>
      <w:r w:rsidDel="00000000" w:rsidR="00000000" w:rsidRPr="00000000">
        <w:rPr>
          <w:b w:val="1"/>
          <w:bCs w:val="1"/>
          <w:rtl w:val="0"/>
        </w:rPr>
        <w:t xml:space="preserve">Objetivo específico 2: </w:t>
      </w:r>
    </w:p>
    <w:p w:rsidR="00000000" w:rsidDel="00000000" w:rsidP="00000000" w:rsidRDefault="00000000" w:rsidRPr="00000000" w14:paraId="00000039">
      <w:pPr>
        <w:ind w:left="720" w:firstLine="0"/>
        <w:jc w:val="both"/>
        <w:rPr/>
      </w:pPr>
      <w:r w:rsidDel="00000000" w:rsidR="00000000" w:rsidRPr="00000000">
        <w:rPr>
          <w:rtl w:val="0"/>
        </w:rPr>
        <w:t xml:space="preserve">Comparar la eficiencia del grupo de investigación al terminar con sus responsabilidades utilizando o no, herramientas de IA generativa usando una aplicación móvil que recopile los datos.  </w:t>
      </w:r>
    </w:p>
    <w:p w:rsidR="00000000" w:rsidDel="00000000" w:rsidP="00000000" w:rsidRDefault="00000000" w:rsidRPr="00000000" w14:paraId="0000003A">
      <w:pPr>
        <w:ind w:left="720" w:firstLine="0"/>
        <w:jc w:val="both"/>
        <w:rPr/>
      </w:pPr>
      <w:r w:rsidDel="00000000" w:rsidR="00000000" w:rsidRPr="00000000">
        <w:rPr>
          <w:rtl w:val="0"/>
        </w:rPr>
        <w:t xml:space="preserve"> </w:t>
      </w:r>
    </w:p>
    <w:p w:rsidR="00000000" w:rsidDel="00000000" w:rsidP="00000000" w:rsidRDefault="00000000" w:rsidRPr="00000000" w14:paraId="0000003B">
      <w:pPr>
        <w:ind w:left="720" w:firstLine="0"/>
        <w:jc w:val="both"/>
        <w:rPr>
          <w:b w:val="1"/>
          <w:bCs w:val="1"/>
        </w:rPr>
      </w:pPr>
      <w:r w:rsidDel="00000000" w:rsidR="00000000" w:rsidRPr="00000000">
        <w:rPr>
          <w:b w:val="1"/>
          <w:bCs w:val="1"/>
          <w:rtl w:val="0"/>
        </w:rPr>
        <w:t xml:space="preserve">Objetivo específico 3: </w:t>
      </w:r>
    </w:p>
    <w:p w:rsidR="00000000" w:rsidDel="00000000" w:rsidP="00000000" w:rsidRDefault="00000000" w:rsidRPr="00000000" w14:paraId="0000003C">
      <w:pPr>
        <w:ind w:left="720" w:firstLine="0"/>
        <w:jc w:val="both"/>
        <w:rPr/>
      </w:pPr>
      <w:r w:rsidDel="00000000" w:rsidR="00000000" w:rsidRPr="00000000">
        <w:rPr>
          <w:rtl w:val="0"/>
        </w:rPr>
        <w:t xml:space="preserve">Analizar la influencia del uso frecuente de herramientas de inteligencia artificial generativa en la capacidad de los estudiantes para evaluar críticamente la información y tomar decisiones de manera autónoma en sus actividades académicas.</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left="0" w:firstLine="0"/>
        <w:jc w:val="both"/>
        <w:rPr>
          <w:b w:val="1"/>
          <w:bCs w:val="1"/>
        </w:rPr>
      </w:pPr>
      <w:r w:rsidDel="00000000" w:rsidR="00000000" w:rsidRPr="00000000">
        <w:rPr>
          <w:b w:val="1"/>
          <w:bCs w:val="1"/>
          <w:rtl w:val="0"/>
        </w:rPr>
        <w:t xml:space="preserve">3. Antecedentes del Problema</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La integración de la inteligencia artificial generativa en la educación superior ha generado investigaciones sobre sus efectos en el aprendizaje, el pensamiento crítico y la autonomía de los estudiantes. Urhahne et al. (2026) realizaron un estudio cuantitativo con 185 estudiantes de una universidad alemana para analizar cómo las creencias epistémicas influyen en la adopción o rechazo de ChatGPT en contextos académicos. Los resultados mostraron que estas creencias predicen principalmente su uso instrumental y, en menor medida, su rechazo. La justificación del conocimiento fue el principal predictor del uso de la herramienta, mientras que el escepticismo sobre su confiabilidad se relacionó con mayores preocupaciones tecnológicas y éticas. Además, la mayoría de los estudiantes presentó creencias "multiplistas", reconociendo las limitaciones de ChatGPT pero utilizándolo como fuente de referencia, lo que sugiere que la exposición frecuente sin formación crítica puede afectar la manera en que los estudiantes evalúan el conocimiento de forma autónoma.</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Por su parte, Weigelt et al. (2026) estudiaron mediante </w:t>
      </w:r>
      <w:r w:rsidDel="00000000" w:rsidR="00000000" w:rsidRPr="00000000">
        <w:rPr>
          <w:i w:val="1"/>
          <w:iCs w:val="1"/>
          <w:rtl w:val="0"/>
        </w:rPr>
        <w:t xml:space="preserve">eye-tracking</w:t>
      </w:r>
      <w:r w:rsidDel="00000000" w:rsidR="00000000" w:rsidRPr="00000000">
        <w:rPr>
          <w:rtl w:val="0"/>
        </w:rPr>
        <w:t xml:space="preserve"> cómo una exposición guiada frente a una no guiada a imágenes </w:t>
      </w:r>
      <w:r w:rsidDel="00000000" w:rsidR="00000000" w:rsidRPr="00000000">
        <w:rPr>
          <w:i w:val="1"/>
          <w:iCs w:val="1"/>
          <w:rtl w:val="0"/>
        </w:rPr>
        <w:t xml:space="preserve">deepfake</w:t>
      </w:r>
      <w:r w:rsidDel="00000000" w:rsidR="00000000" w:rsidRPr="00000000">
        <w:rPr>
          <w:rtl w:val="0"/>
        </w:rPr>
        <w:t xml:space="preserve"> influye en la capacidad de estudiantes universitarios para identificar contenido generado por IA y desarrollar pensamiento crítico. El grupo que recibió una intervención de alfabetización crítica mostró patrones de atención visual más amplios y mayor precisión para identificar imágenes generadas por IA. Sin embargo, ambos grupos sobreestimaron su capacidad de detección, fenómeno relacionado por los autores con el efecto Dunning-Kruger y la falta de conciencia sobre sus propias limitaciones. Estos resultados muestran que la exposición a la IA por sí sola no garantiza la capacidad para evaluar sus contenidos, siendo necesaria una formación crítica explícita. También se identificó el fenómeno de </w:t>
      </w:r>
      <w:r w:rsidDel="00000000" w:rsidR="00000000" w:rsidRPr="00000000">
        <w:rPr>
          <w:i w:val="1"/>
          <w:iCs w:val="1"/>
          <w:rtl w:val="0"/>
        </w:rPr>
        <w:t xml:space="preserve">AI hyperrealism</w:t>
      </w:r>
      <w:r w:rsidDel="00000000" w:rsidR="00000000" w:rsidRPr="00000000">
        <w:rPr>
          <w:rtl w:val="0"/>
        </w:rPr>
        <w:t xml:space="preserve">, mediante el cual los sujetos tienden a considerar auténticas las imágenes generadas por IA.</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Finalmente, Hou et al. (2026) implementaron una intervención de pensamiento crítico en un entorno de aprendizaje basado en problemas con 226 estudiantes universitarios en Singapur. El grupo de comparación utilizó IA generativa libremente, mientras que el grupo experimental recibió un uso estructurado mediante instrucción, un chatbot basado en GPT con tutoría socrática y dinámicas de juego de roles. La intervención redujo marginalmente el uso irreflexivo de la IA y produjo soluciones grupales más originales y con mayor densidad de ideas. En contraste, el grupo de comparación mostró una mayor adopción directa de contenido generado por IA y, aunque obtuvo mejores resultados en algunas dimensiones de coherencia y elaboración, esto ocurrió a costa de la originalidad y el pensamiento independiente. Los autores señalan que no solo importa si los estudiantes utilizan IA, sino cómo la utilizan, y que las intervenciones pedagógicas pueden modificar los patrones de dependencia.</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En conjunto, estos estudios muestran que la IA generativa puede mejorar la eficiencia y el acceso a información, pero también puede afectar el pensamiento crítico, la autonomía y la capacidad de evaluar información de manera independiente. Los tres trabajos coinciden en la importancia de desarrollar competencias de evaluación crítica para promover un uso reflexivo de estas herramientas y reducir la dependencia y la sobreconfianza en sus resultados.</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b w:val="1"/>
          <w:bCs w:val="1"/>
        </w:rPr>
      </w:pPr>
      <w:r w:rsidDel="00000000" w:rsidR="00000000" w:rsidRPr="00000000">
        <w:rPr>
          <w:b w:val="1"/>
          <w:bCs w:val="1"/>
          <w:rtl w:val="0"/>
        </w:rPr>
        <w:t xml:space="preserve">4. Problemas</w:t>
      </w:r>
    </w:p>
    <w:p w:rsidR="00000000" w:rsidDel="00000000" w:rsidP="00000000" w:rsidRDefault="00000000" w:rsidRPr="00000000" w14:paraId="00000046">
      <w:pPr>
        <w:ind w:left="0" w:firstLine="0"/>
        <w:jc w:val="both"/>
        <w:rPr>
          <w:b w:val="1"/>
          <w:bCs w:val="1"/>
        </w:rPr>
      </w:pPr>
      <w:r w:rsidDel="00000000" w:rsidR="00000000" w:rsidRPr="00000000">
        <w:rPr>
          <w:b w:val="1"/>
          <w:bCs w:val="1"/>
          <w:rtl w:val="0"/>
        </w:rPr>
        <w:tab/>
        <w:t xml:space="preserve">4.1 Problema Eje</w:t>
      </w:r>
    </w:p>
    <w:p w:rsidR="00000000" w:rsidDel="00000000" w:rsidP="00000000" w:rsidRDefault="00000000" w:rsidRPr="00000000" w14:paraId="00000047">
      <w:pPr>
        <w:ind w:left="720" w:firstLine="0"/>
        <w:jc w:val="both"/>
        <w:rPr>
          <w:b w:val="1"/>
          <w:bCs w:val="1"/>
        </w:rPr>
      </w:pPr>
      <w:r w:rsidDel="00000000" w:rsidR="00000000" w:rsidRPr="00000000">
        <w:rPr>
          <w:rtl w:val="0"/>
        </w:rPr>
        <w:t xml:space="preserve">¿De qué manera influye la integración de la inteligencia artificial generativa en el ámbito académico, emocional y ético de los estudiantes de educación superior?</w:t>
      </w:r>
      <w:r w:rsidDel="00000000" w:rsidR="00000000" w:rsidRPr="00000000">
        <w:rPr>
          <w:rtl w:val="0"/>
        </w:rPr>
      </w:r>
    </w:p>
    <w:p w:rsidR="00000000" w:rsidDel="00000000" w:rsidP="00000000" w:rsidRDefault="00000000" w:rsidRPr="00000000" w14:paraId="00000048">
      <w:pPr>
        <w:ind w:left="0" w:firstLine="0"/>
        <w:jc w:val="both"/>
        <w:rPr>
          <w:b w:val="1"/>
          <w:bCs w:val="1"/>
        </w:rPr>
      </w:pPr>
      <w:r w:rsidDel="00000000" w:rsidR="00000000" w:rsidRPr="00000000">
        <w:rPr>
          <w:rtl w:val="0"/>
        </w:rPr>
      </w:r>
    </w:p>
    <w:p w:rsidR="00000000" w:rsidDel="00000000" w:rsidP="00000000" w:rsidRDefault="00000000" w:rsidRPr="00000000" w14:paraId="00000049">
      <w:pPr>
        <w:ind w:left="0" w:firstLine="0"/>
        <w:jc w:val="both"/>
        <w:rPr>
          <w:b w:val="1"/>
          <w:bCs w:val="1"/>
        </w:rPr>
      </w:pPr>
      <w:r w:rsidDel="00000000" w:rsidR="00000000" w:rsidRPr="00000000">
        <w:rPr>
          <w:b w:val="1"/>
          <w:bCs w:val="1"/>
          <w:rtl w:val="0"/>
        </w:rPr>
        <w:tab/>
        <w:t xml:space="preserve">Problema específico 1:</w:t>
      </w:r>
    </w:p>
    <w:p w:rsidR="00000000" w:rsidDel="00000000" w:rsidP="00000000" w:rsidRDefault="00000000" w:rsidRPr="00000000" w14:paraId="0000004A">
      <w:pPr>
        <w:ind w:left="0" w:firstLine="0"/>
        <w:jc w:val="both"/>
        <w:rPr>
          <w:b w:val="1"/>
          <w:bCs w:val="1"/>
        </w:rPr>
      </w:pPr>
      <w:r w:rsidDel="00000000" w:rsidR="00000000" w:rsidRPr="00000000">
        <w:rPr>
          <w:rtl w:val="0"/>
        </w:rPr>
      </w:r>
    </w:p>
    <w:p w:rsidR="00000000" w:rsidDel="00000000" w:rsidP="00000000" w:rsidRDefault="00000000" w:rsidRPr="00000000" w14:paraId="0000004B">
      <w:pPr>
        <w:ind w:left="0" w:firstLine="0"/>
        <w:jc w:val="both"/>
        <w:rPr>
          <w:b w:val="1"/>
          <w:bCs w:val="1"/>
        </w:rPr>
      </w:pPr>
      <w:r w:rsidDel="00000000" w:rsidR="00000000" w:rsidRPr="00000000">
        <w:rPr>
          <w:b w:val="1"/>
          <w:bCs w:val="1"/>
          <w:rtl w:val="0"/>
        </w:rPr>
        <w:tab/>
        <w:t xml:space="preserve">Problema específico 2:</w:t>
      </w:r>
    </w:p>
    <w:p w:rsidR="00000000" w:rsidDel="00000000" w:rsidP="00000000" w:rsidRDefault="00000000" w:rsidRPr="00000000" w14:paraId="0000004C">
      <w:pPr>
        <w:ind w:left="0" w:firstLine="0"/>
        <w:jc w:val="both"/>
        <w:rPr>
          <w:b w:val="1"/>
          <w:bCs w:val="1"/>
        </w:rPr>
      </w:pPr>
      <w:r w:rsidDel="00000000" w:rsidR="00000000" w:rsidRPr="00000000">
        <w:rPr>
          <w:rtl w:val="0"/>
        </w:rPr>
      </w:r>
    </w:p>
    <w:p w:rsidR="00000000" w:rsidDel="00000000" w:rsidP="00000000" w:rsidRDefault="00000000" w:rsidRPr="00000000" w14:paraId="0000004D">
      <w:pPr>
        <w:ind w:left="0" w:firstLine="0"/>
        <w:jc w:val="both"/>
        <w:rPr>
          <w:b w:val="1"/>
          <w:bCs w:val="1"/>
        </w:rPr>
      </w:pPr>
      <w:r w:rsidDel="00000000" w:rsidR="00000000" w:rsidRPr="00000000">
        <w:rPr>
          <w:b w:val="1"/>
          <w:bCs w:val="1"/>
          <w:rtl w:val="0"/>
        </w:rPr>
        <w:tab/>
        <w:t xml:space="preserve">Problema específico 3:</w:t>
      </w:r>
    </w:p>
    <w:p w:rsidR="00000000" w:rsidDel="00000000" w:rsidP="00000000" w:rsidRDefault="00000000" w:rsidRPr="00000000" w14:paraId="0000004E">
      <w:pPr>
        <w:ind w:left="720" w:firstLine="0"/>
        <w:jc w:val="both"/>
        <w:rPr/>
      </w:pPr>
      <w:r w:rsidDel="00000000" w:rsidR="00000000" w:rsidRPr="00000000">
        <w:rPr>
          <w:rtl w:val="0"/>
        </w:rPr>
        <w:t xml:space="preserve">¿Cómo influye el uso frecuente de herramientas de inteligencia artificial generativa en la capacidad de los estudiantes universitarios para evaluar críticamente la información y tomar decisiones de manera autónoma en sus actividades académicas?</w:t>
      </w:r>
    </w:p>
    <w:p w:rsidR="00000000" w:rsidDel="00000000" w:rsidP="00000000" w:rsidRDefault="00000000" w:rsidRPr="00000000" w14:paraId="0000004F">
      <w:pPr>
        <w:ind w:left="0" w:firstLine="0"/>
        <w:jc w:val="both"/>
        <w:rPr>
          <w:b w:val="1"/>
          <w:bCs w:val="1"/>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50">
      <w:pPr>
        <w:jc w:val="both"/>
        <w:rPr>
          <w:color w:val="1f1f1f"/>
          <w:sz w:val="24"/>
          <w:szCs w:val="24"/>
        </w:rPr>
      </w:pPr>
      <w:r w:rsidDel="00000000" w:rsidR="00000000" w:rsidRPr="00000000">
        <w:rPr>
          <w:color w:val="1f1f1f"/>
          <w:sz w:val="24"/>
          <w:szCs w:val="24"/>
          <w:rtl w:val="0"/>
        </w:rPr>
        <w:tab/>
      </w:r>
    </w:p>
    <w:p w:rsidR="00000000" w:rsidDel="00000000" w:rsidP="00000000" w:rsidRDefault="00000000" w:rsidRPr="00000000" w14:paraId="00000051">
      <w:pPr>
        <w:jc w:val="both"/>
        <w:rPr>
          <w:b w:val="1"/>
          <w:bCs w:val="1"/>
        </w:rPr>
      </w:pPr>
      <w:r w:rsidDel="00000000" w:rsidR="00000000" w:rsidRPr="00000000">
        <w:rPr>
          <w:b w:val="1"/>
          <w:bCs w:val="1"/>
          <w:rtl w:val="0"/>
        </w:rPr>
        <w:t xml:space="preserve">5.- Hipótesis</w:t>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color w:val="1f1f1f"/>
          <w:sz w:val="24"/>
          <w:szCs w:val="24"/>
        </w:rPr>
      </w:pPr>
      <w:r w:rsidDel="00000000" w:rsidR="00000000" w:rsidRPr="00000000">
        <w:rPr>
          <w:color w:val="1f1f1f"/>
          <w:sz w:val="24"/>
          <w:szCs w:val="24"/>
          <w:rtl w:val="0"/>
        </w:rPr>
        <w:tab/>
      </w:r>
      <w:r w:rsidDel="00000000" w:rsidR="00000000" w:rsidRPr="00000000">
        <w:rPr>
          <w:b w:val="1"/>
          <w:bCs w:val="1"/>
          <w:rtl w:val="0"/>
        </w:rPr>
        <w:t xml:space="preserve">Hipótesis General:</w:t>
      </w:r>
      <w:r w:rsidDel="00000000" w:rsidR="00000000" w:rsidRPr="00000000">
        <w:rPr>
          <w:rtl w:val="0"/>
        </w:rPr>
      </w:r>
    </w:p>
    <w:p w:rsidR="00000000" w:rsidDel="00000000" w:rsidP="00000000" w:rsidRDefault="00000000" w:rsidRPr="00000000" w14:paraId="00000054">
      <w:pPr>
        <w:ind w:left="720" w:firstLine="0"/>
        <w:jc w:val="both"/>
        <w:rPr>
          <w:color w:val="1f1f1f"/>
        </w:rPr>
      </w:pPr>
      <w:r w:rsidDel="00000000" w:rsidR="00000000" w:rsidRPr="00000000">
        <w:rPr>
          <w:color w:val="1f1f1f"/>
          <w:rtl w:val="0"/>
        </w:rPr>
        <w:t xml:space="preserve">Tanto el cuerpo estudiantil como los maestros tienden a adaptarse a las herramientas de inteligencia artificial permitiendo alcanzar mejores resultados, sin embargo ampliando las metas las cuales podrían causar un agobio al alumnado para cumplir con sus estudios.</w:t>
      </w:r>
    </w:p>
    <w:p w:rsidR="00000000" w:rsidDel="00000000" w:rsidP="00000000" w:rsidRDefault="00000000" w:rsidRPr="00000000" w14:paraId="00000055">
      <w:pPr>
        <w:ind w:left="720" w:firstLine="0"/>
        <w:jc w:val="both"/>
        <w:rPr>
          <w:color w:val="1f1f1f"/>
        </w:rPr>
      </w:pPr>
      <w:r w:rsidDel="00000000" w:rsidR="00000000" w:rsidRPr="00000000">
        <w:rPr>
          <w:rtl w:val="0"/>
        </w:rPr>
      </w:r>
    </w:p>
    <w:p w:rsidR="00000000" w:rsidDel="00000000" w:rsidP="00000000" w:rsidRDefault="00000000" w:rsidRPr="00000000" w14:paraId="00000056">
      <w:pPr>
        <w:ind w:left="0" w:firstLine="0"/>
        <w:jc w:val="both"/>
        <w:rPr>
          <w:color w:val="1f1f1f"/>
          <w:sz w:val="24"/>
          <w:szCs w:val="24"/>
        </w:rPr>
      </w:pPr>
      <w:r w:rsidDel="00000000" w:rsidR="00000000" w:rsidRPr="00000000">
        <w:rPr>
          <w:color w:val="1f1f1f"/>
          <w:sz w:val="24"/>
          <w:szCs w:val="24"/>
          <w:rtl w:val="0"/>
        </w:rPr>
        <w:tab/>
      </w:r>
      <w:r w:rsidDel="00000000" w:rsidR="00000000" w:rsidRPr="00000000">
        <w:rPr>
          <w:b w:val="1"/>
          <w:bCs w:val="1"/>
          <w:rtl w:val="0"/>
        </w:rPr>
        <w:t xml:space="preserve">Hipótesis Especifica 1:</w:t>
      </w:r>
      <w:r w:rsidDel="00000000" w:rsidR="00000000" w:rsidRPr="00000000">
        <w:rPr>
          <w:rtl w:val="0"/>
        </w:rPr>
      </w:r>
    </w:p>
    <w:p w:rsidR="00000000" w:rsidDel="00000000" w:rsidP="00000000" w:rsidRDefault="00000000" w:rsidRPr="00000000" w14:paraId="00000057">
      <w:pPr>
        <w:ind w:left="720" w:firstLine="0"/>
        <w:jc w:val="both"/>
        <w:rPr>
          <w:color w:val="1f1f1f"/>
        </w:rPr>
      </w:pPr>
      <w:r w:rsidDel="00000000" w:rsidR="00000000" w:rsidRPr="00000000">
        <w:rPr>
          <w:color w:val="1f1f1f"/>
          <w:rtl w:val="0"/>
        </w:rPr>
        <w:t xml:space="preserve">Al implementar la inteligencia artificial en un uso común y utilizando los “</w:t>
      </w:r>
      <w:r w:rsidDel="00000000" w:rsidR="00000000" w:rsidRPr="00000000">
        <w:rPr>
          <w:color w:val="1f1f1f"/>
          <w:rtl w:val="0"/>
        </w:rPr>
        <w:t xml:space="preserve">prompts</w:t>
      </w:r>
      <w:r w:rsidDel="00000000" w:rsidR="00000000" w:rsidRPr="00000000">
        <w:rPr>
          <w:color w:val="1f1f1f"/>
          <w:rtl w:val="0"/>
        </w:rPr>
        <w:t xml:space="preserve">” correctos es probable que la inteligencia artificial logre un resultado indistinguible a una respuesta creada por una persona física.</w:t>
      </w:r>
    </w:p>
    <w:p w:rsidR="00000000" w:rsidDel="00000000" w:rsidP="00000000" w:rsidRDefault="00000000" w:rsidRPr="00000000" w14:paraId="00000058">
      <w:pPr>
        <w:ind w:left="720" w:firstLine="0"/>
        <w:jc w:val="both"/>
        <w:rPr>
          <w:color w:val="1f1f1f"/>
        </w:rPr>
      </w:pPr>
      <w:r w:rsidDel="00000000" w:rsidR="00000000" w:rsidRPr="00000000">
        <w:rPr>
          <w:rtl w:val="0"/>
        </w:rPr>
      </w:r>
    </w:p>
    <w:p w:rsidR="00000000" w:rsidDel="00000000" w:rsidP="00000000" w:rsidRDefault="00000000" w:rsidRPr="00000000" w14:paraId="00000059">
      <w:pPr>
        <w:jc w:val="both"/>
        <w:rPr>
          <w:color w:val="1f1f1f"/>
        </w:rPr>
      </w:pPr>
      <w:r w:rsidDel="00000000" w:rsidR="00000000" w:rsidRPr="00000000">
        <w:rPr>
          <w:color w:val="1f1f1f"/>
          <w:rtl w:val="0"/>
        </w:rPr>
        <w:tab/>
      </w:r>
      <w:r w:rsidDel="00000000" w:rsidR="00000000" w:rsidRPr="00000000">
        <w:rPr>
          <w:b w:val="1"/>
          <w:bCs w:val="1"/>
          <w:rtl w:val="0"/>
        </w:rPr>
        <w:t xml:space="preserve">Hipótesis Especifica 2:</w:t>
      </w:r>
      <w:r w:rsidDel="00000000" w:rsidR="00000000" w:rsidRPr="00000000">
        <w:rPr>
          <w:rtl w:val="0"/>
        </w:rPr>
      </w:r>
    </w:p>
    <w:p w:rsidR="00000000" w:rsidDel="00000000" w:rsidP="00000000" w:rsidRDefault="00000000" w:rsidRPr="00000000" w14:paraId="0000005A">
      <w:pPr>
        <w:ind w:left="720" w:firstLine="0"/>
        <w:jc w:val="both"/>
        <w:rPr>
          <w:color w:val="1f1f1f"/>
        </w:rPr>
      </w:pPr>
      <w:r w:rsidDel="00000000" w:rsidR="00000000" w:rsidRPr="00000000">
        <w:rPr>
          <w:color w:val="1f1f1f"/>
          <w:rtl w:val="0"/>
        </w:rPr>
        <w:t xml:space="preserve">Tanto el cuerpo estudiantil como los profesores tendrán un aumento de cantidad de   responsabilidades, pero con la IA dichas responsabilidades son completadas en un menor tiempo.</w:t>
      </w:r>
    </w:p>
    <w:p w:rsidR="00000000" w:rsidDel="00000000" w:rsidP="00000000" w:rsidRDefault="00000000" w:rsidRPr="00000000" w14:paraId="0000005B">
      <w:pPr>
        <w:ind w:left="720" w:firstLine="0"/>
        <w:jc w:val="both"/>
        <w:rPr>
          <w:color w:val="1f1f1f"/>
        </w:rPr>
      </w:pPr>
      <w:r w:rsidDel="00000000" w:rsidR="00000000" w:rsidRPr="00000000">
        <w:rPr>
          <w:rtl w:val="0"/>
        </w:rPr>
      </w:r>
    </w:p>
    <w:p w:rsidR="00000000" w:rsidDel="00000000" w:rsidP="00000000" w:rsidRDefault="00000000" w:rsidRPr="00000000" w14:paraId="0000005C">
      <w:pPr>
        <w:jc w:val="both"/>
        <w:rPr>
          <w:color w:val="1f1f1f"/>
        </w:rPr>
      </w:pPr>
      <w:r w:rsidDel="00000000" w:rsidR="00000000" w:rsidRPr="00000000">
        <w:rPr>
          <w:color w:val="1f1f1f"/>
          <w:rtl w:val="0"/>
        </w:rPr>
        <w:tab/>
      </w:r>
      <w:r w:rsidDel="00000000" w:rsidR="00000000" w:rsidRPr="00000000">
        <w:rPr>
          <w:b w:val="1"/>
          <w:bCs w:val="1"/>
          <w:rtl w:val="0"/>
        </w:rPr>
        <w:t xml:space="preserve">Hipótesis Específica 3:</w:t>
      </w:r>
      <w:r w:rsidDel="00000000" w:rsidR="00000000" w:rsidRPr="00000000">
        <w:rPr>
          <w:rtl w:val="0"/>
        </w:rPr>
      </w:r>
    </w:p>
    <w:p w:rsidR="00000000" w:rsidDel="00000000" w:rsidP="00000000" w:rsidRDefault="00000000" w:rsidRPr="00000000" w14:paraId="0000005D">
      <w:pPr>
        <w:ind w:left="720" w:firstLine="0"/>
        <w:jc w:val="both"/>
        <w:rPr>
          <w:color w:val="1f1f1f"/>
        </w:rPr>
      </w:pPr>
      <w:r w:rsidDel="00000000" w:rsidR="00000000" w:rsidRPr="00000000">
        <w:rPr>
          <w:color w:val="1f1f1f"/>
          <w:rtl w:val="0"/>
        </w:rPr>
        <w:t xml:space="preserve">Si los alumnos emplean de forma habitual herramientas de inteligencia artificial generativa, su habilidad para juzgar la información de manera crítica y tomar decisiones autónomamente en sus actividades académicas podría verse disminuida, ya que se vuelven más dependientes de estas herramientas para la resolución de tareas y la formulación de respuestas.</w:t>
      </w:r>
    </w:p>
    <w:p w:rsidR="00000000" w:rsidDel="00000000" w:rsidP="00000000" w:rsidRDefault="00000000" w:rsidRPr="00000000" w14:paraId="0000005E">
      <w:pPr>
        <w:ind w:left="720" w:firstLine="0"/>
        <w:jc w:val="both"/>
        <w:rPr>
          <w:color w:val="1f1f1f"/>
        </w:rPr>
      </w:pPr>
      <w:r w:rsidDel="00000000" w:rsidR="00000000" w:rsidRPr="00000000">
        <w:rPr>
          <w:rtl w:val="0"/>
        </w:rPr>
      </w:r>
    </w:p>
    <w:p w:rsidR="00000000" w:rsidDel="00000000" w:rsidP="00000000" w:rsidRDefault="00000000" w:rsidRPr="00000000" w14:paraId="0000005F">
      <w:pPr>
        <w:ind w:left="0" w:firstLine="0"/>
        <w:jc w:val="both"/>
        <w:rPr>
          <w:b w:val="1"/>
          <w:bCs w:val="1"/>
          <w:color w:val="1f1f1f"/>
        </w:rPr>
      </w:pPr>
      <w:r w:rsidDel="00000000" w:rsidR="00000000" w:rsidRPr="00000000">
        <w:rPr>
          <w:b w:val="1"/>
          <w:bCs w:val="1"/>
          <w:color w:val="1f1f1f"/>
          <w:rtl w:val="0"/>
        </w:rPr>
        <w:t xml:space="preserve">6. Marcos de Referencia</w:t>
      </w:r>
    </w:p>
    <w:p w:rsidR="00000000" w:rsidDel="00000000" w:rsidP="00000000" w:rsidRDefault="00000000" w:rsidRPr="00000000" w14:paraId="00000060">
      <w:pPr>
        <w:ind w:left="0" w:firstLine="0"/>
        <w:jc w:val="both"/>
        <w:rPr>
          <w:color w:val="1f1f1f"/>
        </w:rPr>
      </w:pPr>
      <w:r w:rsidDel="00000000" w:rsidR="00000000" w:rsidRPr="00000000">
        <w:rPr>
          <w:rtl w:val="0"/>
        </w:rPr>
      </w:r>
    </w:p>
    <w:p w:rsidR="00000000" w:rsidDel="00000000" w:rsidP="00000000" w:rsidRDefault="00000000" w:rsidRPr="00000000" w14:paraId="00000061">
      <w:pPr>
        <w:ind w:left="0" w:firstLine="0"/>
        <w:jc w:val="both"/>
        <w:rPr>
          <w:color w:val="1f1f1f"/>
        </w:rPr>
      </w:pPr>
      <w:r w:rsidDel="00000000" w:rsidR="00000000" w:rsidRPr="00000000">
        <w:rPr>
          <w:b w:val="1"/>
          <w:bCs w:val="1"/>
          <w:color w:val="1f1f1f"/>
          <w:rtl w:val="0"/>
        </w:rPr>
        <w:t xml:space="preserve">Estado del Arte: </w:t>
      </w:r>
      <w:r w:rsidDel="00000000" w:rsidR="00000000" w:rsidRPr="00000000">
        <w:rPr>
          <w:rtl w:val="0"/>
        </w:rPr>
      </w:r>
    </w:p>
    <w:p w:rsidR="00000000" w:rsidDel="00000000" w:rsidP="00000000" w:rsidRDefault="00000000" w:rsidRPr="00000000" w14:paraId="00000062">
      <w:pPr>
        <w:spacing w:after="240" w:before="240" w:lineRule="auto"/>
        <w:jc w:val="both"/>
        <w:rPr>
          <w:color w:val="1f1f1f"/>
        </w:rPr>
      </w:pPr>
      <w:r w:rsidDel="00000000" w:rsidR="00000000" w:rsidRPr="00000000">
        <w:rPr>
          <w:color w:val="1f1f1f"/>
          <w:rtl w:val="0"/>
        </w:rPr>
        <w:t xml:space="preserve">Las investigaciones más recientes sobre el impacto de la inteligencia artificial generativa en la educación superior revelan un panorama complejo en el que los beneficios cognitivos coexisten con riesgos significativos para el pensamiento crítico y la autonomía académica. Abdallah et al. (2025), en una revisión sistemática publicada en </w:t>
      </w:r>
      <w:r w:rsidDel="00000000" w:rsidR="00000000" w:rsidRPr="00000000">
        <w:rPr>
          <w:i w:val="1"/>
          <w:iCs w:val="1"/>
          <w:color w:val="1f1f1f"/>
          <w:rtl w:val="0"/>
        </w:rPr>
        <w:t xml:space="preserve">Social Sciences &amp; Humanities Open</w:t>
      </w:r>
      <w:r w:rsidDel="00000000" w:rsidR="00000000" w:rsidRPr="00000000">
        <w:rPr>
          <w:color w:val="1f1f1f"/>
          <w:rtl w:val="0"/>
        </w:rPr>
        <w:t xml:space="preserve"> que analizó 39 estudios empíricos publicados entre 2023 y 2024, identificaron cinco dimensiones de impacto: rendimiento académico, bienestar emocional, aprendizaje en segunda lengua, presión social entre pares e inspiración creativa. En relación con el rendimiento, el 56.4% de los estudios revisados reportó mejoras medibles asociadas al uso de ChatGPT, particularmente en cursos de ingeniería, programación y análisis de datos, donde la herramienta funcionó como tutor personalizado disponible en todo momento (Abdallah et al., 2025). Sin embargo, los mismos autores señalan que un hilo cautelar recorre consistentemente la literatura: la sobredependencia en las respuestas generadas por la IA puede erosionar las habilidades de pensamiento crítico y construcción de argumentos, ya que los estudiantes tienden a aceptar los resultados sin someterlos a evaluación (Abdallah et al., 2025).</w:t>
      </w:r>
    </w:p>
    <w:p w:rsidR="00000000" w:rsidDel="00000000" w:rsidP="00000000" w:rsidRDefault="00000000" w:rsidRPr="00000000" w14:paraId="00000063">
      <w:pPr>
        <w:spacing w:after="240" w:before="240" w:lineRule="auto"/>
        <w:jc w:val="both"/>
        <w:rPr>
          <w:color w:val="1f1f1f"/>
        </w:rPr>
      </w:pPr>
      <w:r w:rsidDel="00000000" w:rsidR="00000000" w:rsidRPr="00000000">
        <w:rPr>
          <w:color w:val="1f1f1f"/>
          <w:rtl w:val="0"/>
        </w:rPr>
        <w:t xml:space="preserve">Respecto al bienestar emocional, Abdallah et al. (2025) documentan que aproximadamente el 15% de los estudios vincula el uso de ChatGPT con una reducción de la ansiedad ante exámenes y un incremento en la autoeficacia académica, especialmente en contextos de alta presión temporal. No obstante, el uso compulsivo o habitual se asocia con tecnoestrés, aislamiento social y disminución de la satisfacción con la vida cuando la herramienta desplaza la interacción con pares o con el docente. Este hallazgo es convergente con el de Duong et al. (2024), citado en la misma revisión, quien documentó en más de 2700 estudiantes distribuidos en 16 universidades vietnamitas que el tecnoestrés actúa como variable moderadora que agrava el malestar psicológico derivado del uso compulsivo de la IA.</w:t>
      </w:r>
    </w:p>
    <w:p w:rsidR="00000000" w:rsidDel="00000000" w:rsidP="00000000" w:rsidRDefault="00000000" w:rsidRPr="00000000" w14:paraId="00000064">
      <w:pPr>
        <w:spacing w:after="240" w:before="240" w:lineRule="auto"/>
        <w:jc w:val="both"/>
        <w:rPr>
          <w:color w:val="1f1f1f"/>
        </w:rPr>
      </w:pPr>
      <w:r w:rsidDel="00000000" w:rsidR="00000000" w:rsidRPr="00000000">
        <w:rPr>
          <w:color w:val="1f1f1f"/>
          <w:rtl w:val="0"/>
        </w:rPr>
        <w:t xml:space="preserve">En lo que concierne a la comparación entre métodos tradicionales y métodos apoyados en IA, Salih et al. (2025), en una revisión sistemática publicada en </w:t>
      </w:r>
      <w:r w:rsidDel="00000000" w:rsidR="00000000" w:rsidRPr="00000000">
        <w:rPr>
          <w:i w:val="1"/>
          <w:iCs w:val="1"/>
          <w:color w:val="1f1f1f"/>
          <w:rtl w:val="0"/>
        </w:rPr>
        <w:t xml:space="preserve">Results in Engineering</w:t>
      </w:r>
      <w:r w:rsidDel="00000000" w:rsidR="00000000" w:rsidRPr="00000000">
        <w:rPr>
          <w:color w:val="1f1f1f"/>
          <w:rtl w:val="0"/>
        </w:rPr>
        <w:t xml:space="preserve"> con 40 estudios incluidos, ofrecen un análisis estructurado de las ventajas y limitaciones de cada enfoque. Los autores concluyen que los métodos tradicionales preservan la interacción humana, el desarrollo socioemocional y la capacidad para resolver problemas complejos que requieren matices contextuales, mientras que los métodos apoyados en IA destacan por su inmediatez, personalización y escalabilidad (Salih et al., 2025). Al mismo tiempo, advierten que la dependencia excesiva de la tecnología puede derivar en un subdesarrollo del pensamiento crítico y de las habilidades interpersonales, lo que coloca al modelo híbrido combinando la fortaleza del docente con las capacidades de la IA como la aproximación más recomendable para mejorar los resultados de los estudiantes sin comprometer su formación integral (Salih et al., 2025).</w:t>
      </w:r>
    </w:p>
    <w:p w:rsidR="00000000" w:rsidDel="00000000" w:rsidP="00000000" w:rsidRDefault="00000000" w:rsidRPr="00000000" w14:paraId="00000065">
      <w:pPr>
        <w:spacing w:after="240" w:before="240" w:lineRule="auto"/>
        <w:jc w:val="both"/>
        <w:rPr>
          <w:color w:val="1f1f1f"/>
        </w:rPr>
      </w:pPr>
      <w:r w:rsidDel="00000000" w:rsidR="00000000" w:rsidRPr="00000000">
        <w:rPr>
          <w:color w:val="1f1f1f"/>
          <w:rtl w:val="0"/>
        </w:rPr>
        <w:t xml:space="preserve">En cuanto a las implicaciones institucionales y éticas, ambas revisiones convergen en señalar que la integración de herramientas de IA generativa plantea desafíos urgentes en materia de integridad académica, privacidad de datos y equidad de acceso. Salih et al. (2025) documentan respuestas institucionales diversas a nivel global, desde prohibiciones totales en algunas instituciones hasta marcos de uso responsable en otras, y concluyen que la falta de lineamientos claros es el principal factor que facilita el uso inapropiado. Por su parte, Abdallah et al. (2025) señalan que la presión entre pares emerge como un conductor relevante de adopción: los estudiantes tienden a adoptar ChatGPT para mantenerse al ritmo de sus compañeros, lo que amplifica las brechas de equidad digital en contextos donde el acceso a tecnología o la alfabetización en </w:t>
      </w:r>
      <w:r w:rsidDel="00000000" w:rsidR="00000000" w:rsidRPr="00000000">
        <w:rPr>
          <w:i w:val="1"/>
          <w:iCs w:val="1"/>
          <w:color w:val="1f1f1f"/>
          <w:rtl w:val="0"/>
        </w:rPr>
        <w:t xml:space="preserve">prompt engineering</w:t>
      </w:r>
      <w:r w:rsidDel="00000000" w:rsidR="00000000" w:rsidRPr="00000000">
        <w:rPr>
          <w:color w:val="1f1f1f"/>
          <w:rtl w:val="0"/>
        </w:rPr>
        <w:t xml:space="preserve"> es desigual. Ambos estudios coinciden en que las recomendaciones prioritarias incluyen el diseño de evaluaciones híbridas en las que los estudiantes auditen, editen y critiquen los resultados de la IA, la formación de docentes y alumnos en uso ético de estas herramientas, y la realización de estudios longitudinales que permitan determinar si los efectos observados a corto plazo sobre el pensamiento crítico y la autonomía se sostienen o se agravan con el tiempo (Abdallah et al., 2025; Salih et al., 2025).</w:t>
      </w:r>
    </w:p>
    <w:p w:rsidR="00000000" w:rsidDel="00000000" w:rsidP="00000000" w:rsidRDefault="00000000" w:rsidRPr="00000000" w14:paraId="00000066">
      <w:pPr>
        <w:ind w:left="0" w:firstLine="0"/>
        <w:jc w:val="both"/>
        <w:rPr>
          <w:color w:val="1f1f1f"/>
        </w:rPr>
      </w:pPr>
      <w:r w:rsidDel="00000000" w:rsidR="00000000" w:rsidRPr="00000000">
        <w:rPr>
          <w:rtl w:val="0"/>
        </w:rPr>
      </w:r>
    </w:p>
    <w:p w:rsidR="00000000" w:rsidDel="00000000" w:rsidP="00000000" w:rsidRDefault="00000000" w:rsidRPr="00000000" w14:paraId="00000067">
      <w:pPr>
        <w:ind w:left="0" w:firstLine="0"/>
        <w:jc w:val="both"/>
        <w:rPr>
          <w:color w:val="1f1f1f"/>
        </w:rPr>
      </w:pPr>
      <w:r w:rsidDel="00000000" w:rsidR="00000000" w:rsidRPr="00000000">
        <w:rPr>
          <w:rtl w:val="0"/>
        </w:rPr>
      </w:r>
    </w:p>
    <w:p w:rsidR="00000000" w:rsidDel="00000000" w:rsidP="00000000" w:rsidRDefault="00000000" w:rsidRPr="00000000" w14:paraId="00000068">
      <w:pPr>
        <w:ind w:left="0" w:firstLine="0"/>
        <w:jc w:val="both"/>
        <w:rPr>
          <w:b w:val="1"/>
          <w:bCs w:val="1"/>
          <w:color w:val="1f1f1f"/>
        </w:rPr>
      </w:pPr>
      <w:r w:rsidDel="00000000" w:rsidR="00000000" w:rsidRPr="00000000">
        <w:rPr>
          <w:b w:val="1"/>
          <w:bCs w:val="1"/>
          <w:color w:val="1f1f1f"/>
          <w:rtl w:val="0"/>
        </w:rPr>
        <w:t xml:space="preserve">7. Conceptos Clave</w:t>
      </w:r>
    </w:p>
    <w:p w:rsidR="00000000" w:rsidDel="00000000" w:rsidP="00000000" w:rsidRDefault="00000000" w:rsidRPr="00000000" w14:paraId="00000069">
      <w:pPr>
        <w:ind w:left="0" w:firstLine="0"/>
        <w:jc w:val="both"/>
        <w:rPr>
          <w:color w:val="1f1f1f"/>
        </w:rPr>
      </w:pPr>
      <w:r w:rsidDel="00000000" w:rsidR="00000000" w:rsidRPr="00000000">
        <w:rPr>
          <w:rtl w:val="0"/>
        </w:rPr>
      </w:r>
    </w:p>
    <w:p w:rsidR="00000000" w:rsidDel="00000000" w:rsidP="00000000" w:rsidRDefault="00000000" w:rsidRPr="00000000" w14:paraId="0000006A">
      <w:pPr>
        <w:ind w:left="0" w:firstLine="0"/>
        <w:jc w:val="both"/>
        <w:rPr>
          <w:b w:val="1"/>
          <w:bCs w:val="1"/>
          <w:color w:val="1f1f1f"/>
        </w:rPr>
      </w:pPr>
      <w:r w:rsidDel="00000000" w:rsidR="00000000" w:rsidRPr="00000000">
        <w:rPr>
          <w:b w:val="1"/>
          <w:bCs w:val="1"/>
          <w:color w:val="1f1f1f"/>
          <w:rtl w:val="0"/>
        </w:rPr>
        <w:t xml:space="preserve">8. Criterios Metodológicos</w:t>
      </w:r>
    </w:p>
    <w:p w:rsidR="00000000" w:rsidDel="00000000" w:rsidP="00000000" w:rsidRDefault="00000000" w:rsidRPr="00000000" w14:paraId="0000006B">
      <w:pPr>
        <w:ind w:left="0" w:firstLine="0"/>
        <w:jc w:val="both"/>
        <w:rPr>
          <w:color w:val="1f1f1f"/>
        </w:rPr>
      </w:pPr>
      <w:r w:rsidDel="00000000" w:rsidR="00000000" w:rsidRPr="00000000">
        <w:rPr>
          <w:rtl w:val="0"/>
        </w:rPr>
      </w:r>
    </w:p>
    <w:p w:rsidR="00000000" w:rsidDel="00000000" w:rsidP="00000000" w:rsidRDefault="00000000" w:rsidRPr="00000000" w14:paraId="0000006C">
      <w:pPr>
        <w:ind w:left="0" w:firstLine="0"/>
        <w:jc w:val="both"/>
        <w:rPr>
          <w:b w:val="1"/>
          <w:bCs w:val="1"/>
          <w:color w:val="1f1f1f"/>
        </w:rPr>
      </w:pPr>
      <w:r w:rsidDel="00000000" w:rsidR="00000000" w:rsidRPr="00000000">
        <w:rPr>
          <w:b w:val="1"/>
          <w:bCs w:val="1"/>
          <w:color w:val="1f1f1f"/>
          <w:rtl w:val="0"/>
        </w:rPr>
        <w:t xml:space="preserve">9. Cronograma del proceso de Investigación (Diagrama de Gantt)</w:t>
      </w:r>
    </w:p>
    <w:p w:rsidR="00000000" w:rsidDel="00000000" w:rsidP="00000000" w:rsidRDefault="00000000" w:rsidRPr="00000000" w14:paraId="0000006D">
      <w:pPr>
        <w:ind w:left="0" w:firstLine="0"/>
        <w:jc w:val="both"/>
        <w:rPr>
          <w:b w:val="1"/>
          <w:bCs w:val="1"/>
          <w:color w:val="1f1f1f"/>
        </w:rPr>
      </w:pPr>
      <w:r w:rsidDel="00000000" w:rsidR="00000000" w:rsidRPr="00000000">
        <w:rPr>
          <w:rtl w:val="0"/>
        </w:rPr>
      </w:r>
    </w:p>
    <w:p w:rsidR="00000000" w:rsidDel="00000000" w:rsidP="00000000" w:rsidRDefault="00000000" w:rsidRPr="00000000" w14:paraId="0000006E">
      <w:pPr>
        <w:jc w:val="both"/>
        <w:rPr>
          <w:b w:val="1"/>
          <w:bCs w:val="1"/>
          <w:color w:val="1f1f1f"/>
        </w:rPr>
      </w:pPr>
      <w:r w:rsidDel="00000000" w:rsidR="00000000" w:rsidRPr="00000000">
        <w:rPr>
          <w:b w:val="1"/>
          <w:bCs w:val="1"/>
          <w:color w:val="1f1f1f"/>
          <w:rtl w:val="0"/>
        </w:rPr>
        <w:t xml:space="preserve">10. Referencias</w:t>
      </w:r>
    </w:p>
    <w:p w:rsidR="00000000" w:rsidDel="00000000" w:rsidP="00000000" w:rsidRDefault="00000000" w:rsidRPr="00000000" w14:paraId="0000006F">
      <w:pPr>
        <w:jc w:val="both"/>
        <w:rPr>
          <w:color w:val="1f1f1f"/>
        </w:rPr>
      </w:pPr>
      <w:r w:rsidDel="00000000" w:rsidR="00000000" w:rsidRPr="00000000">
        <w:rPr>
          <w:rtl w:val="0"/>
        </w:rPr>
      </w:r>
    </w:p>
    <w:p w:rsidR="00000000" w:rsidDel="00000000" w:rsidP="00000000" w:rsidRDefault="00000000" w:rsidRPr="00000000" w14:paraId="00000070">
      <w:pPr>
        <w:jc w:val="both"/>
        <w:rPr>
          <w:color w:val="1f1f1f"/>
        </w:rPr>
      </w:pPr>
      <w:r w:rsidDel="00000000" w:rsidR="00000000" w:rsidRPr="00000000">
        <w:rPr>
          <w:color w:val="1f1f1f"/>
          <w:rtl w:val="0"/>
        </w:rPr>
        <w:t xml:space="preserve">1.- Abdallah, N., Ayoub, A., &amp; Mansur, S. (2025)</w:t>
      </w:r>
      <w:r w:rsidDel="00000000" w:rsidR="00000000" w:rsidRPr="00000000">
        <w:rPr>
          <w:b w:val="1"/>
          <w:bCs w:val="1"/>
          <w:color w:val="1f1f1f"/>
          <w:rtl w:val="0"/>
        </w:rPr>
        <w:t xml:space="preserve">.</w:t>
      </w:r>
      <w:r w:rsidDel="00000000" w:rsidR="00000000" w:rsidRPr="00000000">
        <w:rPr>
          <w:color w:val="1f1f1f"/>
          <w:rtl w:val="0"/>
        </w:rPr>
        <w:t xml:space="preserve"> Systematic review of ChatGPT in higher education: Navigating impact on learning, wellbeing, and collaboration. Social Sciences &amp; Humanities Open, 12, 101866. </w:t>
      </w:r>
      <w:hyperlink r:id="rId6">
        <w:r w:rsidDel="00000000" w:rsidR="00000000" w:rsidRPr="00000000">
          <w:rPr>
            <w:color w:val="1155cc"/>
            <w:u w:val="single"/>
            <w:rtl w:val="0"/>
          </w:rPr>
          <w:t xml:space="preserve">https://doi.org/10.1016/j.ssaho.2025.101866</w:t>
        </w:r>
      </w:hyperlink>
      <w:r w:rsidDel="00000000" w:rsidR="00000000" w:rsidRPr="00000000">
        <w:rPr>
          <w:rtl w:val="0"/>
        </w:rPr>
      </w:r>
    </w:p>
    <w:p w:rsidR="00000000" w:rsidDel="00000000" w:rsidP="00000000" w:rsidRDefault="00000000" w:rsidRPr="00000000" w14:paraId="00000071">
      <w:pPr>
        <w:jc w:val="both"/>
        <w:rPr>
          <w:color w:val="1f1f1f"/>
        </w:rPr>
      </w:pPr>
      <w:r w:rsidDel="00000000" w:rsidR="00000000" w:rsidRPr="00000000">
        <w:rPr>
          <w:rtl w:val="0"/>
        </w:rPr>
      </w:r>
    </w:p>
    <w:p w:rsidR="00000000" w:rsidDel="00000000" w:rsidP="00000000" w:rsidRDefault="00000000" w:rsidRPr="00000000" w14:paraId="00000072">
      <w:pPr>
        <w:jc w:val="both"/>
        <w:rPr>
          <w:color w:val="1f1f1f"/>
        </w:rPr>
      </w:pPr>
      <w:r w:rsidDel="00000000" w:rsidR="00000000" w:rsidRPr="00000000">
        <w:rPr>
          <w:rtl w:val="0"/>
        </w:rPr>
      </w:r>
    </w:p>
    <w:p w:rsidR="00000000" w:rsidDel="00000000" w:rsidP="00000000" w:rsidRDefault="00000000" w:rsidRPr="00000000" w14:paraId="00000073">
      <w:pPr>
        <w:jc w:val="both"/>
        <w:rPr>
          <w:color w:val="1f1f1f"/>
        </w:rPr>
      </w:pPr>
      <w:r w:rsidDel="00000000" w:rsidR="00000000" w:rsidRPr="00000000">
        <w:rPr>
          <w:color w:val="1f1f1f"/>
          <w:rtl w:val="0"/>
        </w:rPr>
        <w:t xml:space="preserve">2.- </w:t>
      </w:r>
      <w:r w:rsidDel="00000000" w:rsidR="00000000" w:rsidRPr="00000000">
        <w:rPr>
          <w:b w:val="1"/>
          <w:bCs w:val="1"/>
          <w:color w:val="1f1f1f"/>
          <w:rtl w:val="0"/>
        </w:rPr>
        <w:t xml:space="preserve">S</w:t>
      </w:r>
      <w:r w:rsidDel="00000000" w:rsidR="00000000" w:rsidRPr="00000000">
        <w:rPr>
          <w:color w:val="1f1f1f"/>
          <w:rtl w:val="0"/>
        </w:rPr>
        <w:t xml:space="preserve">alih, H. S., &amp; Mohamed, H. O. Y. (2025). Shaping the future of medical and higher education with artificial intelligence: A systematic review. Medical Education Online, 30(1), 2451200. </w:t>
      </w:r>
      <w:hyperlink r:id="rId7">
        <w:r w:rsidDel="00000000" w:rsidR="00000000" w:rsidRPr="00000000">
          <w:rPr>
            <w:color w:val="1155cc"/>
            <w:u w:val="single"/>
            <w:rtl w:val="0"/>
          </w:rPr>
          <w:t xml:space="preserve">https://doi.org/10.1080/10872981.2025.2451200</w:t>
        </w:r>
      </w:hyperlink>
      <w:r w:rsidDel="00000000" w:rsidR="00000000" w:rsidRPr="00000000">
        <w:rPr>
          <w:rtl w:val="0"/>
        </w:rPr>
      </w:r>
    </w:p>
    <w:p w:rsidR="00000000" w:rsidDel="00000000" w:rsidP="00000000" w:rsidRDefault="00000000" w:rsidRPr="00000000" w14:paraId="00000074">
      <w:pPr>
        <w:spacing w:after="240" w:before="240" w:lineRule="auto"/>
        <w:ind w:left="0" w:firstLine="0"/>
        <w:jc w:val="both"/>
        <w:rPr>
          <w:color w:val="1155cc"/>
          <w:u w:val="single"/>
        </w:rPr>
      </w:pPr>
      <w:r w:rsidDel="00000000" w:rsidR="00000000" w:rsidRPr="00000000">
        <w:rPr>
          <w:color w:val="1f1f1f"/>
          <w:rtl w:val="0"/>
        </w:rPr>
        <w:t xml:space="preserve">3.- Hou, C., Zhu, G., Liu, Y., Sudarshan, V., Chong, J. L. L., Zhang, F. Y., Tan, M. Y. H., &amp; Ong, Y. S. (2026). The effects of critical thinking intervention on reliance behaviors, problem-solving quality, and creativity during human-Generative AI collaborative learning. </w:t>
      </w:r>
      <w:r w:rsidDel="00000000" w:rsidR="00000000" w:rsidRPr="00000000">
        <w:rPr>
          <w:i w:val="1"/>
          <w:iCs w:val="1"/>
          <w:color w:val="1f1f1f"/>
          <w:rtl w:val="0"/>
        </w:rPr>
        <w:t xml:space="preserve">Computers &amp; Education, 247</w:t>
      </w:r>
      <w:r w:rsidDel="00000000" w:rsidR="00000000" w:rsidRPr="00000000">
        <w:rPr>
          <w:color w:val="1f1f1f"/>
          <w:rtl w:val="0"/>
        </w:rPr>
        <w:t xml:space="preserve">, Artículo 105576.</w:t>
      </w:r>
      <w:hyperlink r:id="rId8">
        <w:r w:rsidDel="00000000" w:rsidR="00000000" w:rsidRPr="00000000">
          <w:rPr>
            <w:color w:val="1f1f1f"/>
            <w:rtl w:val="0"/>
          </w:rPr>
          <w:t xml:space="preserve"> </w:t>
        </w:r>
      </w:hyperlink>
      <w:hyperlink r:id="rId9">
        <w:r w:rsidDel="00000000" w:rsidR="00000000" w:rsidRPr="00000000">
          <w:rPr>
            <w:color w:val="1155cc"/>
            <w:u w:val="single"/>
            <w:rtl w:val="0"/>
          </w:rPr>
          <w:t xml:space="preserve">https://doi.org/10.1016/j.compedu.2026.105576</w:t>
        </w:r>
      </w:hyperlink>
      <w:r w:rsidDel="00000000" w:rsidR="00000000" w:rsidRPr="00000000">
        <w:rPr>
          <w:rtl w:val="0"/>
        </w:rPr>
      </w:r>
    </w:p>
    <w:p w:rsidR="00000000" w:rsidDel="00000000" w:rsidP="00000000" w:rsidRDefault="00000000" w:rsidRPr="00000000" w14:paraId="00000075">
      <w:pPr>
        <w:spacing w:after="240" w:before="240" w:lineRule="auto"/>
        <w:jc w:val="both"/>
        <w:rPr>
          <w:color w:val="1155cc"/>
          <w:u w:val="single"/>
        </w:rPr>
      </w:pPr>
      <w:r w:rsidDel="00000000" w:rsidR="00000000" w:rsidRPr="00000000">
        <w:rPr>
          <w:color w:val="1f1f1f"/>
          <w:rtl w:val="0"/>
        </w:rPr>
        <w:t xml:space="preserve">4.- Urhahne, D., Fink, L., Dietrich, L., &amp; Kremer, K. (2026). The role of epistemic beliefs in predicting ChatGPT adoption and avoidance in higher education. </w:t>
      </w:r>
      <w:r w:rsidDel="00000000" w:rsidR="00000000" w:rsidRPr="00000000">
        <w:rPr>
          <w:i w:val="1"/>
          <w:iCs w:val="1"/>
          <w:color w:val="1f1f1f"/>
          <w:rtl w:val="0"/>
        </w:rPr>
        <w:t xml:space="preserve">Acta Psychologica, 263</w:t>
      </w:r>
      <w:r w:rsidDel="00000000" w:rsidR="00000000" w:rsidRPr="00000000">
        <w:rPr>
          <w:color w:val="1f1f1f"/>
          <w:rtl w:val="0"/>
        </w:rPr>
        <w:t xml:space="preserve">, Artículo 106334.</w:t>
      </w:r>
      <w:hyperlink r:id="rId10">
        <w:r w:rsidDel="00000000" w:rsidR="00000000" w:rsidRPr="00000000">
          <w:rPr>
            <w:color w:val="1f1f1f"/>
            <w:rtl w:val="0"/>
          </w:rPr>
          <w:t xml:space="preserve"> </w:t>
        </w:r>
      </w:hyperlink>
      <w:hyperlink r:id="rId11">
        <w:r w:rsidDel="00000000" w:rsidR="00000000" w:rsidRPr="00000000">
          <w:rPr>
            <w:color w:val="1155cc"/>
            <w:u w:val="single"/>
            <w:rtl w:val="0"/>
          </w:rPr>
          <w:t xml:space="preserve">https://doi.org/10.1016/j.actpsy.2026.106334</w:t>
        </w:r>
      </w:hyperlink>
      <w:r w:rsidDel="00000000" w:rsidR="00000000" w:rsidRPr="00000000">
        <w:rPr>
          <w:rtl w:val="0"/>
        </w:rPr>
      </w:r>
    </w:p>
    <w:p w:rsidR="00000000" w:rsidDel="00000000" w:rsidP="00000000" w:rsidRDefault="00000000" w:rsidRPr="00000000" w14:paraId="00000076">
      <w:pPr>
        <w:spacing w:after="240" w:before="240" w:lineRule="auto"/>
        <w:jc w:val="both"/>
        <w:rPr>
          <w:color w:val="1155cc"/>
          <w:u w:val="single"/>
        </w:rPr>
      </w:pPr>
      <w:r w:rsidDel="00000000" w:rsidR="00000000" w:rsidRPr="00000000">
        <w:rPr>
          <w:color w:val="1f1f1f"/>
          <w:rtl w:val="0"/>
        </w:rPr>
        <w:t xml:space="preserve">5.- Weigelt, H., Segev, E., Kurtz, G., Kahana, O., &amp; Raz Fogel, N. (2026). Enhancing students' critical thinking literacy in a generative AI context: Eye movement patterns of deepfake detection. </w:t>
      </w:r>
      <w:r w:rsidDel="00000000" w:rsidR="00000000" w:rsidRPr="00000000">
        <w:rPr>
          <w:i w:val="1"/>
          <w:iCs w:val="1"/>
          <w:color w:val="1f1f1f"/>
          <w:rtl w:val="0"/>
        </w:rPr>
        <w:t xml:space="preserve">Computers &amp; Education, 244</w:t>
      </w:r>
      <w:r w:rsidDel="00000000" w:rsidR="00000000" w:rsidRPr="00000000">
        <w:rPr>
          <w:color w:val="1f1f1f"/>
          <w:rtl w:val="0"/>
        </w:rPr>
        <w:t xml:space="preserve">, Artículo 105529.</w:t>
      </w:r>
      <w:hyperlink r:id="rId12">
        <w:r w:rsidDel="00000000" w:rsidR="00000000" w:rsidRPr="00000000">
          <w:rPr>
            <w:color w:val="1f1f1f"/>
            <w:rtl w:val="0"/>
          </w:rPr>
          <w:t xml:space="preserve"> </w:t>
        </w:r>
      </w:hyperlink>
      <w:hyperlink r:id="rId13">
        <w:r w:rsidDel="00000000" w:rsidR="00000000" w:rsidRPr="00000000">
          <w:rPr>
            <w:color w:val="1155cc"/>
            <w:u w:val="single"/>
            <w:rtl w:val="0"/>
          </w:rPr>
          <w:t xml:space="preserve">https://doi.org/10.1016/j.compedu.2025.105529</w:t>
        </w:r>
      </w:hyperlink>
      <w:r w:rsidDel="00000000" w:rsidR="00000000" w:rsidRPr="00000000">
        <w:rPr>
          <w:rtl w:val="0"/>
        </w:rPr>
      </w:r>
    </w:p>
    <w:p w:rsidR="00000000" w:rsidDel="00000000" w:rsidP="00000000" w:rsidRDefault="00000000" w:rsidRPr="00000000" w14:paraId="00000077">
      <w:pPr>
        <w:jc w:val="both"/>
        <w:rPr>
          <w:color w:val="1f1f1f"/>
        </w:rPr>
      </w:pPr>
      <w:r w:rsidDel="00000000" w:rsidR="00000000" w:rsidRPr="00000000">
        <w:rPr>
          <w:rtl w:val="0"/>
        </w:rPr>
      </w:r>
    </w:p>
    <w:p w:rsidR="00000000" w:rsidDel="00000000" w:rsidP="00000000" w:rsidRDefault="00000000" w:rsidRPr="00000000" w14:paraId="00000078">
      <w:pPr>
        <w:spacing w:after="240" w:before="240" w:lineRule="auto"/>
        <w:jc w:val="both"/>
        <w:rPr>
          <w:b w:val="1"/>
          <w:bCs w:val="1"/>
          <w:color w:val="1f1f1f"/>
        </w:rPr>
      </w:pPr>
      <w:r w:rsidDel="00000000" w:rsidR="00000000" w:rsidRPr="00000000">
        <w:rPr>
          <w:rtl w:val="0"/>
        </w:rPr>
      </w:r>
    </w:p>
    <w:p w:rsidR="00000000" w:rsidDel="00000000" w:rsidP="00000000" w:rsidRDefault="00000000" w:rsidRPr="00000000" w14:paraId="00000079">
      <w:pPr>
        <w:spacing w:after="240" w:before="240" w:lineRule="auto"/>
        <w:jc w:val="both"/>
        <w:rPr>
          <w:b w:val="1"/>
          <w:bCs w:val="1"/>
          <w:color w:val="1f1f1f"/>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both"/>
      <w:rPr>
        <w:color w:val="1f1f1f"/>
      </w:rPr>
    </w:pPr>
    <w:r w:rsidDel="00000000" w:rsidR="00000000" w:rsidRPr="00000000">
      <w:rPr>
        <w:rtl w:val="0"/>
      </w:rPr>
    </w:r>
  </w:p>
  <w:p w:rsidR="00000000" w:rsidDel="00000000" w:rsidP="00000000" w:rsidRDefault="00000000" w:rsidRPr="00000000" w14:paraId="0000007E">
    <w:pPr>
      <w:jc w:val="both"/>
      <w:rPr>
        <w:color w:val="1f1f1f"/>
      </w:rPr>
    </w:pPr>
    <w:r w:rsidDel="00000000" w:rsidR="00000000" w:rsidRPr="00000000">
      <w:rPr>
        <w:rtl w:val="0"/>
      </w:rPr>
    </w:r>
  </w:p>
  <w:p w:rsidR="00000000" w:rsidDel="00000000" w:rsidP="00000000" w:rsidRDefault="00000000" w:rsidRPr="00000000" w14:paraId="0000007F">
    <w:pPr>
      <w:rPr>
        <w:color w:val="1f1f1f"/>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tab/>
      <w:tab/>
      <w:tab/>
      <w:tab/>
      <w:tab/>
      <w:tab/>
      <w:tab/>
      <w:tab/>
      <w:tab/>
      <w:t xml:space="preserve">19 de Agosto del 2026</w:t>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-257174</wp:posOffset>
          </wp:positionV>
          <wp:extent cx="1652588" cy="53919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2588" cy="53919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actpsy.2026.106334" TargetMode="External"/><Relationship Id="rId10" Type="http://schemas.openxmlformats.org/officeDocument/2006/relationships/hyperlink" Target="https://doi.org/10.1016/j.actpsy.2026.106334" TargetMode="External"/><Relationship Id="rId13" Type="http://schemas.openxmlformats.org/officeDocument/2006/relationships/hyperlink" Target="https://doi.org/10.1016/j.compedu.2025.105529" TargetMode="External"/><Relationship Id="rId12" Type="http://schemas.openxmlformats.org/officeDocument/2006/relationships/hyperlink" Target="https://doi.org/10.1016/j.compedu.2025.1055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compedu.2026.105576"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i.org/10.1016/j.ssaho.2025.101866" TargetMode="External"/><Relationship Id="rId7" Type="http://schemas.openxmlformats.org/officeDocument/2006/relationships/hyperlink" Target="https://doi.org/10.1080/10872981.2025.2451200" TargetMode="External"/><Relationship Id="rId8" Type="http://schemas.openxmlformats.org/officeDocument/2006/relationships/hyperlink" Target="https://doi.org/10.1016/j.compedu.2026.10557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