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00"/>
        <w:jc w:val="center"/>
      </w:pPr>
      <w:r>
        <w:rPr>
          <w:rFonts w:ascii="Calibri" w:cs="Calibri" w:eastAsia="Calibri" w:hAnsi="Calibri"/>
          <w:b/>
          <w:bCs/>
          <w:color w:val="1B3A5C"/>
          <w:sz w:val="52"/>
          <w:szCs w:val="52"/>
        </w:rPr>
        <w:t xml:space="preserve">Enterprise Risk Assessment</w:t>
      </w:r>
    </w:p>
    <w:p>
      <w:pPr>
        <w:spacing w:after="100"/>
        <w:jc w:val="center"/>
      </w:pPr>
      <w:r>
        <w:rPr>
          <w:rFonts w:ascii="Calibri" w:cs="Calibri" w:eastAsia="Calibri" w:hAnsi="Calibri"/>
          <w:b/>
          <w:bCs/>
          <w:color w:val="1B3A5C"/>
          <w:sz w:val="52"/>
          <w:szCs w:val="52"/>
        </w:rPr>
        <w:t xml:space="preserve">AI Agent IAM Inaction</w:t>
      </w:r>
    </w:p>
    <w:p>
      <w:pPr>
        <w:spacing w:after="120"/>
      </w:pPr>
    </w:p>
    <w:p>
      <w:pPr>
        <w:spacing w:after="80"/>
        <w:jc w:val="center"/>
      </w:pPr>
      <w:r>
        <w:rPr>
          <w:rFonts w:ascii="Calibri" w:cs="Calibri" w:eastAsia="Calibri" w:hAnsi="Calibri"/>
          <w:color w:val="2E6DA4"/>
          <w:sz w:val="28"/>
          <w:szCs w:val="28"/>
        </w:rPr>
        <w:t xml:space="preserve">Risks of Not Implementing Identity and Access</w:t>
      </w:r>
    </w:p>
    <w:p>
      <w:pPr>
        <w:spacing w:after="80"/>
        <w:jc w:val="center"/>
      </w:pPr>
      <w:r>
        <w:rPr>
          <w:rFonts w:ascii="Calibri" w:cs="Calibri" w:eastAsia="Calibri" w:hAnsi="Calibri"/>
          <w:color w:val="2E6DA4"/>
          <w:sz w:val="28"/>
          <w:szCs w:val="28"/>
        </w:rPr>
        <w:t xml:space="preserve">Management Controls for AI Agents</w:t>
      </w:r>
    </w:p>
    <w:p>
      <w:pPr>
        <w:spacing w:after="120"/>
      </w:pPr>
    </w:p>
    <w:p>
      <w:pPr>
        <w:spacing w:after="400"/>
        <w:jc w:val="center"/>
      </w:pPr>
      <w:r>
        <w:rPr>
          <w:rFonts w:ascii="Calibri" w:cs="Calibri" w:eastAsia="Calibri" w:hAnsi="Calibri"/>
          <w:i/>
          <w:iCs/>
          <w:color w:val="555555"/>
          <w:sz w:val="22"/>
          <w:szCs w:val="22"/>
        </w:rPr>
        <w:t xml:space="preserve">February 11, 2026</w:t>
      </w:r>
    </w:p>
    <w:p>
      <w:pPr>
        <w:spacing w:after="120"/>
      </w:pPr>
    </w:p>
    <w:p>
      <w:pPr>
        <w:spacing w:after="120"/>
      </w:pPr>
    </w:p>
    <w:p>
      <w:pPr>
        <w:pStyle w:val="Heading1"/>
        <w:pBdr>
          <w:bottom w:val="single" w:color="2E6DA4" w:sz="6"/>
        </w:pBdr>
        <w:spacing w:before="360" w:after="120"/>
      </w:pPr>
      <w:r>
        <w:rPr>
          <w:rFonts w:ascii="Calibri" w:cs="Calibri" w:eastAsia="Calibri" w:hAnsi="Calibri"/>
          <w:b/>
          <w:bCs/>
          <w:color w:val="1B3A5C"/>
          <w:sz w:val="32"/>
          <w:szCs w:val="32"/>
        </w:rPr>
        <w:t xml:space="preserve">Executive Summary</w:t>
      </w:r>
    </w:p>
    <w:p>
      <w:pPr>
        <w:spacing w:after="120" w:line="276"/>
      </w:pPr>
      <w:r>
        <w:rPr>
          <w:rFonts w:ascii="Calibri" w:cs="Calibri" w:eastAsia="Calibri" w:hAnsi="Calibri"/>
          <w:color w:val="333333"/>
          <w:sz w:val="22"/>
          <w:szCs w:val="22"/>
        </w:rPr>
        <w:t xml:space="preserve">Failing to establish Identity and Access Management (IAM) controls for AI agents creates a compounding risk surface that grows with every new agent deployed. AI agents acting on behalf of users fundamentally shift the security model, and without deliberate controls, the enterprise faces critical risks spanning security, compliance, operations, and reputation.</w:t>
      </w:r>
    </w:p>
    <w:p>
      <w:pPr>
        <w:spacing w:after="120" w:line="276"/>
      </w:pPr>
      <w:r>
        <w:rPr>
          <w:rFonts w:ascii="Calibri" w:cs="Calibri" w:eastAsia="Calibri" w:hAnsi="Calibri"/>
          <w:color w:val="333333"/>
          <w:sz w:val="22"/>
          <w:szCs w:val="22"/>
        </w:rPr>
        <w:t xml:space="preserve">This document catalogs the ten most significant risks of inaction, assesses their likelihood and impact, and provides a consolidated risk heat map for executive decision-making.</w:t>
      </w:r>
    </w:p>
    <w:p>
      <w:pPr>
        <w:pStyle w:val="Heading1"/>
        <w:pBdr>
          <w:bottom w:val="single" w:color="2E6DA4" w:sz="6"/>
        </w:pBdr>
        <w:spacing w:before="360" w:after="120"/>
      </w:pPr>
      <w:r>
        <w:rPr>
          <w:rFonts w:ascii="Calibri" w:cs="Calibri" w:eastAsia="Calibri" w:hAnsi="Calibri"/>
          <w:b/>
          <w:bCs/>
          <w:color w:val="1B3A5C"/>
          <w:sz w:val="32"/>
          <w:szCs w:val="32"/>
        </w:rPr>
        <w:t xml:space="preserve">1. Uncontrolled Privilege Escalation</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Agents inherit the full permissions of the delegating user with no constraint.</w:t>
      </w:r>
    </w:p>
    <w:p>
      <w:pPr>
        <w:spacing w:after="120"/>
      </w:pPr>
    </w:p>
    <w:p>
      <w:pPr>
        <w:spacing w:after="120" w:line="276"/>
      </w:pPr>
      <w:r>
        <w:rPr>
          <w:rFonts w:ascii="Calibri" w:cs="Calibri" w:eastAsia="Calibri" w:hAnsi="Calibri"/>
          <w:color w:val="333333"/>
          <w:sz w:val="22"/>
          <w:szCs w:val="22"/>
        </w:rPr>
        <w:t xml:space="preserve">Without scoped delegation and permission boundaries, every agent effectively operates with the user’s full entitlement set. A marketing analyst’s agent could have the same database access as the analyst — including sensitive customer data it has no business touching. As agents proliferate, you end up with hundreds of shadow super-users operating 24/7 with no throttle.</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A single compromised or misbehaving agent can access, modify, or exfiltrate data far beyond what its task requires. The blast radius of any incident scales with the user’s permissions, not the agent’s actual need.</w:t>
      </w:r>
    </w:p>
    <w:p>
      <w:pPr>
        <w:pStyle w:val="Heading1"/>
        <w:pBdr>
          <w:bottom w:val="single" w:color="2E6DA4" w:sz="6"/>
        </w:pBdr>
        <w:spacing w:before="360" w:after="120"/>
      </w:pPr>
      <w:r>
        <w:rPr>
          <w:rFonts w:ascii="Calibri" w:cs="Calibri" w:eastAsia="Calibri" w:hAnsi="Calibri"/>
          <w:b/>
          <w:bCs/>
          <w:color w:val="1B3A5C"/>
          <w:sz w:val="32"/>
          <w:szCs w:val="32"/>
        </w:rPr>
        <w:t xml:space="preserve">2. Invisible Attack Surface Expansion</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Agents become high-value targets that attackers can exploit without touching user credentials.</w:t>
      </w:r>
    </w:p>
    <w:p>
      <w:pPr>
        <w:spacing w:after="120"/>
      </w:pPr>
    </w:p>
    <w:p>
      <w:pPr>
        <w:spacing w:after="120" w:line="276"/>
      </w:pPr>
      <w:r>
        <w:rPr>
          <w:rFonts w:ascii="Calibri" w:cs="Calibri" w:eastAsia="Calibri" w:hAnsi="Calibri"/>
          <w:color w:val="333333"/>
          <w:sz w:val="22"/>
          <w:szCs w:val="22"/>
        </w:rPr>
        <w:t xml:space="preserve">AI agents are software — they can be manipulated via prompt injection, tool poisoning, supply chain attacks on plugins, or model manipulation. Without distinct agent identities and credential isolation, compromising an agent gives an attacker a persistent, authenticated session that looks like a legitimate user. Your SOC won’t see the difference.</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Traditional threat detection (impossible travel, anomalous login times, credential stuffing alerts) won’t trigger because the agent’s activity looks like the user. You have a blind spot in your security posture that grows with every agent onboarded.</w:t>
      </w:r>
    </w:p>
    <w:p>
      <w:pPr>
        <w:pStyle w:val="Heading1"/>
        <w:pBdr>
          <w:bottom w:val="single" w:color="2E6DA4" w:sz="6"/>
        </w:pBdr>
        <w:spacing w:before="360" w:after="120"/>
      </w:pPr>
      <w:r>
        <w:rPr>
          <w:rFonts w:ascii="Calibri" w:cs="Calibri" w:eastAsia="Calibri" w:hAnsi="Calibri"/>
          <w:b/>
          <w:bCs/>
          <w:color w:val="1B3A5C"/>
          <w:sz w:val="32"/>
          <w:szCs w:val="32"/>
        </w:rPr>
        <w:t xml:space="preserve">3. Zero Forensic Capability</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When something goes wrong, you cannot determine what the agent did, why, or on whose behalf.</w:t>
      </w:r>
    </w:p>
    <w:p>
      <w:pPr>
        <w:spacing w:after="120"/>
      </w:pPr>
    </w:p>
    <w:p>
      <w:pPr>
        <w:spacing w:after="120" w:line="276"/>
      </w:pPr>
      <w:r>
        <w:rPr>
          <w:rFonts w:ascii="Calibri" w:cs="Calibri" w:eastAsia="Calibri" w:hAnsi="Calibri"/>
          <w:color w:val="333333"/>
          <w:sz w:val="22"/>
          <w:szCs w:val="22"/>
        </w:rPr>
        <w:t xml:space="preserve">Without a structured audit trail, you have no way to:</w:t>
      </w:r>
    </w:p>
    <w:p>
      <w:pPr>
        <w:pStyle w:val="ListParagraph"/>
        <w:numPr>
          <w:ilvl w:val="0"/>
          <w:numId w:val="1"/>
        </w:numPr>
        <w:spacing w:after="60" w:line="276"/>
      </w:pPr>
      <w:r>
        <w:rPr>
          <w:rFonts w:ascii="Calibri" w:cs="Calibri" w:eastAsia="Calibri" w:hAnsi="Calibri"/>
          <w:color w:val="333333"/>
          <w:sz w:val="22"/>
          <w:szCs w:val="22"/>
        </w:rPr>
        <w:t xml:space="preserve">Reconstruct what an agent accessed or modified</w:t>
      </w:r>
    </w:p>
    <w:p>
      <w:pPr>
        <w:pStyle w:val="ListParagraph"/>
        <w:numPr>
          <w:ilvl w:val="0"/>
          <w:numId w:val="1"/>
        </w:numPr>
        <w:spacing w:after="60" w:line="276"/>
      </w:pPr>
      <w:r>
        <w:rPr>
          <w:rFonts w:ascii="Calibri" w:cs="Calibri" w:eastAsia="Calibri" w:hAnsi="Calibri"/>
          <w:color w:val="333333"/>
          <w:sz w:val="22"/>
          <w:szCs w:val="22"/>
        </w:rPr>
        <w:t xml:space="preserve">Determine if a data breach was caused by a human or an agent</w:t>
      </w:r>
    </w:p>
    <w:p>
      <w:pPr>
        <w:pStyle w:val="ListParagraph"/>
        <w:numPr>
          <w:ilvl w:val="0"/>
          <w:numId w:val="1"/>
        </w:numPr>
        <w:spacing w:after="60" w:line="276"/>
      </w:pPr>
      <w:r>
        <w:rPr>
          <w:rFonts w:ascii="Calibri" w:cs="Calibri" w:eastAsia="Calibri" w:hAnsi="Calibri"/>
          <w:color w:val="333333"/>
          <w:sz w:val="22"/>
          <w:szCs w:val="22"/>
        </w:rPr>
        <w:t xml:space="preserve">Prove (or disprove) that sensitive data was handled properly</w:t>
      </w:r>
    </w:p>
    <w:p>
      <w:pPr>
        <w:pStyle w:val="ListParagraph"/>
        <w:numPr>
          <w:ilvl w:val="0"/>
          <w:numId w:val="1"/>
        </w:numPr>
        <w:spacing w:after="60" w:line="276"/>
      </w:pPr>
      <w:r>
        <w:rPr>
          <w:rFonts w:ascii="Calibri" w:cs="Calibri" w:eastAsia="Calibri" w:hAnsi="Calibri"/>
          <w:color w:val="333333"/>
          <w:sz w:val="22"/>
          <w:szCs w:val="22"/>
        </w:rPr>
        <w:t xml:space="preserve">Respond to regulatory inquiries with evidence</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Incident response becomes guesswork. Mean time to detect (MTTD) and mean time to respond (MTTR) increase dramatically. You cannot perform root cause analysis, and you cannot satisfy auditors or regulators who ask “what happened?”</w:t>
      </w:r>
    </w:p>
    <w:p>
      <w:pPr>
        <w:pStyle w:val="Heading1"/>
        <w:pBdr>
          <w:bottom w:val="single" w:color="2E6DA4" w:sz="6"/>
        </w:pBdr>
        <w:spacing w:before="360" w:after="120"/>
      </w:pPr>
      <w:r>
        <w:rPr>
          <w:rFonts w:ascii="Calibri" w:cs="Calibri" w:eastAsia="Calibri" w:hAnsi="Calibri"/>
          <w:b/>
          <w:bCs/>
          <w:color w:val="1B3A5C"/>
          <w:sz w:val="32"/>
          <w:szCs w:val="32"/>
        </w:rPr>
        <w:t xml:space="preserve">4. Regulatory and Compliance Exposure</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Most compliance frameworks require access controls, audit trails, and periodic access reviews — none of which exist for agents today.</w:t>
      </w:r>
    </w:p>
    <w:p>
      <w:pPr>
        <w:spacing w:after="120"/>
      </w:pPr>
    </w:p>
    <w:p>
      <w:pPr>
        <w:spacing w:after="120" w:line="276"/>
      </w:pPr>
      <w:r>
        <w:rPr>
          <w:rFonts w:ascii="Calibri" w:cs="Calibri" w:eastAsia="Calibri" w:hAnsi="Calibri"/>
          <w:color w:val="333333"/>
          <w:sz w:val="22"/>
          <w:szCs w:val="22"/>
        </w:rPr>
        <w:t xml:space="preserve">Consider the regulatory landscape:</w:t>
      </w:r>
    </w:p>
    <w:p>
      <w:pPr>
        <w:pStyle w:val="ListParagraph"/>
        <w:numPr>
          <w:ilvl w:val="0"/>
          <w:numId w:val="1"/>
        </w:numPr>
        <w:spacing w:after="60" w:line="276"/>
      </w:pPr>
      <w:r>
        <w:rPr>
          <w:rFonts w:ascii="Calibri" w:cs="Calibri" w:eastAsia="Calibri" w:hAnsi="Calibri"/>
          <w:b/>
          <w:bCs/>
          <w:color w:val="333333"/>
          <w:sz w:val="22"/>
          <w:szCs w:val="22"/>
        </w:rPr>
        <w:t xml:space="preserve">SOC 2 (Trust Services Criteria): </w:t>
      </w:r>
      <w:r>
        <w:rPr>
          <w:rFonts w:ascii="Calibri" w:cs="Calibri" w:eastAsia="Calibri" w:hAnsi="Calibri"/>
          <w:color w:val="333333"/>
          <w:sz w:val="22"/>
          <w:szCs w:val="22"/>
        </w:rPr>
        <w:t xml:space="preserve">Requires logical access controls, monitoring, and evidence of access reviews. Agents without IAM controls are a finding.</w:t>
      </w:r>
    </w:p>
    <w:p>
      <w:pPr>
        <w:pStyle w:val="ListParagraph"/>
        <w:numPr>
          <w:ilvl w:val="0"/>
          <w:numId w:val="1"/>
        </w:numPr>
        <w:spacing w:after="60" w:line="276"/>
      </w:pPr>
      <w:r>
        <w:rPr>
          <w:rFonts w:ascii="Calibri" w:cs="Calibri" w:eastAsia="Calibri" w:hAnsi="Calibri"/>
          <w:b/>
          <w:bCs/>
          <w:color w:val="333333"/>
          <w:sz w:val="22"/>
          <w:szCs w:val="22"/>
        </w:rPr>
        <w:t xml:space="preserve">GDPR / Privacy Regulations: </w:t>
      </w:r>
      <w:r>
        <w:rPr>
          <w:rFonts w:ascii="Calibri" w:cs="Calibri" w:eastAsia="Calibri" w:hAnsi="Calibri"/>
          <w:color w:val="333333"/>
          <w:sz w:val="22"/>
          <w:szCs w:val="22"/>
        </w:rPr>
        <w:t xml:space="preserve">Require data minimization and accountability. Agents with unconstrained access to personal data violate the principle of purpose limitation. You cannot demonstrate “who accessed what and why.”</w:t>
      </w:r>
    </w:p>
    <w:p>
      <w:pPr>
        <w:pStyle w:val="ListParagraph"/>
        <w:numPr>
          <w:ilvl w:val="0"/>
          <w:numId w:val="1"/>
        </w:numPr>
        <w:spacing w:after="60" w:line="276"/>
      </w:pPr>
      <w:r>
        <w:rPr>
          <w:rFonts w:ascii="Calibri" w:cs="Calibri" w:eastAsia="Calibri" w:hAnsi="Calibri"/>
          <w:b/>
          <w:bCs/>
          <w:color w:val="333333"/>
          <w:sz w:val="22"/>
          <w:szCs w:val="22"/>
        </w:rPr>
        <w:t xml:space="preserve">HIPAA: </w:t>
      </w:r>
      <w:r>
        <w:rPr>
          <w:rFonts w:ascii="Calibri" w:cs="Calibri" w:eastAsia="Calibri" w:hAnsi="Calibri"/>
          <w:color w:val="333333"/>
          <w:sz w:val="22"/>
          <w:szCs w:val="22"/>
        </w:rPr>
        <w:t xml:space="preserve">Requires minimum necessary access and audit controls. An agent with broad access to PHI is a violation.</w:t>
      </w:r>
    </w:p>
    <w:p>
      <w:pPr>
        <w:pStyle w:val="ListParagraph"/>
        <w:numPr>
          <w:ilvl w:val="0"/>
          <w:numId w:val="1"/>
        </w:numPr>
        <w:spacing w:after="60" w:line="276"/>
      </w:pPr>
      <w:r>
        <w:rPr>
          <w:rFonts w:ascii="Calibri" w:cs="Calibri" w:eastAsia="Calibri" w:hAnsi="Calibri"/>
          <w:b/>
          <w:bCs/>
          <w:color w:val="333333"/>
          <w:sz w:val="22"/>
          <w:szCs w:val="22"/>
        </w:rPr>
        <w:t xml:space="preserve">SOX (Financial Controls): </w:t>
      </w:r>
      <w:r>
        <w:rPr>
          <w:rFonts w:ascii="Calibri" w:cs="Calibri" w:eastAsia="Calibri" w:hAnsi="Calibri"/>
          <w:color w:val="333333"/>
          <w:sz w:val="22"/>
          <w:szCs w:val="22"/>
        </w:rPr>
        <w:t xml:space="preserve">Segregation of duties and access controls over financial systems. Agents acting without boundaries can violate SoD.</w:t>
      </w:r>
    </w:p>
    <w:p>
      <w:pPr>
        <w:pStyle w:val="ListParagraph"/>
        <w:numPr>
          <w:ilvl w:val="0"/>
          <w:numId w:val="1"/>
        </w:numPr>
        <w:spacing w:after="60" w:line="276"/>
      </w:pPr>
      <w:r>
        <w:rPr>
          <w:rFonts w:ascii="Calibri" w:cs="Calibri" w:eastAsia="Calibri" w:hAnsi="Calibri"/>
          <w:b/>
          <w:bCs/>
          <w:color w:val="333333"/>
          <w:sz w:val="22"/>
          <w:szCs w:val="22"/>
        </w:rPr>
        <w:t xml:space="preserve">Industry-specific regulations </w:t>
      </w:r>
      <w:r>
        <w:rPr>
          <w:rFonts w:ascii="Calibri" w:cs="Calibri" w:eastAsia="Calibri" w:hAnsi="Calibri"/>
          <w:color w:val="333333"/>
          <w:sz w:val="22"/>
          <w:szCs w:val="22"/>
        </w:rPr>
        <w:t xml:space="preserve">(FFIEC for banking, NERC CIP for energy, etc.) all have analogous requirements.</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Audit findings, regulatory penalties, consent decree requirements, and in severe cases, loss of certifications (SOC 2 report, ISO 27001) that customers and partners depend on.</w:t>
      </w:r>
    </w:p>
    <w:p>
      <w:pPr>
        <w:pStyle w:val="Heading1"/>
        <w:pBdr>
          <w:bottom w:val="single" w:color="2E6DA4" w:sz="6"/>
        </w:pBdr>
        <w:spacing w:before="360" w:after="120"/>
      </w:pPr>
      <w:r>
        <w:rPr>
          <w:rFonts w:ascii="Calibri" w:cs="Calibri" w:eastAsia="Calibri" w:hAnsi="Calibri"/>
          <w:b/>
          <w:bCs/>
          <w:color w:val="1B3A5C"/>
          <w:sz w:val="32"/>
          <w:szCs w:val="32"/>
        </w:rPr>
        <w:t xml:space="preserve">5. Data Leakage and Intellectual Property Loss</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Agents with unconstrained access can inadvertently expose sensitive data.</w:t>
      </w:r>
    </w:p>
    <w:p>
      <w:pPr>
        <w:spacing w:after="120"/>
      </w:pPr>
    </w:p>
    <w:p>
      <w:pPr>
        <w:spacing w:after="120" w:line="276"/>
      </w:pPr>
      <w:r>
        <w:rPr>
          <w:rFonts w:ascii="Calibri" w:cs="Calibri" w:eastAsia="Calibri" w:hAnsi="Calibri"/>
          <w:color w:val="333333"/>
          <w:sz w:val="22"/>
          <w:szCs w:val="22"/>
        </w:rPr>
        <w:t xml:space="preserve">AI agents often send data to external APIs (model providers, tool endpoints, third-party services). Without access controls governing what data an agent can read, and what it can send externally, you face:</w:t>
      </w:r>
    </w:p>
    <w:p>
      <w:pPr>
        <w:pStyle w:val="ListParagraph"/>
        <w:numPr>
          <w:ilvl w:val="0"/>
          <w:numId w:val="1"/>
        </w:numPr>
        <w:spacing w:after="60" w:line="276"/>
      </w:pPr>
      <w:r>
        <w:rPr>
          <w:rFonts w:ascii="Calibri" w:cs="Calibri" w:eastAsia="Calibri" w:hAnsi="Calibri"/>
          <w:color w:val="333333"/>
          <w:sz w:val="22"/>
          <w:szCs w:val="22"/>
        </w:rPr>
        <w:t xml:space="preserve">Proprietary code or trade secrets sent to third-party model providers</w:t>
      </w:r>
    </w:p>
    <w:p>
      <w:pPr>
        <w:pStyle w:val="ListParagraph"/>
        <w:numPr>
          <w:ilvl w:val="0"/>
          <w:numId w:val="1"/>
        </w:numPr>
        <w:spacing w:after="60" w:line="276"/>
      </w:pPr>
      <w:r>
        <w:rPr>
          <w:rFonts w:ascii="Calibri" w:cs="Calibri" w:eastAsia="Calibri" w:hAnsi="Calibri"/>
          <w:color w:val="333333"/>
          <w:sz w:val="22"/>
          <w:szCs w:val="22"/>
        </w:rPr>
        <w:t xml:space="preserve">Customer PII included in agent context windows and logged externally</w:t>
      </w:r>
    </w:p>
    <w:p>
      <w:pPr>
        <w:pStyle w:val="ListParagraph"/>
        <w:numPr>
          <w:ilvl w:val="0"/>
          <w:numId w:val="1"/>
        </w:numPr>
        <w:spacing w:after="60" w:line="276"/>
      </w:pPr>
      <w:r>
        <w:rPr>
          <w:rFonts w:ascii="Calibri" w:cs="Calibri" w:eastAsia="Calibri" w:hAnsi="Calibri"/>
          <w:color w:val="333333"/>
          <w:sz w:val="22"/>
          <w:szCs w:val="22"/>
        </w:rPr>
        <w:t xml:space="preserve">Internal financial data, M&amp;A plans, or legal documents accessible to agents with no need-to-know</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Intellectual property loss, competitive disadvantage, customer data breaches, and potential litigation. Once data leaves your perimeter via an agent, you cannot recall it.</w:t>
      </w:r>
    </w:p>
    <w:p>
      <w:pPr>
        <w:pStyle w:val="Heading1"/>
        <w:pBdr>
          <w:bottom w:val="single" w:color="2E6DA4" w:sz="6"/>
        </w:pBdr>
        <w:spacing w:before="360" w:after="120"/>
      </w:pPr>
      <w:r>
        <w:rPr>
          <w:rFonts w:ascii="Calibri" w:cs="Calibri" w:eastAsia="Calibri" w:hAnsi="Calibri"/>
          <w:b/>
          <w:bCs/>
          <w:color w:val="1B3A5C"/>
          <w:sz w:val="32"/>
          <w:szCs w:val="32"/>
        </w:rPr>
        <w:t xml:space="preserve">6. Accountability Gap</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You cannot distinguish between actions taken by a human and actions taken by their agent.</w:t>
      </w:r>
    </w:p>
    <w:p>
      <w:pPr>
        <w:spacing w:after="120"/>
      </w:pPr>
    </w:p>
    <w:p>
      <w:pPr>
        <w:spacing w:after="120" w:line="276"/>
      </w:pPr>
      <w:r>
        <w:rPr>
          <w:rFonts w:ascii="Calibri" w:cs="Calibri" w:eastAsia="Calibri" w:hAnsi="Calibri"/>
          <w:color w:val="333333"/>
          <w:sz w:val="22"/>
          <w:szCs w:val="22"/>
        </w:rPr>
        <w:t xml:space="preserve">If an agent and a user share the same identity and credentials, every agent action is attributed to the user. This creates:</w:t>
      </w:r>
    </w:p>
    <w:p>
      <w:pPr>
        <w:pStyle w:val="ListParagraph"/>
        <w:numPr>
          <w:ilvl w:val="0"/>
          <w:numId w:val="1"/>
        </w:numPr>
        <w:spacing w:after="60" w:line="276"/>
      </w:pPr>
      <w:r>
        <w:rPr>
          <w:rFonts w:ascii="Calibri" w:cs="Calibri" w:eastAsia="Calibri" w:hAnsi="Calibri"/>
          <w:b/>
          <w:bCs/>
          <w:color w:val="333333"/>
          <w:sz w:val="22"/>
          <w:szCs w:val="22"/>
        </w:rPr>
        <w:t xml:space="preserve">False attribution: </w:t>
      </w:r>
      <w:r>
        <w:rPr>
          <w:rFonts w:ascii="Calibri" w:cs="Calibri" w:eastAsia="Calibri" w:hAnsi="Calibri"/>
          <w:color w:val="333333"/>
          <w:sz w:val="22"/>
          <w:szCs w:val="22"/>
        </w:rPr>
        <w:t xml:space="preserve">A user is blamed for something their agent did autonomously.</w:t>
      </w:r>
    </w:p>
    <w:p>
      <w:pPr>
        <w:pStyle w:val="ListParagraph"/>
        <w:numPr>
          <w:ilvl w:val="0"/>
          <w:numId w:val="1"/>
        </w:numPr>
        <w:spacing w:after="60" w:line="276"/>
      </w:pPr>
      <w:r>
        <w:rPr>
          <w:rFonts w:ascii="Calibri" w:cs="Calibri" w:eastAsia="Calibri" w:hAnsi="Calibri"/>
          <w:b/>
          <w:bCs/>
          <w:color w:val="333333"/>
          <w:sz w:val="22"/>
          <w:szCs w:val="22"/>
        </w:rPr>
        <w:t xml:space="preserve">Plausible deniability: </w:t>
      </w:r>
      <w:r>
        <w:rPr>
          <w:rFonts w:ascii="Calibri" w:cs="Calibri" w:eastAsia="Calibri" w:hAnsi="Calibri"/>
          <w:color w:val="333333"/>
          <w:sz w:val="22"/>
          <w:szCs w:val="22"/>
        </w:rPr>
        <w:t xml:space="preserve">A malicious insider can claim “my agent did it” with no way to verify.</w:t>
      </w:r>
    </w:p>
    <w:p>
      <w:pPr>
        <w:pStyle w:val="ListParagraph"/>
        <w:numPr>
          <w:ilvl w:val="0"/>
          <w:numId w:val="1"/>
        </w:numPr>
        <w:spacing w:after="60" w:line="276"/>
      </w:pPr>
      <w:r>
        <w:rPr>
          <w:rFonts w:ascii="Calibri" w:cs="Calibri" w:eastAsia="Calibri" w:hAnsi="Calibri"/>
          <w:b/>
          <w:bCs/>
          <w:color w:val="333333"/>
          <w:sz w:val="22"/>
          <w:szCs w:val="22"/>
        </w:rPr>
        <w:t xml:space="preserve">Broken audit trails: </w:t>
      </w:r>
      <w:r>
        <w:rPr>
          <w:rFonts w:ascii="Calibri" w:cs="Calibri" w:eastAsia="Calibri" w:hAnsi="Calibri"/>
          <w:color w:val="333333"/>
          <w:sz w:val="22"/>
          <w:szCs w:val="22"/>
        </w:rPr>
        <w:t xml:space="preserve">Access reviews certify the user’s access, but nobody is reviewing what the agent actually does with that access.</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Your access governance program has a fundamental gap. You are certifying access for humans while autonomous agents operate in the shadows under those same credentials.</w:t>
      </w:r>
    </w:p>
    <w:p>
      <w:pPr>
        <w:pStyle w:val="Heading1"/>
        <w:pBdr>
          <w:bottom w:val="single" w:color="2E6DA4" w:sz="6"/>
        </w:pBdr>
        <w:spacing w:before="360" w:after="120"/>
      </w:pPr>
      <w:r>
        <w:rPr>
          <w:rFonts w:ascii="Calibri" w:cs="Calibri" w:eastAsia="Calibri" w:hAnsi="Calibri"/>
          <w:b/>
          <w:bCs/>
          <w:color w:val="1B3A5C"/>
          <w:sz w:val="32"/>
          <w:szCs w:val="32"/>
        </w:rPr>
        <w:t xml:space="preserve">7. Runaway Agent Risk</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Without tiering, approval gates, or monitoring, an agent can take destructive actions at machine speed.</w:t>
      </w:r>
    </w:p>
    <w:p>
      <w:pPr>
        <w:spacing w:after="120"/>
      </w:pPr>
    </w:p>
    <w:p>
      <w:pPr>
        <w:spacing w:after="120" w:line="276"/>
      </w:pPr>
      <w:r>
        <w:rPr>
          <w:rFonts w:ascii="Calibri" w:cs="Calibri" w:eastAsia="Calibri" w:hAnsi="Calibri"/>
          <w:color w:val="333333"/>
          <w:sz w:val="22"/>
          <w:szCs w:val="22"/>
        </w:rPr>
        <w:t xml:space="preserve">A misconfigured, hallucinating, or compromised agent can:</w:t>
      </w:r>
    </w:p>
    <w:p>
      <w:pPr>
        <w:pStyle w:val="ListParagraph"/>
        <w:numPr>
          <w:ilvl w:val="0"/>
          <w:numId w:val="1"/>
        </w:numPr>
        <w:spacing w:after="60" w:line="276"/>
      </w:pPr>
      <w:r>
        <w:rPr>
          <w:rFonts w:ascii="Calibri" w:cs="Calibri" w:eastAsia="Calibri" w:hAnsi="Calibri"/>
          <w:color w:val="333333"/>
          <w:sz w:val="22"/>
          <w:szCs w:val="22"/>
        </w:rPr>
        <w:t xml:space="preserve">Delete production resources</w:t>
      </w:r>
    </w:p>
    <w:p>
      <w:pPr>
        <w:pStyle w:val="ListParagraph"/>
        <w:numPr>
          <w:ilvl w:val="0"/>
          <w:numId w:val="1"/>
        </w:numPr>
        <w:spacing w:after="60" w:line="276"/>
      </w:pPr>
      <w:r>
        <w:rPr>
          <w:rFonts w:ascii="Calibri" w:cs="Calibri" w:eastAsia="Calibri" w:hAnsi="Calibri"/>
          <w:color w:val="333333"/>
          <w:sz w:val="22"/>
          <w:szCs w:val="22"/>
        </w:rPr>
        <w:t xml:space="preserve">Send thousands of emails to customers</w:t>
      </w:r>
    </w:p>
    <w:p>
      <w:pPr>
        <w:pStyle w:val="ListParagraph"/>
        <w:numPr>
          <w:ilvl w:val="0"/>
          <w:numId w:val="1"/>
        </w:numPr>
        <w:spacing w:after="60" w:line="276"/>
      </w:pPr>
      <w:r>
        <w:rPr>
          <w:rFonts w:ascii="Calibri" w:cs="Calibri" w:eastAsia="Calibri" w:hAnsi="Calibri"/>
          <w:color w:val="333333"/>
          <w:sz w:val="22"/>
          <w:szCs w:val="22"/>
        </w:rPr>
        <w:t xml:space="preserve">Modify financial records</w:t>
      </w:r>
    </w:p>
    <w:p>
      <w:pPr>
        <w:pStyle w:val="ListParagraph"/>
        <w:numPr>
          <w:ilvl w:val="0"/>
          <w:numId w:val="1"/>
        </w:numPr>
        <w:spacing w:after="60" w:line="276"/>
      </w:pPr>
      <w:r>
        <w:rPr>
          <w:rFonts w:ascii="Calibri" w:cs="Calibri" w:eastAsia="Calibri" w:hAnsi="Calibri"/>
          <w:color w:val="333333"/>
          <w:sz w:val="22"/>
          <w:szCs w:val="22"/>
        </w:rPr>
        <w:t xml:space="preserve">Commit and push malicious code</w:t>
      </w:r>
    </w:p>
    <w:p>
      <w:pPr>
        <w:pStyle w:val="ListParagraph"/>
        <w:numPr>
          <w:ilvl w:val="0"/>
          <w:numId w:val="1"/>
        </w:numPr>
        <w:spacing w:after="60" w:line="276"/>
      </w:pPr>
      <w:r>
        <w:rPr>
          <w:rFonts w:ascii="Calibri" w:cs="Calibri" w:eastAsia="Calibri" w:hAnsi="Calibri"/>
          <w:color w:val="333333"/>
          <w:sz w:val="22"/>
          <w:szCs w:val="22"/>
        </w:rPr>
        <w:t xml:space="preserve">Spin up expensive cloud resources</w:t>
      </w:r>
    </w:p>
    <w:p>
      <w:pPr>
        <w:spacing w:after="120" w:line="276"/>
      </w:pPr>
      <w:r>
        <w:rPr>
          <w:rFonts w:ascii="Calibri" w:cs="Calibri" w:eastAsia="Calibri" w:hAnsi="Calibri"/>
          <w:color w:val="333333"/>
          <w:sz w:val="22"/>
          <w:szCs w:val="22"/>
        </w:rPr>
        <w:t xml:space="preserve">All of this happens in seconds, not hours. A human making a mistake is slow enough to catch. An agent making a mistake operates at API speed with no pause for reflection.</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Operational disruption, financial loss, reputational damage, and customer-facing impact — all at a speed that outpaces manual response.</w:t>
      </w:r>
    </w:p>
    <w:p>
      <w:pPr>
        <w:pStyle w:val="Heading1"/>
        <w:pBdr>
          <w:bottom w:val="single" w:color="2E6DA4" w:sz="6"/>
        </w:pBdr>
        <w:spacing w:before="360" w:after="120"/>
      </w:pPr>
      <w:r>
        <w:rPr>
          <w:rFonts w:ascii="Calibri" w:cs="Calibri" w:eastAsia="Calibri" w:hAnsi="Calibri"/>
          <w:b/>
          <w:bCs/>
          <w:color w:val="1B3A5C"/>
          <w:sz w:val="32"/>
          <w:szCs w:val="32"/>
        </w:rPr>
        <w:t xml:space="preserve">8. Uncontrolled Agent Sprawl</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Without a registry and lifecycle management, you lose track of how many agents exist and what they have access to.</w:t>
      </w:r>
    </w:p>
    <w:p>
      <w:pPr>
        <w:spacing w:after="120"/>
      </w:pPr>
    </w:p>
    <w:p>
      <w:pPr>
        <w:spacing w:after="120" w:line="276"/>
      </w:pPr>
      <w:r>
        <w:rPr>
          <w:rFonts w:ascii="Calibri" w:cs="Calibri" w:eastAsia="Calibri" w:hAnsi="Calibri"/>
          <w:color w:val="333333"/>
          <w:sz w:val="22"/>
          <w:szCs w:val="22"/>
        </w:rPr>
        <w:t xml:space="preserve">This is the “shadow IT” problem of the AI era. Teams spin up agents, grant them access, and then forget about them. Nobody revokes access when a project ends, an employee leaves, or an agent is superseded. You accumulate:</w:t>
      </w:r>
    </w:p>
    <w:p>
      <w:pPr>
        <w:pStyle w:val="ListParagraph"/>
        <w:numPr>
          <w:ilvl w:val="0"/>
          <w:numId w:val="1"/>
        </w:numPr>
        <w:spacing w:after="60" w:line="276"/>
      </w:pPr>
      <w:r>
        <w:rPr>
          <w:rFonts w:ascii="Calibri" w:cs="Calibri" w:eastAsia="Calibri" w:hAnsi="Calibri"/>
          <w:color w:val="333333"/>
          <w:sz w:val="22"/>
          <w:szCs w:val="22"/>
        </w:rPr>
        <w:t xml:space="preserve">Orphaned agents with active credentials and no owner</w:t>
      </w:r>
    </w:p>
    <w:p>
      <w:pPr>
        <w:pStyle w:val="ListParagraph"/>
        <w:numPr>
          <w:ilvl w:val="0"/>
          <w:numId w:val="1"/>
        </w:numPr>
        <w:spacing w:after="60" w:line="276"/>
      </w:pPr>
      <w:r>
        <w:rPr>
          <w:rFonts w:ascii="Calibri" w:cs="Calibri" w:eastAsia="Calibri" w:hAnsi="Calibri"/>
          <w:color w:val="333333"/>
          <w:sz w:val="22"/>
          <w:szCs w:val="22"/>
        </w:rPr>
        <w:t xml:space="preserve">Stale permissions that haven’t been reviewed in months or years</w:t>
      </w:r>
    </w:p>
    <w:p>
      <w:pPr>
        <w:pStyle w:val="ListParagraph"/>
        <w:numPr>
          <w:ilvl w:val="0"/>
          <w:numId w:val="1"/>
        </w:numPr>
        <w:spacing w:after="60" w:line="276"/>
      </w:pPr>
      <w:r>
        <w:rPr>
          <w:rFonts w:ascii="Calibri" w:cs="Calibri" w:eastAsia="Calibri" w:hAnsi="Calibri"/>
          <w:color w:val="333333"/>
          <w:sz w:val="22"/>
          <w:szCs w:val="22"/>
        </w:rPr>
        <w:t xml:space="preserve">Duplicate agents performing the same function with inconsistent access levels</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Your attack surface grows invisibly. Every orphaned agent is a dormant credential that can be exploited. You cannot answer the basic question: “How many agents operate in our environment, and what can they do?”</w:t>
      </w:r>
    </w:p>
    <w:p>
      <w:pPr>
        <w:pStyle w:val="Heading1"/>
        <w:pBdr>
          <w:bottom w:val="single" w:color="2E6DA4" w:sz="6"/>
        </w:pBdr>
        <w:spacing w:before="360" w:after="120"/>
      </w:pPr>
      <w:r>
        <w:rPr>
          <w:rFonts w:ascii="Calibri" w:cs="Calibri" w:eastAsia="Calibri" w:hAnsi="Calibri"/>
          <w:b/>
          <w:bCs/>
          <w:color w:val="1B3A5C"/>
          <w:sz w:val="32"/>
          <w:szCs w:val="32"/>
        </w:rPr>
        <w:t xml:space="preserve">9. Loss of Customer and Partner Trust</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Customers and partners increasingly ask about AI governance.</w:t>
      </w:r>
    </w:p>
    <w:p>
      <w:pPr>
        <w:spacing w:after="120"/>
      </w:pPr>
    </w:p>
    <w:p>
      <w:pPr>
        <w:spacing w:after="120" w:line="276"/>
      </w:pPr>
      <w:r>
        <w:rPr>
          <w:rFonts w:ascii="Calibri" w:cs="Calibri" w:eastAsia="Calibri" w:hAnsi="Calibri"/>
          <w:color w:val="333333"/>
          <w:sz w:val="22"/>
          <w:szCs w:val="22"/>
        </w:rPr>
        <w:t xml:space="preserve">Enterprise procurement teams are already adding AI-related questions to security questionnaires and vendor assessments. If you cannot demonstrate:</w:t>
      </w:r>
    </w:p>
    <w:p>
      <w:pPr>
        <w:pStyle w:val="ListParagraph"/>
        <w:numPr>
          <w:ilvl w:val="0"/>
          <w:numId w:val="1"/>
        </w:numPr>
        <w:spacing w:after="60" w:line="276"/>
      </w:pPr>
      <w:r>
        <w:rPr>
          <w:rFonts w:ascii="Calibri" w:cs="Calibri" w:eastAsia="Calibri" w:hAnsi="Calibri"/>
          <w:color w:val="333333"/>
          <w:sz w:val="22"/>
          <w:szCs w:val="22"/>
        </w:rPr>
        <w:t xml:space="preserve">How AI agents are identified and credentialed</w:t>
      </w:r>
    </w:p>
    <w:p>
      <w:pPr>
        <w:pStyle w:val="ListParagraph"/>
        <w:numPr>
          <w:ilvl w:val="0"/>
          <w:numId w:val="1"/>
        </w:numPr>
        <w:spacing w:after="60" w:line="276"/>
      </w:pPr>
      <w:r>
        <w:rPr>
          <w:rFonts w:ascii="Calibri" w:cs="Calibri" w:eastAsia="Calibri" w:hAnsi="Calibri"/>
          <w:color w:val="333333"/>
          <w:sz w:val="22"/>
          <w:szCs w:val="22"/>
        </w:rPr>
        <w:t xml:space="preserve">What access controls govern agent behavior</w:t>
      </w:r>
    </w:p>
    <w:p>
      <w:pPr>
        <w:pStyle w:val="ListParagraph"/>
        <w:numPr>
          <w:ilvl w:val="0"/>
          <w:numId w:val="1"/>
        </w:numPr>
        <w:spacing w:after="60" w:line="276"/>
      </w:pPr>
      <w:r>
        <w:rPr>
          <w:rFonts w:ascii="Calibri" w:cs="Calibri" w:eastAsia="Calibri" w:hAnsi="Calibri"/>
          <w:color w:val="333333"/>
          <w:sz w:val="22"/>
          <w:szCs w:val="22"/>
        </w:rPr>
        <w:t xml:space="preserve">How agent actions are audited and reviewed</w:t>
      </w:r>
    </w:p>
    <w:p>
      <w:pPr>
        <w:pStyle w:val="ListParagraph"/>
        <w:numPr>
          <w:ilvl w:val="0"/>
          <w:numId w:val="1"/>
        </w:numPr>
        <w:spacing w:after="60" w:line="276"/>
      </w:pPr>
      <w:r>
        <w:rPr>
          <w:rFonts w:ascii="Calibri" w:cs="Calibri" w:eastAsia="Calibri" w:hAnsi="Calibri"/>
          <w:color w:val="333333"/>
          <w:sz w:val="22"/>
          <w:szCs w:val="22"/>
        </w:rPr>
        <w:t xml:space="preserve">How you handle agent-related incidents</w:t>
      </w:r>
    </w:p>
    <w:p>
      <w:pPr>
        <w:spacing w:after="120" w:line="276"/>
      </w:pPr>
      <w:r>
        <w:rPr>
          <w:rFonts w:ascii="Calibri" w:cs="Calibri" w:eastAsia="Calibri" w:hAnsi="Calibri"/>
          <w:color w:val="333333"/>
          <w:sz w:val="22"/>
          <w:szCs w:val="22"/>
        </w:rPr>
        <w:t xml:space="preserve">...you will face friction in sales cycles, fail partner security assessments, and lose deals to competitors who can answer these questions.</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Revenue impact, market positioning loss, and erosion of trust with your most security-conscious customers.</w:t>
      </w:r>
    </w:p>
    <w:p>
      <w:pPr>
        <w:pStyle w:val="Heading1"/>
        <w:pBdr>
          <w:bottom w:val="single" w:color="2E6DA4" w:sz="6"/>
        </w:pBdr>
        <w:spacing w:before="360" w:after="120"/>
      </w:pPr>
      <w:r>
        <w:rPr>
          <w:rFonts w:ascii="Calibri" w:cs="Calibri" w:eastAsia="Calibri" w:hAnsi="Calibri"/>
          <w:b/>
          <w:bCs/>
          <w:color w:val="1B3A5C"/>
          <w:sz w:val="32"/>
          <w:szCs w:val="32"/>
        </w:rPr>
        <w:t xml:space="preserve">10. Compounding Cost of Delay</w:t>
      </w:r>
    </w:p>
    <w:p>
      <w:pPr>
        <w:shd w:color="FDEDEC" w:val="solid"/>
        <w:spacing w:before="60" w:after="100" w:line="276"/>
        <w:ind w:left="215" w:right="215"/>
      </w:pPr>
      <w:r>
        <w:rPr>
          <w:rFonts w:ascii="Calibri" w:cs="Calibri" w:eastAsia="Calibri" w:hAnsi="Calibri"/>
          <w:b/>
          <w:bCs/>
          <w:color w:val="C0392B"/>
          <w:sz w:val="22"/>
          <w:szCs w:val="22"/>
        </w:rPr>
        <w:t xml:space="preserve">Risk: </w:t>
      </w:r>
      <w:r>
        <w:rPr>
          <w:rFonts w:ascii="Calibri" w:cs="Calibri" w:eastAsia="Calibri" w:hAnsi="Calibri"/>
          <w:color w:val="333333"/>
          <w:sz w:val="22"/>
          <w:szCs w:val="22"/>
        </w:rPr>
        <w:t xml:space="preserve">The longer you wait, the harder and more expensive the retrofit becomes.</w:t>
      </w:r>
    </w:p>
    <w:p>
      <w:pPr>
        <w:spacing w:after="120"/>
      </w:pPr>
    </w:p>
    <w:p>
      <w:pPr>
        <w:spacing w:after="120" w:line="276"/>
      </w:pPr>
      <w:r>
        <w:rPr>
          <w:rFonts w:ascii="Calibri" w:cs="Calibri" w:eastAsia="Calibri" w:hAnsi="Calibri"/>
          <w:color w:val="333333"/>
          <w:sz w:val="22"/>
          <w:szCs w:val="22"/>
        </w:rPr>
        <w:t xml:space="preserve">Every agent deployed without IAM controls becomes technical and organizational debt:</w:t>
      </w:r>
    </w:p>
    <w:p>
      <w:pPr>
        <w:pStyle w:val="ListParagraph"/>
        <w:numPr>
          <w:ilvl w:val="0"/>
          <w:numId w:val="1"/>
        </w:numPr>
        <w:spacing w:after="60" w:line="276"/>
      </w:pPr>
      <w:r>
        <w:rPr>
          <w:rFonts w:ascii="Calibri" w:cs="Calibri" w:eastAsia="Calibri" w:hAnsi="Calibri"/>
          <w:color w:val="333333"/>
          <w:sz w:val="22"/>
          <w:szCs w:val="22"/>
        </w:rPr>
        <w:t xml:space="preserve">More agents to migrate into the new framework</w:t>
      </w:r>
    </w:p>
    <w:p>
      <w:pPr>
        <w:pStyle w:val="ListParagraph"/>
        <w:numPr>
          <w:ilvl w:val="0"/>
          <w:numId w:val="1"/>
        </w:numPr>
        <w:spacing w:after="60" w:line="276"/>
      </w:pPr>
      <w:r>
        <w:rPr>
          <w:rFonts w:ascii="Calibri" w:cs="Calibri" w:eastAsia="Calibri" w:hAnsi="Calibri"/>
          <w:color w:val="333333"/>
          <w:sz w:val="22"/>
          <w:szCs w:val="22"/>
        </w:rPr>
        <w:t xml:space="preserve">More credentials to rotate</w:t>
      </w:r>
    </w:p>
    <w:p>
      <w:pPr>
        <w:pStyle w:val="ListParagraph"/>
        <w:numPr>
          <w:ilvl w:val="0"/>
          <w:numId w:val="1"/>
        </w:numPr>
        <w:spacing w:after="60" w:line="276"/>
      </w:pPr>
      <w:r>
        <w:rPr>
          <w:rFonts w:ascii="Calibri" w:cs="Calibri" w:eastAsia="Calibri" w:hAnsi="Calibri"/>
          <w:color w:val="333333"/>
          <w:sz w:val="22"/>
          <w:szCs w:val="22"/>
        </w:rPr>
        <w:t xml:space="preserve">More users to re-consent</w:t>
      </w:r>
    </w:p>
    <w:p>
      <w:pPr>
        <w:pStyle w:val="ListParagraph"/>
        <w:numPr>
          <w:ilvl w:val="0"/>
          <w:numId w:val="1"/>
        </w:numPr>
        <w:spacing w:after="60" w:line="276"/>
      </w:pPr>
      <w:r>
        <w:rPr>
          <w:rFonts w:ascii="Calibri" w:cs="Calibri" w:eastAsia="Calibri" w:hAnsi="Calibri"/>
          <w:color w:val="333333"/>
          <w:sz w:val="22"/>
          <w:szCs w:val="22"/>
        </w:rPr>
        <w:t xml:space="preserve">More historical actions with no audit trail (a permanent forensic gap)</w:t>
      </w:r>
    </w:p>
    <w:p>
      <w:pPr>
        <w:pStyle w:val="ListParagraph"/>
        <w:numPr>
          <w:ilvl w:val="0"/>
          <w:numId w:val="1"/>
        </w:numPr>
        <w:spacing w:after="60" w:line="276"/>
      </w:pPr>
      <w:r>
        <w:rPr>
          <w:rFonts w:ascii="Calibri" w:cs="Calibri" w:eastAsia="Calibri" w:hAnsi="Calibri"/>
          <w:color w:val="333333"/>
          <w:sz w:val="22"/>
          <w:szCs w:val="22"/>
        </w:rPr>
        <w:t xml:space="preserve">More organizational resistance to adding controls to workflows that “already work”</w:t>
      </w:r>
    </w:p>
    <w:p>
      <w:pPr>
        <w:pBdr>
          <w:left w:val="single" w:color="E67E22" w:sz="12"/>
        </w:pBdr>
        <w:spacing w:before="80" w:after="120" w:line="276"/>
        <w:ind w:left="360"/>
      </w:pPr>
      <w:r>
        <w:rPr>
          <w:rFonts w:ascii="Calibri" w:cs="Calibri" w:eastAsia="Calibri" w:hAnsi="Calibri"/>
          <w:b/>
          <w:bCs/>
          <w:color w:val="E67E22"/>
          <w:sz w:val="22"/>
          <w:szCs w:val="22"/>
        </w:rPr>
        <w:t xml:space="preserve">Consequence: </w:t>
      </w:r>
      <w:r>
        <w:rPr>
          <w:rFonts w:ascii="Calibri" w:cs="Calibri" w:eastAsia="Calibri" w:hAnsi="Calibri"/>
          <w:color w:val="333333"/>
          <w:sz w:val="22"/>
          <w:szCs w:val="22"/>
        </w:rPr>
        <w:t xml:space="preserve">What costs X to implement today costs 3–5X in 12 months, both in engineering effort and organizational change management. The audit trail gap is permanent — you can never retroactively reconstruct what happened before logging was in place.</w:t>
      </w:r>
    </w:p>
    <w:p>
      <w:pPr>
        <w:pStyle w:val="Heading1"/>
        <w:pBdr>
          <w:bottom w:val="single" w:color="2E6DA4" w:sz="6"/>
        </w:pBdr>
        <w:spacing w:before="360" w:after="120"/>
      </w:pPr>
      <w:r>
        <w:rPr>
          <w:rFonts w:ascii="Calibri" w:cs="Calibri" w:eastAsia="Calibri" w:hAnsi="Calibri"/>
          <w:b/>
          <w:bCs/>
          <w:color w:val="1B3A5C"/>
          <w:sz w:val="32"/>
          <w:szCs w:val="32"/>
        </w:rPr>
        <w:t xml:space="preserve">Risk Heat Map Summary</w:t>
      </w:r>
    </w:p>
    <w:p>
      <w:pPr>
        <w:spacing w:after="120" w:line="276"/>
      </w:pPr>
      <w:r>
        <w:rPr>
          <w:rFonts w:ascii="Calibri" w:cs="Calibri" w:eastAsia="Calibri" w:hAnsi="Calibri"/>
          <w:color w:val="333333"/>
          <w:sz w:val="22"/>
          <w:szCs w:val="22"/>
        </w:rPr>
        <w:t xml:space="preserve">The following table consolidates all identified risks with their assessed likelihood, impact, and urgency: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Risk</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Likelihood</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Impact</w:t>
            </w:r>
          </w:p>
        </w:tc>
        <w:tc>
          <w:tcPr>
            <w:shd w:color="2E6DA4" w:val="solid"/>
            <w:tcMar>
              <w:top w:type="dxa" w:w="40"/>
              <w:left w:type="dxa" w:w="80"/>
              <w:bottom w:type="dxa" w:w="40"/>
              <w:right w:type="dxa" w:w="80"/>
            </w:tcMar>
          </w:tcPr>
          <w:p>
            <w:pPr>
              <w:spacing w:before="40" w:after="40"/>
            </w:pPr>
            <w:r>
              <w:rPr>
                <w:rFonts w:ascii="Calibri" w:cs="Calibri" w:eastAsia="Calibri" w:hAnsi="Calibri"/>
                <w:b/>
                <w:bCs/>
                <w:color w:val="FFFFFF"/>
                <w:sz w:val="22"/>
                <w:szCs w:val="22"/>
              </w:rPr>
              <w:t xml:space="preserve">Urgency</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Uncontrolled privilege escalation</w:t>
            </w:r>
          </w:p>
        </w:tc>
        <w:tc>
          <w:tcPr>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Critical</w:t>
            </w:r>
          </w:p>
        </w:tc>
        <w:tc>
          <w:tcPr>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Immediate</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Invisible attack surface</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Critical</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Immediate</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Zero forensic capability</w:t>
            </w:r>
          </w:p>
        </w:tc>
        <w:tc>
          <w:tcPr>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Immediate</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Regulatory / compliance exposure</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Critical</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Near-term</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Data leakage / IP loss</w:t>
            </w:r>
          </w:p>
        </w:tc>
        <w:tc>
          <w:tcPr>
            <w:tcMar>
              <w:top w:type="dxa" w:w="40"/>
              <w:left w:type="dxa" w:w="80"/>
              <w:bottom w:type="dxa" w:w="40"/>
              <w:right w:type="dxa" w:w="80"/>
            </w:tcMar>
          </w:tcPr>
          <w:p>
            <w:pPr>
              <w:spacing w:before="40" w:after="40"/>
            </w:pPr>
            <w:r>
              <w:rPr>
                <w:rFonts w:ascii="Calibri" w:cs="Calibri" w:eastAsia="Calibri" w:hAnsi="Calibri"/>
                <w:b/>
                <w:bCs/>
                <w:color w:val="F39C12"/>
                <w:sz w:val="22"/>
                <w:szCs w:val="22"/>
              </w:rPr>
              <w:t xml:space="preserve">Medium-High</w:t>
            </w:r>
          </w:p>
        </w:tc>
        <w:tc>
          <w:tcPr>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Critical</w:t>
            </w:r>
          </w:p>
        </w:tc>
        <w:tc>
          <w:tcPr>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Near-term</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Accountability gap</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Near-term</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Runaway agent risk</w:t>
            </w:r>
          </w:p>
        </w:tc>
        <w:tc>
          <w:tcPr>
            <w:tcMar>
              <w:top w:type="dxa" w:w="40"/>
              <w:left w:type="dxa" w:w="80"/>
              <w:bottom w:type="dxa" w:w="40"/>
              <w:right w:type="dxa" w:w="80"/>
            </w:tcMar>
          </w:tcPr>
          <w:p>
            <w:pPr>
              <w:spacing w:before="40" w:after="40"/>
            </w:pPr>
            <w:r>
              <w:rPr>
                <w:rFonts w:ascii="Calibri" w:cs="Calibri" w:eastAsia="Calibri" w:hAnsi="Calibri"/>
                <w:b/>
                <w:bCs/>
                <w:color w:val="F39C12"/>
                <w:sz w:val="22"/>
                <w:szCs w:val="22"/>
              </w:rPr>
              <w:t xml:space="preserve">Medium</w:t>
            </w:r>
          </w:p>
        </w:tc>
        <w:tc>
          <w:tcPr>
            <w:tcMar>
              <w:top w:type="dxa" w:w="40"/>
              <w:left w:type="dxa" w:w="80"/>
              <w:bottom w:type="dxa" w:w="40"/>
              <w:right w:type="dxa" w:w="80"/>
            </w:tcMar>
          </w:tcPr>
          <w:p>
            <w:pPr>
              <w:spacing w:before="40" w:after="40"/>
            </w:pPr>
            <w:r>
              <w:rPr>
                <w:rFonts w:ascii="Calibri" w:cs="Calibri" w:eastAsia="Calibri" w:hAnsi="Calibri"/>
                <w:b/>
                <w:bCs/>
                <w:color w:val="C0392B"/>
                <w:sz w:val="22"/>
                <w:szCs w:val="22"/>
              </w:rPr>
              <w:t xml:space="preserve">Critical</w:t>
            </w:r>
          </w:p>
        </w:tc>
        <w:tc>
          <w:tcPr>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Near-term</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Agent sprawl</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F39C12"/>
                <w:sz w:val="22"/>
                <w:szCs w:val="22"/>
              </w:rPr>
              <w:t xml:space="preserve">Medium-High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F39C12"/>
                <w:sz w:val="22"/>
                <w:szCs w:val="22"/>
              </w:rPr>
              <w:t xml:space="preserve">Medium-term</w:t>
            </w:r>
          </w:p>
        </w:tc>
      </w:tr>
      <w:tr>
        <w:tc>
          <w:tcPr>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Customer / partner trust erosion</w:t>
            </w:r>
          </w:p>
        </w:tc>
        <w:tc>
          <w:tcPr>
            <w:tcMar>
              <w:top w:type="dxa" w:w="40"/>
              <w:left w:type="dxa" w:w="80"/>
              <w:bottom w:type="dxa" w:w="40"/>
              <w:right w:type="dxa" w:w="80"/>
            </w:tcMar>
          </w:tcPr>
          <w:p>
            <w:pPr>
              <w:spacing w:before="40" w:after="40"/>
            </w:pPr>
            <w:r>
              <w:rPr>
                <w:rFonts w:ascii="Calibri" w:cs="Calibri" w:eastAsia="Calibri" w:hAnsi="Calibri"/>
                <w:b/>
                <w:bCs/>
                <w:color w:val="F39C12"/>
                <w:sz w:val="22"/>
                <w:szCs w:val="22"/>
              </w:rPr>
              <w:t xml:space="preserve">Medium</w:t>
            </w:r>
          </w:p>
        </w:tc>
        <w:tc>
          <w:tcPr>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tcMar>
              <w:top w:type="dxa" w:w="40"/>
              <w:left w:type="dxa" w:w="80"/>
              <w:bottom w:type="dxa" w:w="40"/>
              <w:right w:type="dxa" w:w="80"/>
            </w:tcMar>
          </w:tcPr>
          <w:p>
            <w:pPr>
              <w:spacing w:before="40" w:after="40"/>
            </w:pPr>
            <w:r>
              <w:rPr>
                <w:rFonts w:ascii="Calibri" w:cs="Calibri" w:eastAsia="Calibri" w:hAnsi="Calibri"/>
                <w:b/>
                <w:bCs/>
                <w:color w:val="F39C12"/>
                <w:sz w:val="22"/>
                <w:szCs w:val="22"/>
              </w:rPr>
              <w:t xml:space="preserve">Medium-term</w:t>
            </w:r>
          </w:p>
        </w:tc>
      </w:tr>
      <w:tr>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Compounding cost of delay</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333333"/>
                <w:sz w:val="22"/>
                <w:szCs w:val="22"/>
              </w:rPr>
              <w:t xml:space="preserve">Certain</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E67E22"/>
                <w:sz w:val="22"/>
                <w:szCs w:val="22"/>
              </w:rPr>
              <w:t xml:space="preserve">High</w:t>
            </w:r>
          </w:p>
        </w:tc>
        <w:tc>
          <w:tcPr>
            <w:shd w:color="F2F8FC" w:val="solid"/>
            <w:tcMar>
              <w:top w:type="dxa" w:w="40"/>
              <w:left w:type="dxa" w:w="80"/>
              <w:bottom w:type="dxa" w:w="40"/>
              <w:right w:type="dxa" w:w="80"/>
            </w:tcMar>
          </w:tcPr>
          <w:p>
            <w:pPr>
              <w:spacing w:before="40" w:after="40"/>
            </w:pPr>
            <w:r>
              <w:rPr>
                <w:rFonts w:ascii="Calibri" w:cs="Calibri" w:eastAsia="Calibri" w:hAnsi="Calibri"/>
                <w:b/>
                <w:bCs/>
                <w:color w:val="2E6DA4"/>
                <w:sz w:val="22"/>
                <w:szCs w:val="22"/>
              </w:rPr>
              <w:t xml:space="preserve">Ongoing</w:t>
            </w:r>
          </w:p>
        </w:tc>
      </w:tr>
    </w:tbl>
    <w:p>
      <w:pPr>
        <w:spacing w:after="120"/>
      </w:pPr>
    </w:p>
    <w:p>
      <w:pPr>
        <w:pStyle w:val="Heading1"/>
        <w:pBdr>
          <w:bottom w:val="single" w:color="2E6DA4" w:sz="6"/>
        </w:pBdr>
        <w:spacing w:before="360" w:after="120"/>
      </w:pPr>
      <w:r>
        <w:rPr>
          <w:rFonts w:ascii="Calibri" w:cs="Calibri" w:eastAsia="Calibri" w:hAnsi="Calibri"/>
          <w:b/>
          <w:bCs/>
          <w:color w:val="1B3A5C"/>
          <w:sz w:val="32"/>
          <w:szCs w:val="32"/>
        </w:rPr>
        <w:t xml:space="preserve">Conclusion</w:t>
      </w:r>
    </w:p>
    <w:p>
      <w:pPr>
        <w:spacing w:after="120" w:line="276"/>
      </w:pPr>
      <w:r>
        <w:rPr>
          <w:rFonts w:ascii="Calibri" w:cs="Calibri" w:eastAsia="Calibri" w:hAnsi="Calibri"/>
          <w:color w:val="333333"/>
          <w:sz w:val="22"/>
          <w:szCs w:val="22"/>
        </w:rPr>
        <w:t xml:space="preserve">Inaction is itself a decision — it is a decision to accept all of these risks simultaneously, with no controls, no visibility, and no evidence for auditors. The risk compounds with every agent deployed, and the forensic gap created by delaying audit trail implementation is permanent.</w:t>
      </w:r>
    </w:p>
    <w:p>
      <w:pPr>
        <w:spacing w:after="120" w:line="276"/>
      </w:pPr>
      <w:r>
        <w:rPr>
          <w:rFonts w:ascii="Calibri" w:cs="Calibri" w:eastAsia="Calibri" w:hAnsi="Calibri"/>
          <w:color w:val="333333"/>
          <w:sz w:val="22"/>
          <w:szCs w:val="22"/>
        </w:rPr>
        <w:t xml:space="preserve">The three risks requiring the most immediate attention are uncontrolled privilege escalation, invisible attack surface expansion, and zero forensic capability. These form the foundation upon which all other risks are amplified.</w:t>
      </w:r>
    </w:p>
    <w:p>
      <w:pPr>
        <w:spacing w:after="120" w:line="276"/>
      </w:pPr>
      <w:r>
        <w:rPr>
          <w:rFonts w:ascii="Calibri" w:cs="Calibri" w:eastAsia="Calibri" w:hAnsi="Calibri"/>
          <w:color w:val="333333"/>
          <w:sz w:val="22"/>
          <w:szCs w:val="22"/>
        </w:rPr>
        <w:t xml:space="preserve">Organizations that act now will establish a governance baseline before agent adoption reaches critical mass. Those that delay will face a significantly more expensive and disruptive retrofit — with an irrecoverable gap in their audit history.</w:t>
      </w:r>
    </w:p>
    <w:sectPr>
      <w:footerReference w:type="default" r:id="rId6"/>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2026-02-11T17:08:37.721Z</dcterms:created>
  <dcterms:modified xsi:type="dcterms:W3CDTF">2026-02-11T17:08:37.722Z</dcterms:modified>
</cp:coreProperties>
</file>

<file path=docProps/custom.xml><?xml version="1.0" encoding="utf-8"?>
<Properties xmlns="http://schemas.openxmlformats.org/officeDocument/2006/custom-properties" xmlns:vt="http://schemas.openxmlformats.org/officeDocument/2006/docPropsVTypes"/>
</file>