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00"/>
        <w:jc w:val="center"/>
      </w:pPr>
      <w:r>
        <w:rPr>
          <w:rFonts w:ascii="Calibri" w:cs="Calibri" w:eastAsia="Calibri" w:hAnsi="Calibri"/>
          <w:b/>
          <w:bCs/>
          <w:color w:val="1B3A5C"/>
          <w:sz w:val="52"/>
          <w:szCs w:val="52"/>
        </w:rPr>
        <w:t xml:space="preserve">AI Agent IAM</w:t>
      </w:r>
    </w:p>
    <w:p>
      <w:pPr>
        <w:spacing w:after="100"/>
        <w:jc w:val="center"/>
      </w:pPr>
      <w:r>
        <w:rPr>
          <w:rFonts w:ascii="Calibri" w:cs="Calibri" w:eastAsia="Calibri" w:hAnsi="Calibri"/>
          <w:b/>
          <w:bCs/>
          <w:color w:val="1B3A5C"/>
          <w:sz w:val="52"/>
          <w:szCs w:val="52"/>
        </w:rPr>
        <w:t xml:space="preserve">Implementation Roadmap</w:t>
      </w:r>
    </w:p>
    <w:p>
      <w:pPr>
        <w:spacing w:after="120"/>
      </w:pPr>
    </w:p>
    <w:p>
      <w:pPr>
        <w:spacing w:after="80"/>
        <w:jc w:val="center"/>
      </w:pPr>
      <w:r>
        <w:rPr>
          <w:rFonts w:ascii="Calibri" w:cs="Calibri" w:eastAsia="Calibri" w:hAnsi="Calibri"/>
          <w:color w:val="2E6DA4"/>
          <w:sz w:val="28"/>
          <w:szCs w:val="28"/>
        </w:rPr>
        <w:t xml:space="preserve">Phased Plan for Building Enterprise Identity &amp; Access</w:t>
      </w:r>
    </w:p>
    <w:p>
      <w:pPr>
        <w:spacing w:after="80"/>
        <w:jc w:val="center"/>
      </w:pPr>
      <w:r>
        <w:rPr>
          <w:rFonts w:ascii="Calibri" w:cs="Calibri" w:eastAsia="Calibri" w:hAnsi="Calibri"/>
          <w:color w:val="2E6DA4"/>
          <w:sz w:val="28"/>
          <w:szCs w:val="28"/>
        </w:rPr>
        <w:t xml:space="preserve">Management for AI Agents</w:t>
      </w:r>
    </w:p>
    <w:p>
      <w:pPr>
        <w:spacing w:after="120"/>
      </w:pPr>
    </w:p>
    <w:p>
      <w:pPr>
        <w:spacing w:after="400"/>
        <w:jc w:val="center"/>
      </w:pPr>
      <w:r>
        <w:rPr>
          <w:rFonts w:ascii="Calibri" w:cs="Calibri" w:eastAsia="Calibri" w:hAnsi="Calibri"/>
          <w:i/>
          <w:iCs/>
          <w:color w:val="555555"/>
          <w:sz w:val="22"/>
          <w:szCs w:val="22"/>
        </w:rPr>
        <w:t xml:space="preserve">February 11, 2026</w:t>
      </w:r>
    </w:p>
    <w:p>
      <w:pPr>
        <w:spacing w:after="120"/>
      </w:pPr>
    </w:p>
    <w:p>
      <w:pPr>
        <w:spacing w:after="120"/>
      </w:pPr>
    </w:p>
    <w:p>
      <w:pPr>
        <w:pStyle w:val="Heading1"/>
        <w:pBdr>
          <w:bottom w:val="single" w:color="2E6DA4" w:sz="6"/>
        </w:pBdr>
        <w:spacing w:before="360" w:after="120"/>
      </w:pPr>
      <w:r>
        <w:rPr>
          <w:rFonts w:ascii="Calibri" w:cs="Calibri" w:eastAsia="Calibri" w:hAnsi="Calibri"/>
          <w:b/>
          <w:bCs/>
          <w:color w:val="1B3A5C"/>
          <w:sz w:val="32"/>
          <w:szCs w:val="32"/>
        </w:rPr>
        <w:t xml:space="preserve">Overview</w:t>
      </w:r>
    </w:p>
    <w:p>
      <w:pPr>
        <w:spacing w:after="120" w:line="276"/>
      </w:pPr>
      <w:r>
        <w:rPr>
          <w:rFonts w:ascii="Calibri" w:cs="Calibri" w:eastAsia="Calibri" w:hAnsi="Calibri"/>
          <w:color w:val="333333"/>
          <w:sz w:val="22"/>
          <w:szCs w:val="22"/>
        </w:rPr>
        <w:t xml:space="preserve">This roadmap sequences the implementation of an enterprise Identity and Access Management (IAM) framework for AI agents. Each phase builds on the previous one, ensuring that at every phase boundary the organization has a usable, incrementally safer system. The plan is structured around dependencies, risk reduction, and incremental value delivery.</w:t>
      </w:r>
    </w:p>
    <w:p>
      <w:pPr>
        <w:spacing w:after="120" w:line="276"/>
      </w:pPr>
      <w:r>
        <w:rPr>
          <w:rFonts w:ascii="Calibri" w:cs="Calibri" w:eastAsia="Calibri" w:hAnsi="Calibri"/>
          <w:color w:val="333333"/>
          <w:sz w:val="22"/>
          <w:szCs w:val="22"/>
        </w:rPr>
        <w:t xml:space="preserve">The full program spans approximately 22 weeks across 7 phases (including Phase 0), with opportunities for parallel execution between certain phases.</w:t>
      </w:r>
    </w:p>
    <w:p>
      <w:pPr>
        <w:pStyle w:val="Heading1"/>
        <w:pBdr>
          <w:bottom w:val="single" w:color="2E6DA4" w:sz="6"/>
        </w:pBdr>
        <w:spacing w:before="360" w:after="120"/>
      </w:pPr>
      <w:r>
        <w:rPr>
          <w:rFonts w:ascii="Calibri" w:cs="Calibri" w:eastAsia="Calibri" w:hAnsi="Calibri"/>
          <w:b/>
          <w:bCs/>
          <w:color w:val="1B3A5C"/>
          <w:sz w:val="32"/>
          <w:szCs w:val="32"/>
        </w:rPr>
        <w:t xml:space="preserve">Timeline Overview</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shd w:color="2E6DA4" w:val="solid"/>
            <w:tcMar>
              <w:top w:type="dxa" w:w="40"/>
              <w:left w:type="dxa" w:w="80"/>
              <w:bottom w:type="dxa" w:w="40"/>
              <w:right w:type="dxa" w:w="80"/>
            </w:tcMar>
          </w:tcPr>
          <w:p>
            <w:pPr>
              <w:spacing w:before="40" w:after="40"/>
            </w:pPr>
            <w:r>
              <w:rPr>
                <w:rFonts w:ascii="Calibri" w:cs="Calibri" w:eastAsia="Calibri" w:hAnsi="Calibri"/>
                <w:b/>
                <w:bCs/>
                <w:color w:val="FFFFFF"/>
                <w:sz w:val="22"/>
                <w:szCs w:val="22"/>
              </w:rPr>
              <w:t xml:space="preserve">Phase</w:t>
            </w:r>
          </w:p>
        </w:tc>
        <w:tc>
          <w:tcPr>
            <w:shd w:color="2E6DA4" w:val="solid"/>
            <w:tcMar>
              <w:top w:type="dxa" w:w="40"/>
              <w:left w:type="dxa" w:w="80"/>
              <w:bottom w:type="dxa" w:w="40"/>
              <w:right w:type="dxa" w:w="80"/>
            </w:tcMar>
          </w:tcPr>
          <w:p>
            <w:pPr>
              <w:spacing w:before="40" w:after="40"/>
            </w:pPr>
            <w:r>
              <w:rPr>
                <w:rFonts w:ascii="Calibri" w:cs="Calibri" w:eastAsia="Calibri" w:hAnsi="Calibri"/>
                <w:b/>
                <w:bCs/>
                <w:color w:val="FFFFFF"/>
                <w:sz w:val="22"/>
                <w:szCs w:val="22"/>
              </w:rPr>
              <w:t xml:space="preserve">Focus Area</w:t>
            </w:r>
          </w:p>
        </w:tc>
        <w:tc>
          <w:tcPr>
            <w:shd w:color="2E6DA4" w:val="solid"/>
            <w:tcMar>
              <w:top w:type="dxa" w:w="40"/>
              <w:left w:type="dxa" w:w="80"/>
              <w:bottom w:type="dxa" w:w="40"/>
              <w:right w:type="dxa" w:w="80"/>
            </w:tcMar>
          </w:tcPr>
          <w:p>
            <w:pPr>
              <w:spacing w:before="40" w:after="40"/>
            </w:pPr>
            <w:r>
              <w:rPr>
                <w:rFonts w:ascii="Calibri" w:cs="Calibri" w:eastAsia="Calibri" w:hAnsi="Calibri"/>
                <w:b/>
                <w:bCs/>
                <w:color w:val="FFFFFF"/>
                <w:sz w:val="22"/>
                <w:szCs w:val="22"/>
              </w:rPr>
              <w:t xml:space="preserve">Timeline</w:t>
            </w:r>
          </w:p>
        </w:tc>
        <w:tc>
          <w:tcPr>
            <w:shd w:color="2E6DA4" w:val="solid"/>
            <w:tcMar>
              <w:top w:type="dxa" w:w="40"/>
              <w:left w:type="dxa" w:w="80"/>
              <w:bottom w:type="dxa" w:w="40"/>
              <w:right w:type="dxa" w:w="80"/>
            </w:tcMar>
          </w:tcPr>
          <w:p>
            <w:pPr>
              <w:spacing w:before="40" w:after="40"/>
            </w:pPr>
            <w:r>
              <w:rPr>
                <w:rFonts w:ascii="Calibri" w:cs="Calibri" w:eastAsia="Calibri" w:hAnsi="Calibri"/>
                <w:b/>
                <w:bCs/>
                <w:color w:val="FFFFFF"/>
                <w:sz w:val="22"/>
                <w:szCs w:val="22"/>
              </w:rPr>
              <w:t xml:space="preserve">Dependencies</w:t>
            </w:r>
          </w:p>
        </w:tc>
      </w:tr>
      <w:tr>
        <w:tc>
          <w:tcPr>
            <w:tcMar>
              <w:top w:type="dxa" w:w="40"/>
              <w:left w:type="dxa" w:w="80"/>
              <w:bottom w:type="dxa" w:w="40"/>
              <w:right w:type="dxa" w:w="80"/>
            </w:tcMar>
          </w:tcPr>
          <w:p>
            <w:pPr>
              <w:spacing w:before="40" w:after="40"/>
            </w:pPr>
            <w:r>
              <w:rPr>
                <w:rFonts w:ascii="Calibri" w:cs="Calibri" w:eastAsia="Calibri" w:hAnsi="Calibri"/>
                <w:b/>
                <w:bCs/>
                <w:color w:val="333333"/>
                <w:sz w:val="22"/>
                <w:szCs w:val="22"/>
              </w:rPr>
              <w:t xml:space="preserve">Phase 0</w:t>
            </w:r>
          </w:p>
        </w:tc>
        <w:tc>
          <w:tcPr>
            <w:tcMar>
              <w:top w:type="dxa" w:w="40"/>
              <w:left w:type="dxa" w:w="80"/>
              <w:bottom w:type="dxa" w:w="40"/>
              <w:right w:type="dxa" w:w="80"/>
            </w:tcMar>
          </w:tcPr>
          <w:p>
            <w:pPr>
              <w:spacing w:before="40" w:after="40"/>
            </w:pPr>
            <w:r>
              <w:rPr>
                <w:rFonts w:ascii="Calibri" w:cs="Calibri" w:eastAsia="Calibri" w:hAnsi="Calibri"/>
                <w:color w:val="333333"/>
                <w:sz w:val="22"/>
                <w:szCs w:val="22"/>
              </w:rPr>
              <w:t xml:space="preserve">Agent Identity &amp; Registry</w:t>
            </w:r>
          </w:p>
        </w:tc>
        <w:tc>
          <w:tcPr>
            <w:tcMar>
              <w:top w:type="dxa" w:w="40"/>
              <w:left w:type="dxa" w:w="80"/>
              <w:bottom w:type="dxa" w:w="40"/>
              <w:right w:type="dxa" w:w="80"/>
            </w:tcMar>
          </w:tcPr>
          <w:p>
            <w:pPr>
              <w:spacing w:before="40" w:after="40"/>
            </w:pPr>
            <w:r>
              <w:rPr>
                <w:rFonts w:ascii="Calibri" w:cs="Calibri" w:eastAsia="Calibri" w:hAnsi="Calibri"/>
                <w:color w:val="333333"/>
                <w:sz w:val="22"/>
                <w:szCs w:val="22"/>
              </w:rPr>
              <w:t xml:space="preserve">Weeks 1–4</w:t>
            </w:r>
          </w:p>
        </w:tc>
        <w:tc>
          <w:tcPr>
            <w:tcMar>
              <w:top w:type="dxa" w:w="40"/>
              <w:left w:type="dxa" w:w="80"/>
              <w:bottom w:type="dxa" w:w="40"/>
              <w:right w:type="dxa" w:w="80"/>
            </w:tcMar>
          </w:tcPr>
          <w:p>
            <w:pPr>
              <w:spacing w:before="40" w:after="40"/>
            </w:pPr>
            <w:r>
              <w:rPr>
                <w:rFonts w:ascii="Calibri" w:cs="Calibri" w:eastAsia="Calibri" w:hAnsi="Calibri"/>
                <w:color w:val="333333"/>
                <w:sz w:val="22"/>
                <w:szCs w:val="22"/>
              </w:rPr>
              <w:t xml:space="preserve">None (foundation)</w:t>
            </w:r>
          </w:p>
        </w:tc>
      </w:tr>
      <w:tr>
        <w:tc>
          <w:tcPr>
            <w:shd w:color="F2F8FC" w:val="solid"/>
            <w:tcMar>
              <w:top w:type="dxa" w:w="40"/>
              <w:left w:type="dxa" w:w="80"/>
              <w:bottom w:type="dxa" w:w="40"/>
              <w:right w:type="dxa" w:w="80"/>
            </w:tcMar>
          </w:tcPr>
          <w:p>
            <w:pPr>
              <w:spacing w:before="40" w:after="40"/>
            </w:pPr>
            <w:r>
              <w:rPr>
                <w:rFonts w:ascii="Calibri" w:cs="Calibri" w:eastAsia="Calibri" w:hAnsi="Calibri"/>
                <w:b/>
                <w:bCs/>
                <w:color w:val="333333"/>
                <w:sz w:val="22"/>
                <w:szCs w:val="22"/>
              </w:rPr>
              <w:t xml:space="preserve">Phase 1</w:t>
            </w:r>
          </w:p>
        </w:tc>
        <w:tc>
          <w:tcPr>
            <w:shd w:color="F2F8FC" w:val="solid"/>
            <w:tcMar>
              <w:top w:type="dxa" w:w="40"/>
              <w:left w:type="dxa" w:w="80"/>
              <w:bottom w:type="dxa" w:w="40"/>
              <w:right w:type="dxa" w:w="80"/>
            </w:tcMar>
          </w:tcPr>
          <w:p>
            <w:pPr>
              <w:spacing w:before="40" w:after="40"/>
            </w:pPr>
            <w:r>
              <w:rPr>
                <w:rFonts w:ascii="Calibri" w:cs="Calibri" w:eastAsia="Calibri" w:hAnsi="Calibri"/>
                <w:color w:val="333333"/>
                <w:sz w:val="22"/>
                <w:szCs w:val="22"/>
              </w:rPr>
              <w:t xml:space="preserve">Scoped Delegation &amp; Permission Boundaries</w:t>
            </w:r>
          </w:p>
        </w:tc>
        <w:tc>
          <w:tcPr>
            <w:shd w:color="F2F8FC" w:val="solid"/>
            <w:tcMar>
              <w:top w:type="dxa" w:w="40"/>
              <w:left w:type="dxa" w:w="80"/>
              <w:bottom w:type="dxa" w:w="40"/>
              <w:right w:type="dxa" w:w="80"/>
            </w:tcMar>
          </w:tcPr>
          <w:p>
            <w:pPr>
              <w:spacing w:before="40" w:after="40"/>
            </w:pPr>
            <w:r>
              <w:rPr>
                <w:rFonts w:ascii="Calibri" w:cs="Calibri" w:eastAsia="Calibri" w:hAnsi="Calibri"/>
                <w:color w:val="333333"/>
                <w:sz w:val="22"/>
                <w:szCs w:val="22"/>
              </w:rPr>
              <w:t xml:space="preserve">Weeks 3–7</w:t>
            </w:r>
          </w:p>
        </w:tc>
        <w:tc>
          <w:tcPr>
            <w:shd w:color="F2F8FC" w:val="solid"/>
            <w:tcMar>
              <w:top w:type="dxa" w:w="40"/>
              <w:left w:type="dxa" w:w="80"/>
              <w:bottom w:type="dxa" w:w="40"/>
              <w:right w:type="dxa" w:w="80"/>
            </w:tcMar>
          </w:tcPr>
          <w:p>
            <w:pPr>
              <w:spacing w:before="40" w:after="40"/>
            </w:pPr>
            <w:r>
              <w:rPr>
                <w:rFonts w:ascii="Calibri" w:cs="Calibri" w:eastAsia="Calibri" w:hAnsi="Calibri"/>
                <w:color w:val="333333"/>
                <w:sz w:val="22"/>
                <w:szCs w:val="22"/>
              </w:rPr>
              <w:t xml:space="preserve">Phase 0</w:t>
            </w:r>
          </w:p>
        </w:tc>
      </w:tr>
      <w:tr>
        <w:tc>
          <w:tcPr>
            <w:tcMar>
              <w:top w:type="dxa" w:w="40"/>
              <w:left w:type="dxa" w:w="80"/>
              <w:bottom w:type="dxa" w:w="40"/>
              <w:right w:type="dxa" w:w="80"/>
            </w:tcMar>
          </w:tcPr>
          <w:p>
            <w:pPr>
              <w:spacing w:before="40" w:after="40"/>
            </w:pPr>
            <w:r>
              <w:rPr>
                <w:rFonts w:ascii="Calibri" w:cs="Calibri" w:eastAsia="Calibri" w:hAnsi="Calibri"/>
                <w:b/>
                <w:bCs/>
                <w:color w:val="333333"/>
                <w:sz w:val="22"/>
                <w:szCs w:val="22"/>
              </w:rPr>
              <w:t xml:space="preserve">Phase 2</w:t>
            </w:r>
          </w:p>
        </w:tc>
        <w:tc>
          <w:tcPr>
            <w:tcMar>
              <w:top w:type="dxa" w:w="40"/>
              <w:left w:type="dxa" w:w="80"/>
              <w:bottom w:type="dxa" w:w="40"/>
              <w:right w:type="dxa" w:w="80"/>
            </w:tcMar>
          </w:tcPr>
          <w:p>
            <w:pPr>
              <w:spacing w:before="40" w:after="40"/>
            </w:pPr>
            <w:r>
              <w:rPr>
                <w:rFonts w:ascii="Calibri" w:cs="Calibri" w:eastAsia="Calibri" w:hAnsi="Calibri"/>
                <w:color w:val="333333"/>
                <w:sz w:val="22"/>
                <w:szCs w:val="22"/>
              </w:rPr>
              <w:t xml:space="preserve">Audit Trail Infrastructure</w:t>
            </w:r>
          </w:p>
        </w:tc>
        <w:tc>
          <w:tcPr>
            <w:tcMar>
              <w:top w:type="dxa" w:w="40"/>
              <w:left w:type="dxa" w:w="80"/>
              <w:bottom w:type="dxa" w:w="40"/>
              <w:right w:type="dxa" w:w="80"/>
            </w:tcMar>
          </w:tcPr>
          <w:p>
            <w:pPr>
              <w:spacing w:before="40" w:after="40"/>
            </w:pPr>
            <w:r>
              <w:rPr>
                <w:rFonts w:ascii="Calibri" w:cs="Calibri" w:eastAsia="Calibri" w:hAnsi="Calibri"/>
                <w:color w:val="333333"/>
                <w:sz w:val="22"/>
                <w:szCs w:val="22"/>
              </w:rPr>
              <w:t xml:space="preserve">Weeks 5–10</w:t>
            </w:r>
          </w:p>
        </w:tc>
        <w:tc>
          <w:tcPr>
            <w:tcMar>
              <w:top w:type="dxa" w:w="40"/>
              <w:left w:type="dxa" w:w="80"/>
              <w:bottom w:type="dxa" w:w="40"/>
              <w:right w:type="dxa" w:w="80"/>
            </w:tcMar>
          </w:tcPr>
          <w:p>
            <w:pPr>
              <w:spacing w:before="40" w:after="40"/>
            </w:pPr>
            <w:r>
              <w:rPr>
                <w:rFonts w:ascii="Calibri" w:cs="Calibri" w:eastAsia="Calibri" w:hAnsi="Calibri"/>
                <w:color w:val="333333"/>
                <w:sz w:val="22"/>
                <w:szCs w:val="22"/>
              </w:rPr>
              <w:t xml:space="preserve">Phase 0</w:t>
            </w:r>
          </w:p>
        </w:tc>
      </w:tr>
      <w:tr>
        <w:tc>
          <w:tcPr>
            <w:shd w:color="F2F8FC" w:val="solid"/>
            <w:tcMar>
              <w:top w:type="dxa" w:w="40"/>
              <w:left w:type="dxa" w:w="80"/>
              <w:bottom w:type="dxa" w:w="40"/>
              <w:right w:type="dxa" w:w="80"/>
            </w:tcMar>
          </w:tcPr>
          <w:p>
            <w:pPr>
              <w:spacing w:before="40" w:after="40"/>
            </w:pPr>
            <w:r>
              <w:rPr>
                <w:rFonts w:ascii="Calibri" w:cs="Calibri" w:eastAsia="Calibri" w:hAnsi="Calibri"/>
                <w:b/>
                <w:bCs/>
                <w:color w:val="333333"/>
                <w:sz w:val="22"/>
                <w:szCs w:val="22"/>
              </w:rPr>
              <w:t xml:space="preserve">Phase 3</w:t>
            </w:r>
          </w:p>
        </w:tc>
        <w:tc>
          <w:tcPr>
            <w:shd w:color="F2F8FC" w:val="solid"/>
            <w:tcMar>
              <w:top w:type="dxa" w:w="40"/>
              <w:left w:type="dxa" w:w="80"/>
              <w:bottom w:type="dxa" w:w="40"/>
              <w:right w:type="dxa" w:w="80"/>
            </w:tcMar>
          </w:tcPr>
          <w:p>
            <w:pPr>
              <w:spacing w:before="40" w:after="40"/>
            </w:pPr>
            <w:r>
              <w:rPr>
                <w:rFonts w:ascii="Calibri" w:cs="Calibri" w:eastAsia="Calibri" w:hAnsi="Calibri"/>
                <w:color w:val="333333"/>
                <w:sz w:val="22"/>
                <w:szCs w:val="22"/>
              </w:rPr>
              <w:t xml:space="preserve">Access Control Policy Engine</w:t>
            </w:r>
          </w:p>
        </w:tc>
        <w:tc>
          <w:tcPr>
            <w:shd w:color="F2F8FC" w:val="solid"/>
            <w:tcMar>
              <w:top w:type="dxa" w:w="40"/>
              <w:left w:type="dxa" w:w="80"/>
              <w:bottom w:type="dxa" w:w="40"/>
              <w:right w:type="dxa" w:w="80"/>
            </w:tcMar>
          </w:tcPr>
          <w:p>
            <w:pPr>
              <w:spacing w:before="40" w:after="40"/>
            </w:pPr>
            <w:r>
              <w:rPr>
                <w:rFonts w:ascii="Calibri" w:cs="Calibri" w:eastAsia="Calibri" w:hAnsi="Calibri"/>
                <w:color w:val="333333"/>
                <w:sz w:val="22"/>
                <w:szCs w:val="22"/>
              </w:rPr>
              <w:t xml:space="preserve">Weeks 8–13</w:t>
            </w:r>
          </w:p>
        </w:tc>
        <w:tc>
          <w:tcPr>
            <w:shd w:color="F2F8FC" w:val="solid"/>
            <w:tcMar>
              <w:top w:type="dxa" w:w="40"/>
              <w:left w:type="dxa" w:w="80"/>
              <w:bottom w:type="dxa" w:w="40"/>
              <w:right w:type="dxa" w:w="80"/>
            </w:tcMar>
          </w:tcPr>
          <w:p>
            <w:pPr>
              <w:spacing w:before="40" w:after="40"/>
            </w:pPr>
            <w:r>
              <w:rPr>
                <w:rFonts w:ascii="Calibri" w:cs="Calibri" w:eastAsia="Calibri" w:hAnsi="Calibri"/>
                <w:color w:val="333333"/>
                <w:sz w:val="22"/>
                <w:szCs w:val="22"/>
              </w:rPr>
              <w:t xml:space="preserve">Phases 1 &amp; 2</w:t>
            </w:r>
          </w:p>
        </w:tc>
      </w:tr>
      <w:tr>
        <w:tc>
          <w:tcPr>
            <w:tcMar>
              <w:top w:type="dxa" w:w="40"/>
              <w:left w:type="dxa" w:w="80"/>
              <w:bottom w:type="dxa" w:w="40"/>
              <w:right w:type="dxa" w:w="80"/>
            </w:tcMar>
          </w:tcPr>
          <w:p>
            <w:pPr>
              <w:spacing w:before="40" w:after="40"/>
            </w:pPr>
            <w:r>
              <w:rPr>
                <w:rFonts w:ascii="Calibri" w:cs="Calibri" w:eastAsia="Calibri" w:hAnsi="Calibri"/>
                <w:b/>
                <w:bCs/>
                <w:color w:val="333333"/>
                <w:sz w:val="22"/>
                <w:szCs w:val="22"/>
              </w:rPr>
              <w:t xml:space="preserve">Phase 4</w:t>
            </w:r>
          </w:p>
        </w:tc>
        <w:tc>
          <w:tcPr>
            <w:tcMar>
              <w:top w:type="dxa" w:w="40"/>
              <w:left w:type="dxa" w:w="80"/>
              <w:bottom w:type="dxa" w:w="40"/>
              <w:right w:type="dxa" w:w="80"/>
            </w:tcMar>
          </w:tcPr>
          <w:p>
            <w:pPr>
              <w:spacing w:before="40" w:after="40"/>
            </w:pPr>
            <w:r>
              <w:rPr>
                <w:rFonts w:ascii="Calibri" w:cs="Calibri" w:eastAsia="Calibri" w:hAnsi="Calibri"/>
                <w:color w:val="333333"/>
                <w:sz w:val="22"/>
                <w:szCs w:val="22"/>
              </w:rPr>
              <w:t xml:space="preserve">Consent &amp; Attestation Framework</w:t>
            </w:r>
          </w:p>
        </w:tc>
        <w:tc>
          <w:tcPr>
            <w:tcMar>
              <w:top w:type="dxa" w:w="40"/>
              <w:left w:type="dxa" w:w="80"/>
              <w:bottom w:type="dxa" w:w="40"/>
              <w:right w:type="dxa" w:w="80"/>
            </w:tcMar>
          </w:tcPr>
          <w:p>
            <w:pPr>
              <w:spacing w:before="40" w:after="40"/>
            </w:pPr>
            <w:r>
              <w:rPr>
                <w:rFonts w:ascii="Calibri" w:cs="Calibri" w:eastAsia="Calibri" w:hAnsi="Calibri"/>
                <w:color w:val="333333"/>
                <w:sz w:val="22"/>
                <w:szCs w:val="22"/>
              </w:rPr>
              <w:t xml:space="preserve">Weeks 11–16</w:t>
            </w:r>
          </w:p>
        </w:tc>
        <w:tc>
          <w:tcPr>
            <w:tcMar>
              <w:top w:type="dxa" w:w="40"/>
              <w:left w:type="dxa" w:w="80"/>
              <w:bottom w:type="dxa" w:w="40"/>
              <w:right w:type="dxa" w:w="80"/>
            </w:tcMar>
          </w:tcPr>
          <w:p>
            <w:pPr>
              <w:spacing w:before="40" w:after="40"/>
            </w:pPr>
            <w:r>
              <w:rPr>
                <w:rFonts w:ascii="Calibri" w:cs="Calibri" w:eastAsia="Calibri" w:hAnsi="Calibri"/>
                <w:color w:val="333333"/>
                <w:sz w:val="22"/>
                <w:szCs w:val="22"/>
              </w:rPr>
              <w:t xml:space="preserve">Phase 3</w:t>
            </w:r>
          </w:p>
        </w:tc>
      </w:tr>
      <w:tr>
        <w:tc>
          <w:tcPr>
            <w:shd w:color="F2F8FC" w:val="solid"/>
            <w:tcMar>
              <w:top w:type="dxa" w:w="40"/>
              <w:left w:type="dxa" w:w="80"/>
              <w:bottom w:type="dxa" w:w="40"/>
              <w:right w:type="dxa" w:w="80"/>
            </w:tcMar>
          </w:tcPr>
          <w:p>
            <w:pPr>
              <w:spacing w:before="40" w:after="40"/>
            </w:pPr>
            <w:r>
              <w:rPr>
                <w:rFonts w:ascii="Calibri" w:cs="Calibri" w:eastAsia="Calibri" w:hAnsi="Calibri"/>
                <w:b/>
                <w:bCs/>
                <w:color w:val="333333"/>
                <w:sz w:val="22"/>
                <w:szCs w:val="22"/>
              </w:rPr>
              <w:t xml:space="preserve">Phase 5</w:t>
            </w:r>
          </w:p>
        </w:tc>
        <w:tc>
          <w:tcPr>
            <w:shd w:color="F2F8FC" w:val="solid"/>
            <w:tcMar>
              <w:top w:type="dxa" w:w="40"/>
              <w:left w:type="dxa" w:w="80"/>
              <w:bottom w:type="dxa" w:w="40"/>
              <w:right w:type="dxa" w:w="80"/>
            </w:tcMar>
          </w:tcPr>
          <w:p>
            <w:pPr>
              <w:spacing w:before="40" w:after="40"/>
            </w:pPr>
            <w:r>
              <w:rPr>
                <w:rFonts w:ascii="Calibri" w:cs="Calibri" w:eastAsia="Calibri" w:hAnsi="Calibri"/>
                <w:color w:val="333333"/>
                <w:sz w:val="22"/>
                <w:szCs w:val="22"/>
              </w:rPr>
              <w:t xml:space="preserve">Lifecycle Management &amp; Automation</w:t>
            </w:r>
          </w:p>
        </w:tc>
        <w:tc>
          <w:tcPr>
            <w:shd w:color="F2F8FC" w:val="solid"/>
            <w:tcMar>
              <w:top w:type="dxa" w:w="40"/>
              <w:left w:type="dxa" w:w="80"/>
              <w:bottom w:type="dxa" w:w="40"/>
              <w:right w:type="dxa" w:w="80"/>
            </w:tcMar>
          </w:tcPr>
          <w:p>
            <w:pPr>
              <w:spacing w:before="40" w:after="40"/>
            </w:pPr>
            <w:r>
              <w:rPr>
                <w:rFonts w:ascii="Calibri" w:cs="Calibri" w:eastAsia="Calibri" w:hAnsi="Calibri"/>
                <w:color w:val="333333"/>
                <w:sz w:val="22"/>
                <w:szCs w:val="22"/>
              </w:rPr>
              <w:t xml:space="preserve">Weeks 14–18</w:t>
            </w:r>
          </w:p>
        </w:tc>
        <w:tc>
          <w:tcPr>
            <w:shd w:color="F2F8FC" w:val="solid"/>
            <w:tcMar>
              <w:top w:type="dxa" w:w="40"/>
              <w:left w:type="dxa" w:w="80"/>
              <w:bottom w:type="dxa" w:w="40"/>
              <w:right w:type="dxa" w:w="80"/>
            </w:tcMar>
          </w:tcPr>
          <w:p>
            <w:pPr>
              <w:spacing w:before="40" w:after="40"/>
            </w:pPr>
            <w:r>
              <w:rPr>
                <w:rFonts w:ascii="Calibri" w:cs="Calibri" w:eastAsia="Calibri" w:hAnsi="Calibri"/>
                <w:color w:val="333333"/>
                <w:sz w:val="22"/>
                <w:szCs w:val="22"/>
              </w:rPr>
              <w:t xml:space="preserve">Phases 3 &amp; 4</w:t>
            </w:r>
          </w:p>
        </w:tc>
      </w:tr>
      <w:tr>
        <w:tc>
          <w:tcPr>
            <w:tcMar>
              <w:top w:type="dxa" w:w="40"/>
              <w:left w:type="dxa" w:w="80"/>
              <w:bottom w:type="dxa" w:w="40"/>
              <w:right w:type="dxa" w:w="80"/>
            </w:tcMar>
          </w:tcPr>
          <w:p>
            <w:pPr>
              <w:spacing w:before="40" w:after="40"/>
            </w:pPr>
            <w:r>
              <w:rPr>
                <w:rFonts w:ascii="Calibri" w:cs="Calibri" w:eastAsia="Calibri" w:hAnsi="Calibri"/>
                <w:b/>
                <w:bCs/>
                <w:color w:val="333333"/>
                <w:sz w:val="22"/>
                <w:szCs w:val="22"/>
              </w:rPr>
              <w:t xml:space="preserve">Phase 6</w:t>
            </w:r>
          </w:p>
        </w:tc>
        <w:tc>
          <w:tcPr>
            <w:tcMar>
              <w:top w:type="dxa" w:w="40"/>
              <w:left w:type="dxa" w:w="80"/>
              <w:bottom w:type="dxa" w:w="40"/>
              <w:right w:type="dxa" w:w="80"/>
            </w:tcMar>
          </w:tcPr>
          <w:p>
            <w:pPr>
              <w:spacing w:before="40" w:after="40"/>
            </w:pPr>
            <w:r>
              <w:rPr>
                <w:rFonts w:ascii="Calibri" w:cs="Calibri" w:eastAsia="Calibri" w:hAnsi="Calibri"/>
                <w:color w:val="333333"/>
                <w:sz w:val="22"/>
                <w:szCs w:val="22"/>
              </w:rPr>
              <w:t xml:space="preserve">Anomaly Detection &amp; Investigation</w:t>
            </w:r>
          </w:p>
        </w:tc>
        <w:tc>
          <w:tcPr>
            <w:tcMar>
              <w:top w:type="dxa" w:w="40"/>
              <w:left w:type="dxa" w:w="80"/>
              <w:bottom w:type="dxa" w:w="40"/>
              <w:right w:type="dxa" w:w="80"/>
            </w:tcMar>
          </w:tcPr>
          <w:p>
            <w:pPr>
              <w:spacing w:before="40" w:after="40"/>
            </w:pPr>
            <w:r>
              <w:rPr>
                <w:rFonts w:ascii="Calibri" w:cs="Calibri" w:eastAsia="Calibri" w:hAnsi="Calibri"/>
                <w:color w:val="333333"/>
                <w:sz w:val="22"/>
                <w:szCs w:val="22"/>
              </w:rPr>
              <w:t xml:space="preserve">Weeks 16–22</w:t>
            </w:r>
          </w:p>
        </w:tc>
        <w:tc>
          <w:tcPr>
            <w:tcMar>
              <w:top w:type="dxa" w:w="40"/>
              <w:left w:type="dxa" w:w="80"/>
              <w:bottom w:type="dxa" w:w="40"/>
              <w:right w:type="dxa" w:w="80"/>
            </w:tcMar>
          </w:tcPr>
          <w:p>
            <w:pPr>
              <w:spacing w:before="40" w:after="40"/>
            </w:pPr>
            <w:r>
              <w:rPr>
                <w:rFonts w:ascii="Calibri" w:cs="Calibri" w:eastAsia="Calibri" w:hAnsi="Calibri"/>
                <w:color w:val="333333"/>
                <w:sz w:val="22"/>
                <w:szCs w:val="22"/>
              </w:rPr>
              <w:t xml:space="preserve">Phase 2 (matured data)</w:t>
            </w:r>
          </w:p>
        </w:tc>
      </w:tr>
    </w:tbl>
    <w:p>
      <w:pPr>
        <w:spacing w:after="120"/>
      </w:pPr>
    </w:p>
    <w:p>
      <w:pPr>
        <w:pStyle w:val="Heading1"/>
        <w:pBdr>
          <w:bottom w:val="single" w:color="2E6DA4" w:sz="6"/>
        </w:pBdr>
        <w:spacing w:before="400" w:after="60"/>
      </w:pPr>
      <w:r>
        <w:rPr>
          <w:rFonts w:ascii="Calibri" w:cs="Calibri" w:eastAsia="Calibri" w:hAnsi="Calibri"/>
          <w:b/>
          <w:bCs/>
          <w:color w:val="1B3A5C"/>
          <w:sz w:val="32"/>
          <w:szCs w:val="32"/>
        </w:rPr>
        <w:t xml:space="preserve">Phase 0: </w:t>
      </w:r>
      <w:r>
        <w:rPr>
          <w:rFonts w:ascii="Calibri" w:cs="Calibri" w:eastAsia="Calibri" w:hAnsi="Calibri"/>
          <w:b/>
          <w:bCs/>
          <w:color w:val="1B3A5C"/>
          <w:sz w:val="32"/>
          <w:szCs w:val="32"/>
        </w:rPr>
        <w:t xml:space="preserve">Agent Identity &amp; Registry</w:t>
      </w:r>
    </w:p>
    <w:p>
      <w:pPr>
        <w:spacing w:after="140"/>
      </w:pPr>
      <w:r>
        <w:rPr>
          <w:rFonts w:ascii="Calibri" w:cs="Calibri" w:eastAsia="Calibri" w:hAnsi="Calibri"/>
          <w:b/>
          <w:bCs/>
          <w:color w:val="2E6DA4"/>
          <w:sz w:val="22"/>
          <w:szCs w:val="22"/>
        </w:rPr>
        <w:t xml:space="preserve">⏱ Weeks 1–4</w:t>
      </w:r>
    </w:p>
    <w:p>
      <w:pPr>
        <w:shd w:color="EBF5FB" w:val="solid"/>
        <w:spacing w:after="120" w:line="276"/>
        <w:ind w:left="215" w:right="215"/>
      </w:pPr>
      <w:r>
        <w:rPr>
          <w:rFonts w:ascii="Calibri" w:cs="Calibri" w:eastAsia="Calibri" w:hAnsi="Calibri"/>
          <w:b/>
          <w:bCs/>
          <w:color w:val="1B3A5C"/>
          <w:sz w:val="22"/>
          <w:szCs w:val="22"/>
        </w:rPr>
        <w:t xml:space="preserve">Why this order: </w:t>
      </w:r>
      <w:r>
        <w:rPr>
          <w:rFonts w:ascii="Calibri" w:cs="Calibri" w:eastAsia="Calibri" w:hAnsi="Calibri"/>
          <w:color w:val="333333"/>
          <w:sz w:val="22"/>
          <w:szCs w:val="22"/>
        </w:rPr>
        <w:t xml:space="preserve">Everything else depends on agents being identifiable entities. You cannot audit, scope, or revoke what you cannot identify.</w:t>
      </w:r>
    </w:p>
    <w:p>
      <w:pPr>
        <w:spacing w:after="120"/>
      </w:pPr>
    </w:p>
    <w:p>
      <w:pPr>
        <w:pStyle w:val="Heading2"/>
        <w:spacing w:before="280" w:after="100"/>
      </w:pPr>
      <w:r>
        <w:rPr>
          <w:rFonts w:ascii="Calibri" w:cs="Calibri" w:eastAsia="Calibri" w:hAnsi="Calibri"/>
          <w:b/>
          <w:bCs/>
          <w:color w:val="2E6DA4"/>
          <w:sz w:val="26"/>
          <w:szCs w:val="26"/>
        </w:rPr>
        <w:t xml:space="preserve">Deliverables</w:t>
      </w:r>
    </w:p>
    <w:p>
      <w:pPr>
        <w:pStyle w:val="ListParagraph"/>
        <w:numPr>
          <w:ilvl w:val="0"/>
          <w:numId w:val="2"/>
        </w:numPr>
        <w:spacing w:after="80" w:line="276"/>
      </w:pPr>
      <w:r>
        <w:rPr>
          <w:rFonts w:ascii="Calibri" w:cs="Calibri" w:eastAsia="Calibri" w:hAnsi="Calibri"/>
          <w:b/>
          <w:bCs/>
          <w:color w:val="333333"/>
          <w:sz w:val="22"/>
          <w:szCs w:val="22"/>
        </w:rPr>
        <w:t xml:space="preserve">Agent Identity Schema — </w:t>
      </w:r>
      <w:r>
        <w:rPr>
          <w:rFonts w:ascii="Calibri" w:cs="Calibri" w:eastAsia="Calibri" w:hAnsi="Calibri"/>
          <w:color w:val="333333"/>
          <w:sz w:val="22"/>
          <w:szCs w:val="22"/>
        </w:rPr>
        <w:t xml:space="preserve">Define the data model for agent identities: agent_id, owner_user_id, agent_type, model_version, purpose, created_at, lifecycle_state (active / suspended / revoked).</w:t>
      </w:r>
    </w:p>
    <w:p>
      <w:pPr>
        <w:pStyle w:val="ListParagraph"/>
        <w:numPr>
          <w:ilvl w:val="0"/>
          <w:numId w:val="2"/>
        </w:numPr>
        <w:spacing w:after="80" w:line="276"/>
      </w:pPr>
      <w:r>
        <w:rPr>
          <w:rFonts w:ascii="Calibri" w:cs="Calibri" w:eastAsia="Calibri" w:hAnsi="Calibri"/>
          <w:b/>
          <w:bCs/>
          <w:color w:val="333333"/>
          <w:sz w:val="22"/>
          <w:szCs w:val="22"/>
        </w:rPr>
        <w:t xml:space="preserve">Agent Registry Service — </w:t>
      </w:r>
      <w:r>
        <w:rPr>
          <w:rFonts w:ascii="Calibri" w:cs="Calibri" w:eastAsia="Calibri" w:hAnsi="Calibri"/>
          <w:color w:val="333333"/>
          <w:sz w:val="22"/>
          <w:szCs w:val="22"/>
        </w:rPr>
        <w:t xml:space="preserve">A central catalog where every agent instance is registered. This is the source of truth for “what agents exist and who owns them.”</w:t>
      </w:r>
    </w:p>
    <w:p>
      <w:pPr>
        <w:pStyle w:val="ListParagraph"/>
        <w:numPr>
          <w:ilvl w:val="0"/>
          <w:numId w:val="2"/>
        </w:numPr>
        <w:spacing w:after="80" w:line="276"/>
      </w:pPr>
      <w:r>
        <w:rPr>
          <w:rFonts w:ascii="Calibri" w:cs="Calibri" w:eastAsia="Calibri" w:hAnsi="Calibri"/>
          <w:b/>
          <w:bCs/>
          <w:color w:val="333333"/>
          <w:sz w:val="22"/>
          <w:szCs w:val="22"/>
        </w:rPr>
        <w:t xml:space="preserve">Credential Issuance — </w:t>
      </w:r>
      <w:r>
        <w:rPr>
          <w:rFonts w:ascii="Calibri" w:cs="Calibri" w:eastAsia="Calibri" w:hAnsi="Calibri"/>
          <w:color w:val="333333"/>
          <w:sz w:val="22"/>
          <w:szCs w:val="22"/>
        </w:rPr>
        <w:t xml:space="preserve">Integrate with your IdP to issue short-lived tokens (OAuth2 client credentials or service principal tokens) tied to the agent identity. Establish token TTL policy (e.g., 15–60 minutes) and refresh flow.</w:t>
      </w:r>
    </w:p>
    <w:p>
      <w:pPr>
        <w:pStyle w:val="ListParagraph"/>
        <w:numPr>
          <w:ilvl w:val="0"/>
          <w:numId w:val="2"/>
        </w:numPr>
        <w:spacing w:after="80" w:line="276"/>
      </w:pPr>
      <w:r>
        <w:rPr>
          <w:rFonts w:ascii="Calibri" w:cs="Calibri" w:eastAsia="Calibri" w:hAnsi="Calibri"/>
          <w:b/>
          <w:bCs/>
          <w:color w:val="333333"/>
          <w:sz w:val="22"/>
          <w:szCs w:val="22"/>
        </w:rPr>
        <w:t xml:space="preserve">User-Agent Binding — </w:t>
      </w:r>
      <w:r>
        <w:rPr>
          <w:rFonts w:ascii="Calibri" w:cs="Calibri" w:eastAsia="Calibri" w:hAnsi="Calibri"/>
          <w:color w:val="333333"/>
          <w:sz w:val="22"/>
          <w:szCs w:val="22"/>
        </w:rPr>
        <w:t xml:space="preserve">Ensure every agent is linked to a delegating user at registration time. No orphan agents.</w:t>
      </w:r>
    </w:p>
    <w:p>
      <w:pPr>
        <w:pStyle w:val="Heading2"/>
        <w:spacing w:before="280" w:after="100"/>
      </w:pPr>
      <w:r>
        <w:rPr>
          <w:rFonts w:ascii="Calibri" w:cs="Calibri" w:eastAsia="Calibri" w:hAnsi="Calibri"/>
          <w:b/>
          <w:bCs/>
          <w:color w:val="2E6DA4"/>
          <w:sz w:val="26"/>
          <w:szCs w:val="26"/>
        </w:rPr>
        <w:t xml:space="preserve">Key Decisions</w:t>
      </w:r>
    </w:p>
    <w:p>
      <w:pPr>
        <w:pStyle w:val="ListParagraph"/>
        <w:numPr>
          <w:ilvl w:val="0"/>
          <w:numId w:val="1"/>
        </w:numPr>
        <w:spacing w:after="60" w:line="276"/>
      </w:pPr>
      <w:r>
        <w:rPr>
          <w:rFonts w:ascii="Calibri" w:cs="Calibri" w:eastAsia="Calibri" w:hAnsi="Calibri"/>
          <w:color w:val="333333"/>
          <w:sz w:val="22"/>
          <w:szCs w:val="22"/>
        </w:rPr>
        <w:t xml:space="preserve">Will you extend your existing IdP (Entra ID, Okta, etc.) or build a sidecar registry?</w:t>
      </w:r>
    </w:p>
    <w:p>
      <w:pPr>
        <w:pStyle w:val="ListParagraph"/>
        <w:numPr>
          <w:ilvl w:val="0"/>
          <w:numId w:val="1"/>
        </w:numPr>
        <w:spacing w:after="60" w:line="276"/>
      </w:pPr>
      <w:r>
        <w:rPr>
          <w:rFonts w:ascii="Calibri" w:cs="Calibri" w:eastAsia="Calibri" w:hAnsi="Calibri"/>
          <w:color w:val="333333"/>
          <w:sz w:val="22"/>
          <w:szCs w:val="22"/>
        </w:rPr>
        <w:t xml:space="preserve">Token format: JWT with custom claims, or opaque tokens with introspection?</w:t>
      </w:r>
    </w:p>
    <w:p>
      <w:pPr>
        <w:pStyle w:val="ListParagraph"/>
        <w:numPr>
          <w:ilvl w:val="0"/>
          <w:numId w:val="1"/>
        </w:numPr>
        <w:spacing w:after="60" w:line="276"/>
      </w:pPr>
      <w:r>
        <w:rPr>
          <w:rFonts w:ascii="Calibri" w:cs="Calibri" w:eastAsia="Calibri" w:hAnsi="Calibri"/>
          <w:color w:val="333333"/>
          <w:sz w:val="22"/>
          <w:szCs w:val="22"/>
        </w:rPr>
        <w:t xml:space="preserve">How do agents authenticate to refresh tokens (mTLS, client secret rotation, workload identity)?</w:t>
      </w:r>
    </w:p>
    <w:p>
      <w:pPr>
        <w:pBdr>
          <w:left w:val="single" w:color="27AE60" w:sz="12"/>
        </w:pBdr>
        <w:spacing w:before="100" w:after="120" w:line="276"/>
        <w:ind w:left="360"/>
      </w:pPr>
      <w:r>
        <w:rPr>
          <w:rFonts w:ascii="Calibri" w:cs="Calibri" w:eastAsia="Calibri" w:hAnsi="Calibri"/>
          <w:b/>
          <w:bCs/>
          <w:color w:val="27AE60"/>
          <w:sz w:val="22"/>
          <w:szCs w:val="22"/>
        </w:rPr>
        <w:t xml:space="preserve">Exit Criteria: </w:t>
      </w:r>
      <w:r>
        <w:rPr>
          <w:rFonts w:ascii="Calibri" w:cs="Calibri" w:eastAsia="Calibri" w:hAnsi="Calibri"/>
          <w:color w:val="333333"/>
          <w:sz w:val="22"/>
          <w:szCs w:val="22"/>
        </w:rPr>
        <w:t xml:space="preserve">You can create an agent identity, issue it a short-lived token, look it up in the registry, and see who owns it.</w:t>
      </w:r>
    </w:p>
    <w:p>
      <w:pPr>
        <w:pStyle w:val="Heading1"/>
        <w:pBdr>
          <w:bottom w:val="single" w:color="2E6DA4" w:sz="6"/>
        </w:pBdr>
        <w:spacing w:before="400" w:after="60"/>
      </w:pPr>
      <w:r>
        <w:rPr>
          <w:rFonts w:ascii="Calibri" w:cs="Calibri" w:eastAsia="Calibri" w:hAnsi="Calibri"/>
          <w:b/>
          <w:bCs/>
          <w:color w:val="1B3A5C"/>
          <w:sz w:val="32"/>
          <w:szCs w:val="32"/>
        </w:rPr>
        <w:t xml:space="preserve">Phase 1: </w:t>
      </w:r>
      <w:r>
        <w:rPr>
          <w:rFonts w:ascii="Calibri" w:cs="Calibri" w:eastAsia="Calibri" w:hAnsi="Calibri"/>
          <w:b/>
          <w:bCs/>
          <w:color w:val="1B3A5C"/>
          <w:sz w:val="32"/>
          <w:szCs w:val="32"/>
        </w:rPr>
        <w:t xml:space="preserve">Scoped Delegation &amp; Permission Boundaries</w:t>
      </w:r>
    </w:p>
    <w:p>
      <w:pPr>
        <w:spacing w:after="140"/>
      </w:pPr>
      <w:r>
        <w:rPr>
          <w:rFonts w:ascii="Calibri" w:cs="Calibri" w:eastAsia="Calibri" w:hAnsi="Calibri"/>
          <w:b/>
          <w:bCs/>
          <w:color w:val="2E6DA4"/>
          <w:sz w:val="22"/>
          <w:szCs w:val="22"/>
        </w:rPr>
        <w:t xml:space="preserve">⏱ Weeks 3–7 (overlaps with Phase 0)</w:t>
      </w:r>
    </w:p>
    <w:p>
      <w:pPr>
        <w:shd w:color="EBF5FB" w:val="solid"/>
        <w:spacing w:after="120" w:line="276"/>
        <w:ind w:left="215" w:right="215"/>
      </w:pPr>
      <w:r>
        <w:rPr>
          <w:rFonts w:ascii="Calibri" w:cs="Calibri" w:eastAsia="Calibri" w:hAnsi="Calibri"/>
          <w:b/>
          <w:bCs/>
          <w:color w:val="1B3A5C"/>
          <w:sz w:val="22"/>
          <w:szCs w:val="22"/>
        </w:rPr>
        <w:t xml:space="preserve">Why this order: </w:t>
      </w:r>
      <w:r>
        <w:rPr>
          <w:rFonts w:ascii="Calibri" w:cs="Calibri" w:eastAsia="Calibri" w:hAnsi="Calibri"/>
          <w:color w:val="333333"/>
          <w:sz w:val="22"/>
          <w:szCs w:val="22"/>
        </w:rPr>
        <w:t xml:space="preserve">Once agents have identities, you need to constrain what those identities can do. This is your primary preventive control.</w:t>
      </w:r>
    </w:p>
    <w:p>
      <w:pPr>
        <w:spacing w:after="120"/>
      </w:pPr>
    </w:p>
    <w:p>
      <w:pPr>
        <w:pStyle w:val="Heading2"/>
        <w:spacing w:before="280" w:after="100"/>
      </w:pPr>
      <w:r>
        <w:rPr>
          <w:rFonts w:ascii="Calibri" w:cs="Calibri" w:eastAsia="Calibri" w:hAnsi="Calibri"/>
          <w:b/>
          <w:bCs/>
          <w:color w:val="2E6DA4"/>
          <w:sz w:val="26"/>
          <w:szCs w:val="26"/>
        </w:rPr>
        <w:t xml:space="preserve">Deliverables</w:t>
      </w:r>
    </w:p>
    <w:p>
      <w:pPr>
        <w:pStyle w:val="ListParagraph"/>
        <w:numPr>
          <w:ilvl w:val="0"/>
          <w:numId w:val="3"/>
        </w:numPr>
        <w:spacing w:after="80" w:line="276"/>
      </w:pPr>
      <w:r>
        <w:rPr>
          <w:rFonts w:ascii="Calibri" w:cs="Calibri" w:eastAsia="Calibri" w:hAnsi="Calibri"/>
          <w:b/>
          <w:bCs/>
          <w:color w:val="333333"/>
          <w:sz w:val="22"/>
          <w:szCs w:val="22"/>
        </w:rPr>
        <w:t xml:space="preserve">Token Exchange Flow — </w:t>
      </w:r>
      <w:r>
        <w:rPr>
          <w:rFonts w:ascii="Calibri" w:cs="Calibri" w:eastAsia="Calibri" w:hAnsi="Calibri"/>
          <w:color w:val="333333"/>
          <w:sz w:val="22"/>
          <w:szCs w:val="22"/>
        </w:rPr>
        <w:t xml:space="preserve">Implement RFC 8693 token exchange (or an OBO variant) so that when a user delegates to an agent, a downscoped token is produced carrying both the user’s and agent’s identity.</w:t>
      </w:r>
    </w:p>
    <w:p>
      <w:pPr>
        <w:pStyle w:val="ListParagraph"/>
        <w:numPr>
          <w:ilvl w:val="0"/>
          <w:numId w:val="3"/>
        </w:numPr>
        <w:spacing w:after="80" w:line="276"/>
      </w:pPr>
      <w:r>
        <w:rPr>
          <w:rFonts w:ascii="Calibri" w:cs="Calibri" w:eastAsia="Calibri" w:hAnsi="Calibri"/>
          <w:b/>
          <w:bCs/>
          <w:color w:val="333333"/>
          <w:sz w:val="22"/>
          <w:szCs w:val="22"/>
        </w:rPr>
        <w:t xml:space="preserve">Permission Boundary Definitions — </w:t>
      </w:r>
      <w:r>
        <w:rPr>
          <w:rFonts w:ascii="Calibri" w:cs="Calibri" w:eastAsia="Calibri" w:hAnsi="Calibri"/>
          <w:color w:val="333333"/>
          <w:sz w:val="22"/>
          <w:szCs w:val="22"/>
        </w:rPr>
        <w:t xml:space="preserve">Define agent permission boundaries per agent type. These are the ceilings — the maximum scope any agent of that type can hold, regardless of the user’s entitlements.</w:t>
      </w:r>
    </w:p>
    <w:p>
      <w:pPr>
        <w:pStyle w:val="ListParagraph"/>
        <w:numPr>
          <w:ilvl w:val="0"/>
          <w:numId w:val="3"/>
        </w:numPr>
        <w:spacing w:after="80" w:line="276"/>
      </w:pPr>
      <w:r>
        <w:rPr>
          <w:rFonts w:ascii="Calibri" w:cs="Calibri" w:eastAsia="Calibri" w:hAnsi="Calibri"/>
          <w:b/>
          <w:bCs/>
          <w:color w:val="333333"/>
          <w:sz w:val="22"/>
          <w:szCs w:val="22"/>
        </w:rPr>
        <w:t xml:space="preserve">Scope Intersection Logic — </w:t>
      </w:r>
      <w:r>
        <w:rPr>
          <w:rFonts w:ascii="Calibri" w:cs="Calibri" w:eastAsia="Calibri" w:hAnsi="Calibri"/>
          <w:color w:val="333333"/>
          <w:sz w:val="22"/>
          <w:szCs w:val="22"/>
        </w:rPr>
        <w:t xml:space="preserve">Build the enforcement logic: effective_permissions = user_grants ∩ agent_requested_scopes ∩ boundary_policy. This runs at token issuance time.</w:t>
      </w:r>
    </w:p>
    <w:p>
      <w:pPr>
        <w:pStyle w:val="ListParagraph"/>
        <w:numPr>
          <w:ilvl w:val="0"/>
          <w:numId w:val="3"/>
        </w:numPr>
        <w:spacing w:after="80" w:line="276"/>
      </w:pPr>
      <w:r>
        <w:rPr>
          <w:rFonts w:ascii="Calibri" w:cs="Calibri" w:eastAsia="Calibri" w:hAnsi="Calibri"/>
          <w:b/>
          <w:bCs/>
          <w:color w:val="333333"/>
          <w:sz w:val="22"/>
          <w:szCs w:val="22"/>
        </w:rPr>
        <w:t xml:space="preserve">Privilege Escalation Guards — </w:t>
      </w:r>
      <w:r>
        <w:rPr>
          <w:rFonts w:ascii="Calibri" w:cs="Calibri" w:eastAsia="Calibri" w:hAnsi="Calibri"/>
          <w:color w:val="333333"/>
          <w:sz w:val="22"/>
          <w:szCs w:val="22"/>
        </w:rPr>
        <w:t xml:space="preserve">Validation that rejects any token exchange request where the agent asks for more than the user has.</w:t>
      </w:r>
    </w:p>
    <w:p>
      <w:pPr>
        <w:pStyle w:val="Heading2"/>
        <w:spacing w:before="280" w:after="100"/>
      </w:pPr>
      <w:r>
        <w:rPr>
          <w:rFonts w:ascii="Calibri" w:cs="Calibri" w:eastAsia="Calibri" w:hAnsi="Calibri"/>
          <w:b/>
          <w:bCs/>
          <w:color w:val="2E6DA4"/>
          <w:sz w:val="26"/>
          <w:szCs w:val="26"/>
        </w:rPr>
        <w:t xml:space="preserve">Key Decisions</w:t>
      </w:r>
    </w:p>
    <w:p>
      <w:pPr>
        <w:pStyle w:val="ListParagraph"/>
        <w:numPr>
          <w:ilvl w:val="0"/>
          <w:numId w:val="1"/>
        </w:numPr>
        <w:spacing w:after="60" w:line="276"/>
      </w:pPr>
      <w:r>
        <w:rPr>
          <w:rFonts w:ascii="Calibri" w:cs="Calibri" w:eastAsia="Calibri" w:hAnsi="Calibri"/>
          <w:color w:val="333333"/>
          <w:sz w:val="22"/>
          <w:szCs w:val="22"/>
        </w:rPr>
        <w:t xml:space="preserve">Where does scope intersection happen — in the IdP, an authorization service, or a token minting service?</w:t>
      </w:r>
    </w:p>
    <w:p>
      <w:pPr>
        <w:pStyle w:val="ListParagraph"/>
        <w:numPr>
          <w:ilvl w:val="0"/>
          <w:numId w:val="1"/>
        </w:numPr>
        <w:spacing w:after="60" w:line="276"/>
      </w:pPr>
      <w:r>
        <w:rPr>
          <w:rFonts w:ascii="Calibri" w:cs="Calibri" w:eastAsia="Calibri" w:hAnsi="Calibri"/>
          <w:color w:val="333333"/>
          <w:sz w:val="22"/>
          <w:szCs w:val="22"/>
        </w:rPr>
        <w:t xml:space="preserve">Granularity: are scopes coarse (read / write / admin) or fine-grained (per-resource)?</w:t>
      </w:r>
    </w:p>
    <w:p>
      <w:pPr>
        <w:pStyle w:val="ListParagraph"/>
        <w:numPr>
          <w:ilvl w:val="0"/>
          <w:numId w:val="1"/>
        </w:numPr>
        <w:spacing w:after="60" w:line="276"/>
      </w:pPr>
      <w:r>
        <w:rPr>
          <w:rFonts w:ascii="Calibri" w:cs="Calibri" w:eastAsia="Calibri" w:hAnsi="Calibri"/>
          <w:color w:val="333333"/>
          <w:sz w:val="22"/>
          <w:szCs w:val="22"/>
        </w:rPr>
        <w:t xml:space="preserve">How do you version permission boundaries as agent capabilities evolve?</w:t>
      </w:r>
    </w:p>
    <w:p>
      <w:pPr>
        <w:pBdr>
          <w:left w:val="single" w:color="27AE60" w:sz="12"/>
        </w:pBdr>
        <w:spacing w:before="100" w:after="120" w:line="276"/>
        <w:ind w:left="360"/>
      </w:pPr>
      <w:r>
        <w:rPr>
          <w:rFonts w:ascii="Calibri" w:cs="Calibri" w:eastAsia="Calibri" w:hAnsi="Calibri"/>
          <w:b/>
          <w:bCs/>
          <w:color w:val="27AE60"/>
          <w:sz w:val="22"/>
          <w:szCs w:val="22"/>
        </w:rPr>
        <w:t xml:space="preserve">Exit Criteria: </w:t>
      </w:r>
      <w:r>
        <w:rPr>
          <w:rFonts w:ascii="Calibri" w:cs="Calibri" w:eastAsia="Calibri" w:hAnsi="Calibri"/>
          <w:color w:val="333333"/>
          <w:sz w:val="22"/>
          <w:szCs w:val="22"/>
        </w:rPr>
        <w:t xml:space="preserve">An agent receives a token that provably cannot exceed its boundary or the user’s grants. Attempts to escalate are rejected.</w:t>
      </w:r>
    </w:p>
    <w:p>
      <w:pPr>
        <w:pStyle w:val="Heading1"/>
        <w:pBdr>
          <w:bottom w:val="single" w:color="2E6DA4" w:sz="6"/>
        </w:pBdr>
        <w:spacing w:before="400" w:after="60"/>
      </w:pPr>
      <w:r>
        <w:rPr>
          <w:rFonts w:ascii="Calibri" w:cs="Calibri" w:eastAsia="Calibri" w:hAnsi="Calibri"/>
          <w:b/>
          <w:bCs/>
          <w:color w:val="1B3A5C"/>
          <w:sz w:val="32"/>
          <w:szCs w:val="32"/>
        </w:rPr>
        <w:t xml:space="preserve">Phase 2: </w:t>
      </w:r>
      <w:r>
        <w:rPr>
          <w:rFonts w:ascii="Calibri" w:cs="Calibri" w:eastAsia="Calibri" w:hAnsi="Calibri"/>
          <w:b/>
          <w:bCs/>
          <w:color w:val="1B3A5C"/>
          <w:sz w:val="32"/>
          <w:szCs w:val="32"/>
        </w:rPr>
        <w:t xml:space="preserve">Audit Trail Infrastructure</w:t>
      </w:r>
    </w:p>
    <w:p>
      <w:pPr>
        <w:spacing w:after="140"/>
      </w:pPr>
      <w:r>
        <w:rPr>
          <w:rFonts w:ascii="Calibri" w:cs="Calibri" w:eastAsia="Calibri" w:hAnsi="Calibri"/>
          <w:b/>
          <w:bCs/>
          <w:color w:val="2E6DA4"/>
          <w:sz w:val="22"/>
          <w:szCs w:val="22"/>
        </w:rPr>
        <w:t xml:space="preserve">⏱ Weeks 5–10 (can run in parallel with Phase 1)</w:t>
      </w:r>
    </w:p>
    <w:p>
      <w:pPr>
        <w:shd w:color="EBF5FB" w:val="solid"/>
        <w:spacing w:after="120" w:line="276"/>
        <w:ind w:left="215" w:right="215"/>
      </w:pPr>
      <w:r>
        <w:rPr>
          <w:rFonts w:ascii="Calibri" w:cs="Calibri" w:eastAsia="Calibri" w:hAnsi="Calibri"/>
          <w:b/>
          <w:bCs/>
          <w:color w:val="1B3A5C"/>
          <w:sz w:val="22"/>
          <w:szCs w:val="22"/>
        </w:rPr>
        <w:t xml:space="preserve">Why this order: </w:t>
      </w:r>
      <w:r>
        <w:rPr>
          <w:rFonts w:ascii="Calibri" w:cs="Calibri" w:eastAsia="Calibri" w:hAnsi="Calibri"/>
          <w:color w:val="333333"/>
          <w:sz w:val="22"/>
          <w:szCs w:val="22"/>
        </w:rPr>
        <w:t xml:space="preserve">Before you open up more agent capabilities or allow wider deployment, you need visibility. The audit trail is your detective control and the backbone for investigation, compliance, and anomaly detection later.</w:t>
      </w:r>
    </w:p>
    <w:p>
      <w:pPr>
        <w:spacing w:after="120"/>
      </w:pPr>
    </w:p>
    <w:p>
      <w:pPr>
        <w:pStyle w:val="Heading2"/>
        <w:spacing w:before="280" w:after="100"/>
      </w:pPr>
      <w:r>
        <w:rPr>
          <w:rFonts w:ascii="Calibri" w:cs="Calibri" w:eastAsia="Calibri" w:hAnsi="Calibri"/>
          <w:b/>
          <w:bCs/>
          <w:color w:val="2E6DA4"/>
          <w:sz w:val="26"/>
          <w:szCs w:val="26"/>
        </w:rPr>
        <w:t xml:space="preserve">Deliverables</w:t>
      </w:r>
    </w:p>
    <w:p>
      <w:pPr>
        <w:pStyle w:val="ListParagraph"/>
        <w:numPr>
          <w:ilvl w:val="0"/>
          <w:numId w:val="4"/>
        </w:numPr>
        <w:spacing w:after="80" w:line="276"/>
      </w:pPr>
      <w:r>
        <w:rPr>
          <w:rFonts w:ascii="Calibri" w:cs="Calibri" w:eastAsia="Calibri" w:hAnsi="Calibri"/>
          <w:b/>
          <w:bCs/>
          <w:color w:val="333333"/>
          <w:sz w:val="22"/>
          <w:szCs w:val="22"/>
        </w:rPr>
        <w:t xml:space="preserve">Audit Event Schema — </w:t>
      </w:r>
      <w:r>
        <w:rPr>
          <w:rFonts w:ascii="Calibri" w:cs="Calibri" w:eastAsia="Calibri" w:hAnsi="Calibri"/>
          <w:color w:val="333333"/>
          <w:sz w:val="22"/>
          <w:szCs w:val="22"/>
        </w:rPr>
        <w:t xml:space="preserve">Formalize the log schema: timestamp, agent_id, delegating_user_id, action, resource, input_context, outcome, session_id / trace_id, policy_decision.</w:t>
      </w:r>
    </w:p>
    <w:p>
      <w:pPr>
        <w:pStyle w:val="ListParagraph"/>
        <w:numPr>
          <w:ilvl w:val="0"/>
          <w:numId w:val="4"/>
        </w:numPr>
        <w:spacing w:after="80" w:line="276"/>
      </w:pPr>
      <w:r>
        <w:rPr>
          <w:rFonts w:ascii="Calibri" w:cs="Calibri" w:eastAsia="Calibri" w:hAnsi="Calibri"/>
          <w:b/>
          <w:bCs/>
          <w:color w:val="333333"/>
          <w:sz w:val="22"/>
          <w:szCs w:val="22"/>
        </w:rPr>
        <w:t xml:space="preserve">Instrumentation Layer — </w:t>
      </w:r>
      <w:r>
        <w:rPr>
          <w:rFonts w:ascii="Calibri" w:cs="Calibri" w:eastAsia="Calibri" w:hAnsi="Calibri"/>
          <w:color w:val="333333"/>
          <w:sz w:val="22"/>
          <w:szCs w:val="22"/>
        </w:rPr>
        <w:t xml:space="preserve">Add audit emission at every enforcement point (API gateway, service mesh sidecar, or application middleware). Every agent action emits a structured event.</w:t>
      </w:r>
    </w:p>
    <w:p>
      <w:pPr>
        <w:pStyle w:val="ListParagraph"/>
        <w:numPr>
          <w:ilvl w:val="0"/>
          <w:numId w:val="4"/>
        </w:numPr>
        <w:spacing w:after="80" w:line="276"/>
      </w:pPr>
      <w:r>
        <w:rPr>
          <w:rFonts w:ascii="Calibri" w:cs="Calibri" w:eastAsia="Calibri" w:hAnsi="Calibri"/>
          <w:b/>
          <w:bCs/>
          <w:color w:val="333333"/>
          <w:sz w:val="22"/>
          <w:szCs w:val="22"/>
        </w:rPr>
        <w:t xml:space="preserve">Immutable Log Store — </w:t>
      </w:r>
      <w:r>
        <w:rPr>
          <w:rFonts w:ascii="Calibri" w:cs="Calibri" w:eastAsia="Calibri" w:hAnsi="Calibri"/>
          <w:color w:val="333333"/>
          <w:sz w:val="22"/>
          <w:szCs w:val="22"/>
        </w:rPr>
        <w:t xml:space="preserve">Set up append-only storage (WORM-configured object store, SIEM ingestion, or a dedicated audit database with immutability guarantees).</w:t>
      </w:r>
    </w:p>
    <w:p>
      <w:pPr>
        <w:pStyle w:val="ListParagraph"/>
        <w:numPr>
          <w:ilvl w:val="0"/>
          <w:numId w:val="4"/>
        </w:numPr>
        <w:spacing w:after="80" w:line="276"/>
      </w:pPr>
      <w:r>
        <w:rPr>
          <w:rFonts w:ascii="Calibri" w:cs="Calibri" w:eastAsia="Calibri" w:hAnsi="Calibri"/>
          <w:b/>
          <w:bCs/>
          <w:color w:val="333333"/>
          <w:sz w:val="22"/>
          <w:szCs w:val="22"/>
        </w:rPr>
        <w:t xml:space="preserve">Correlation / Session Linking — </w:t>
      </w:r>
      <w:r>
        <w:rPr>
          <w:rFonts w:ascii="Calibri" w:cs="Calibri" w:eastAsia="Calibri" w:hAnsi="Calibri"/>
          <w:color w:val="333333"/>
          <w:sz w:val="22"/>
          <w:szCs w:val="22"/>
        </w:rPr>
        <w:t xml:space="preserve">Ensure all actions within a single agent task share a trace_id so you can reconstruct the full sequence during investigation.</w:t>
      </w:r>
    </w:p>
    <w:p>
      <w:pPr>
        <w:pStyle w:val="ListParagraph"/>
        <w:numPr>
          <w:ilvl w:val="0"/>
          <w:numId w:val="4"/>
        </w:numPr>
        <w:spacing w:after="80" w:line="276"/>
      </w:pPr>
      <w:r>
        <w:rPr>
          <w:rFonts w:ascii="Calibri" w:cs="Calibri" w:eastAsia="Calibri" w:hAnsi="Calibri"/>
          <w:b/>
          <w:bCs/>
          <w:color w:val="333333"/>
          <w:sz w:val="22"/>
          <w:szCs w:val="22"/>
        </w:rPr>
        <w:t xml:space="preserve">Basic Search &amp; Query — </w:t>
      </w:r>
      <w:r>
        <w:rPr>
          <w:rFonts w:ascii="Calibri" w:cs="Calibri" w:eastAsia="Calibri" w:hAnsi="Calibri"/>
          <w:color w:val="333333"/>
          <w:sz w:val="22"/>
          <w:szCs w:val="22"/>
        </w:rPr>
        <w:t xml:space="preserve">Build or configure a query interface over audit logs (by user, agent, time range, action type, resource).</w:t>
      </w:r>
    </w:p>
    <w:p>
      <w:pPr>
        <w:pStyle w:val="Heading2"/>
        <w:spacing w:before="280" w:after="100"/>
      </w:pPr>
      <w:r>
        <w:rPr>
          <w:rFonts w:ascii="Calibri" w:cs="Calibri" w:eastAsia="Calibri" w:hAnsi="Calibri"/>
          <w:b/>
          <w:bCs/>
          <w:color w:val="2E6DA4"/>
          <w:sz w:val="26"/>
          <w:szCs w:val="26"/>
        </w:rPr>
        <w:t xml:space="preserve">Key Decisions</w:t>
      </w:r>
    </w:p>
    <w:p>
      <w:pPr>
        <w:pStyle w:val="ListParagraph"/>
        <w:numPr>
          <w:ilvl w:val="0"/>
          <w:numId w:val="1"/>
        </w:numPr>
        <w:spacing w:after="60" w:line="276"/>
      </w:pPr>
      <w:r>
        <w:rPr>
          <w:rFonts w:ascii="Calibri" w:cs="Calibri" w:eastAsia="Calibri" w:hAnsi="Calibri"/>
          <w:color w:val="333333"/>
          <w:sz w:val="22"/>
          <w:szCs w:val="22"/>
        </w:rPr>
        <w:t xml:space="preserve">Storage: dedicated audit lake vs. existing SIEM (Splunk, Sentinel, Elastic)?</w:t>
      </w:r>
    </w:p>
    <w:p>
      <w:pPr>
        <w:pStyle w:val="ListParagraph"/>
        <w:numPr>
          <w:ilvl w:val="0"/>
          <w:numId w:val="1"/>
        </w:numPr>
        <w:spacing w:after="60" w:line="276"/>
      </w:pPr>
      <w:r>
        <w:rPr>
          <w:rFonts w:ascii="Calibri" w:cs="Calibri" w:eastAsia="Calibri" w:hAnsi="Calibri"/>
          <w:color w:val="333333"/>
          <w:sz w:val="22"/>
          <w:szCs w:val="22"/>
        </w:rPr>
        <w:t xml:space="preserve">Retention period and compliance requirements (SOC 2, GDPR, industry-specific)?</w:t>
      </w:r>
    </w:p>
    <w:p>
      <w:pPr>
        <w:pStyle w:val="ListParagraph"/>
        <w:numPr>
          <w:ilvl w:val="0"/>
          <w:numId w:val="1"/>
        </w:numPr>
        <w:spacing w:after="60" w:line="276"/>
      </w:pPr>
      <w:r>
        <w:rPr>
          <w:rFonts w:ascii="Calibri" w:cs="Calibri" w:eastAsia="Calibri" w:hAnsi="Calibri"/>
          <w:color w:val="333333"/>
          <w:sz w:val="22"/>
          <w:szCs w:val="22"/>
        </w:rPr>
        <w:t xml:space="preserve">How to handle PII sanitization in input_context (the prompt that triggered the action)?</w:t>
      </w:r>
    </w:p>
    <w:p>
      <w:pPr>
        <w:pBdr>
          <w:left w:val="single" w:color="27AE60" w:sz="12"/>
        </w:pBdr>
        <w:spacing w:before="100" w:after="120" w:line="276"/>
        <w:ind w:left="360"/>
      </w:pPr>
      <w:r>
        <w:rPr>
          <w:rFonts w:ascii="Calibri" w:cs="Calibri" w:eastAsia="Calibri" w:hAnsi="Calibri"/>
          <w:b/>
          <w:bCs/>
          <w:color w:val="27AE60"/>
          <w:sz w:val="22"/>
          <w:szCs w:val="22"/>
        </w:rPr>
        <w:t xml:space="preserve">Exit Criteria: </w:t>
      </w:r>
      <w:r>
        <w:rPr>
          <w:rFonts w:ascii="Calibri" w:cs="Calibri" w:eastAsia="Calibri" w:hAnsi="Calibri"/>
          <w:color w:val="333333"/>
          <w:sz w:val="22"/>
          <w:szCs w:val="22"/>
        </w:rPr>
        <w:t xml:space="preserve">Every agent action produces an immutable, searchable audit event. You can reconstruct a full agent session from trace IDs.</w:t>
      </w:r>
    </w:p>
    <w:p>
      <w:pPr>
        <w:pStyle w:val="Heading1"/>
        <w:pBdr>
          <w:bottom w:val="single" w:color="2E6DA4" w:sz="6"/>
        </w:pBdr>
        <w:spacing w:before="400" w:after="60"/>
      </w:pPr>
      <w:r>
        <w:rPr>
          <w:rFonts w:ascii="Calibri" w:cs="Calibri" w:eastAsia="Calibri" w:hAnsi="Calibri"/>
          <w:b/>
          <w:bCs/>
          <w:color w:val="1B3A5C"/>
          <w:sz w:val="32"/>
          <w:szCs w:val="32"/>
        </w:rPr>
        <w:t xml:space="preserve">Phase 3: </w:t>
      </w:r>
      <w:r>
        <w:rPr>
          <w:rFonts w:ascii="Calibri" w:cs="Calibri" w:eastAsia="Calibri" w:hAnsi="Calibri"/>
          <w:b/>
          <w:bCs/>
          <w:color w:val="1B3A5C"/>
          <w:sz w:val="32"/>
          <w:szCs w:val="32"/>
        </w:rPr>
        <w:t xml:space="preserve">Access Control Policy Engine</w:t>
      </w:r>
    </w:p>
    <w:p>
      <w:pPr>
        <w:spacing w:after="140"/>
      </w:pPr>
      <w:r>
        <w:rPr>
          <w:rFonts w:ascii="Calibri" w:cs="Calibri" w:eastAsia="Calibri" w:hAnsi="Calibri"/>
          <w:b/>
          <w:bCs/>
          <w:color w:val="2E6DA4"/>
          <w:sz w:val="22"/>
          <w:szCs w:val="22"/>
        </w:rPr>
        <w:t xml:space="preserve">⏱ Weeks 8–13</w:t>
      </w:r>
    </w:p>
    <w:p>
      <w:pPr>
        <w:shd w:color="EBF5FB" w:val="solid"/>
        <w:spacing w:after="120" w:line="276"/>
        <w:ind w:left="215" w:right="215"/>
      </w:pPr>
      <w:r>
        <w:rPr>
          <w:rFonts w:ascii="Calibri" w:cs="Calibri" w:eastAsia="Calibri" w:hAnsi="Calibri"/>
          <w:b/>
          <w:bCs/>
          <w:color w:val="1B3A5C"/>
          <w:sz w:val="22"/>
          <w:szCs w:val="22"/>
        </w:rPr>
        <w:t xml:space="preserve">Why this order: </w:t>
      </w:r>
      <w:r>
        <w:rPr>
          <w:rFonts w:ascii="Calibri" w:cs="Calibri" w:eastAsia="Calibri" w:hAnsi="Calibri"/>
          <w:color w:val="333333"/>
          <w:sz w:val="22"/>
          <w:szCs w:val="22"/>
        </w:rPr>
        <w:t xml:space="preserve">With identity, delegation, and audit in place, you now layer on the fine-grained policy logic — the “brain” that makes real-time allow/deny decisions.</w:t>
      </w:r>
    </w:p>
    <w:p>
      <w:pPr>
        <w:spacing w:after="120"/>
      </w:pPr>
    </w:p>
    <w:p>
      <w:pPr>
        <w:pStyle w:val="Heading2"/>
        <w:spacing w:before="280" w:after="100"/>
      </w:pPr>
      <w:r>
        <w:rPr>
          <w:rFonts w:ascii="Calibri" w:cs="Calibri" w:eastAsia="Calibri" w:hAnsi="Calibri"/>
          <w:b/>
          <w:bCs/>
          <w:color w:val="2E6DA4"/>
          <w:sz w:val="26"/>
          <w:szCs w:val="26"/>
        </w:rPr>
        <w:t xml:space="preserve">Deliverables</w:t>
      </w:r>
    </w:p>
    <w:p>
      <w:pPr>
        <w:pStyle w:val="ListParagraph"/>
        <w:numPr>
          <w:ilvl w:val="0"/>
          <w:numId w:val="5"/>
        </w:numPr>
        <w:spacing w:after="80" w:line="276"/>
      </w:pPr>
      <w:r>
        <w:rPr>
          <w:rFonts w:ascii="Calibri" w:cs="Calibri" w:eastAsia="Calibri" w:hAnsi="Calibri"/>
          <w:b/>
          <w:bCs/>
          <w:color w:val="333333"/>
          <w:sz w:val="22"/>
          <w:szCs w:val="22"/>
        </w:rPr>
        <w:t xml:space="preserve">Policy Engine Selection &amp; Deployment — </w:t>
      </w:r>
      <w:r>
        <w:rPr>
          <w:rFonts w:ascii="Calibri" w:cs="Calibri" w:eastAsia="Calibri" w:hAnsi="Calibri"/>
          <w:color w:val="333333"/>
          <w:sz w:val="22"/>
          <w:szCs w:val="22"/>
        </w:rPr>
        <w:t xml:space="preserve">Stand up a centralized policy engine (OPA/Rego, Cedar, or a custom engine). All enforcement points call this engine for authorization decisions.</w:t>
      </w:r>
    </w:p>
    <w:p>
      <w:pPr>
        <w:pStyle w:val="ListParagraph"/>
        <w:numPr>
          <w:ilvl w:val="0"/>
          <w:numId w:val="5"/>
        </w:numPr>
        <w:spacing w:after="80" w:line="276"/>
      </w:pPr>
      <w:r>
        <w:rPr>
          <w:rFonts w:ascii="Calibri" w:cs="Calibri" w:eastAsia="Calibri" w:hAnsi="Calibri"/>
          <w:b/>
          <w:bCs/>
          <w:color w:val="333333"/>
          <w:sz w:val="22"/>
          <w:szCs w:val="22"/>
        </w:rPr>
        <w:t xml:space="preserve">Action Tiering Model — </w:t>
      </w:r>
      <w:r>
        <w:rPr>
          <w:rFonts w:ascii="Calibri" w:cs="Calibri" w:eastAsia="Calibri" w:hAnsi="Calibri"/>
          <w:color w:val="333333"/>
          <w:sz w:val="22"/>
          <w:szCs w:val="22"/>
        </w:rPr>
        <w:t xml:space="preserve">Implement the 4-tier classification: Tier 0 (read-only, auto-allow), Tier 1 (low-risk writes, allow with logging), Tier 2 (sensitive, require human approval), Tier 3 (privileged, blocked for agents).</w:t>
      </w:r>
    </w:p>
    <w:p>
      <w:pPr>
        <w:pStyle w:val="ListParagraph"/>
        <w:numPr>
          <w:ilvl w:val="0"/>
          <w:numId w:val="5"/>
        </w:numPr>
        <w:spacing w:after="80" w:line="276"/>
      </w:pPr>
      <w:r>
        <w:rPr>
          <w:rFonts w:ascii="Calibri" w:cs="Calibri" w:eastAsia="Calibri" w:hAnsi="Calibri"/>
          <w:b/>
          <w:bCs/>
          <w:color w:val="333333"/>
          <w:sz w:val="22"/>
          <w:szCs w:val="22"/>
        </w:rPr>
        <w:t xml:space="preserve">Resource-Level Policies — </w:t>
      </w:r>
      <w:r>
        <w:rPr>
          <w:rFonts w:ascii="Calibri" w:cs="Calibri" w:eastAsia="Calibri" w:hAnsi="Calibri"/>
          <w:color w:val="333333"/>
          <w:sz w:val="22"/>
          <w:szCs w:val="22"/>
        </w:rPr>
        <w:t xml:space="preserve">Write policies for your initial agent types (e.g., “code assistant agent can read repos but not merge to main,” “email agent can draft but not send to external domains”).</w:t>
      </w:r>
    </w:p>
    <w:p>
      <w:pPr>
        <w:pStyle w:val="ListParagraph"/>
        <w:numPr>
          <w:ilvl w:val="0"/>
          <w:numId w:val="5"/>
        </w:numPr>
        <w:spacing w:after="80" w:line="276"/>
      </w:pPr>
      <w:r>
        <w:rPr>
          <w:rFonts w:ascii="Calibri" w:cs="Calibri" w:eastAsia="Calibri" w:hAnsi="Calibri"/>
          <w:b/>
          <w:bCs/>
          <w:color w:val="333333"/>
          <w:sz w:val="22"/>
          <w:szCs w:val="22"/>
        </w:rPr>
        <w:t xml:space="preserve">Contextual Policy Inputs — </w:t>
      </w:r>
      <w:r>
        <w:rPr>
          <w:rFonts w:ascii="Calibri" w:cs="Calibri" w:eastAsia="Calibri" w:hAnsi="Calibri"/>
          <w:color w:val="333333"/>
          <w:sz w:val="22"/>
          <w:szCs w:val="22"/>
        </w:rPr>
        <w:t xml:space="preserve">Feed context into policy decisions: time of day, user online/offline status, network location, task metadata.</w:t>
      </w:r>
    </w:p>
    <w:p>
      <w:pPr>
        <w:pStyle w:val="ListParagraph"/>
        <w:numPr>
          <w:ilvl w:val="0"/>
          <w:numId w:val="5"/>
        </w:numPr>
        <w:spacing w:after="80" w:line="276"/>
      </w:pPr>
      <w:r>
        <w:rPr>
          <w:rFonts w:ascii="Calibri" w:cs="Calibri" w:eastAsia="Calibri" w:hAnsi="Calibri"/>
          <w:b/>
          <w:bCs/>
          <w:color w:val="333333"/>
          <w:sz w:val="22"/>
          <w:szCs w:val="22"/>
        </w:rPr>
        <w:t xml:space="preserve">Human-in-the-Loop Approval Workflow — </w:t>
      </w:r>
      <w:r>
        <w:rPr>
          <w:rFonts w:ascii="Calibri" w:cs="Calibri" w:eastAsia="Calibri" w:hAnsi="Calibri"/>
          <w:color w:val="333333"/>
          <w:sz w:val="22"/>
          <w:szCs w:val="22"/>
        </w:rPr>
        <w:t xml:space="preserve">Build the Tier 2 approval flow: agent requests action → system pauses → user gets notification → user approves/denies → agent proceeds or aborts.</w:t>
      </w:r>
    </w:p>
    <w:p>
      <w:pPr>
        <w:pStyle w:val="Heading2"/>
        <w:spacing w:before="280" w:after="100"/>
      </w:pPr>
      <w:r>
        <w:rPr>
          <w:rFonts w:ascii="Calibri" w:cs="Calibri" w:eastAsia="Calibri" w:hAnsi="Calibri"/>
          <w:b/>
          <w:bCs/>
          <w:color w:val="2E6DA4"/>
          <w:sz w:val="26"/>
          <w:szCs w:val="26"/>
        </w:rPr>
        <w:t xml:space="preserve">Key Decisions</w:t>
      </w:r>
    </w:p>
    <w:p>
      <w:pPr>
        <w:pStyle w:val="ListParagraph"/>
        <w:numPr>
          <w:ilvl w:val="0"/>
          <w:numId w:val="1"/>
        </w:numPr>
        <w:spacing w:after="60" w:line="276"/>
      </w:pPr>
      <w:r>
        <w:rPr>
          <w:rFonts w:ascii="Calibri" w:cs="Calibri" w:eastAsia="Calibri" w:hAnsi="Calibri"/>
          <w:color w:val="333333"/>
          <w:sz w:val="22"/>
          <w:szCs w:val="22"/>
        </w:rPr>
        <w:t xml:space="preserve">Policy authoring: who writes policies — security team, platform team, or self-service by agent developers?</w:t>
      </w:r>
    </w:p>
    <w:p>
      <w:pPr>
        <w:pStyle w:val="ListParagraph"/>
        <w:numPr>
          <w:ilvl w:val="0"/>
          <w:numId w:val="1"/>
        </w:numPr>
        <w:spacing w:after="60" w:line="276"/>
      </w:pPr>
      <w:r>
        <w:rPr>
          <w:rFonts w:ascii="Calibri" w:cs="Calibri" w:eastAsia="Calibri" w:hAnsi="Calibri"/>
          <w:color w:val="333333"/>
          <w:sz w:val="22"/>
          <w:szCs w:val="22"/>
        </w:rPr>
        <w:t xml:space="preserve">Approval UX: how does the human-in-the-loop notification reach the user (email, Slack, mobile push)?</w:t>
      </w:r>
    </w:p>
    <w:p>
      <w:pPr>
        <w:pStyle w:val="ListParagraph"/>
        <w:numPr>
          <w:ilvl w:val="0"/>
          <w:numId w:val="1"/>
        </w:numPr>
        <w:spacing w:after="60" w:line="276"/>
      </w:pPr>
      <w:r>
        <w:rPr>
          <w:rFonts w:ascii="Calibri" w:cs="Calibri" w:eastAsia="Calibri" w:hAnsi="Calibri"/>
          <w:color w:val="333333"/>
          <w:sz w:val="22"/>
          <w:szCs w:val="22"/>
        </w:rPr>
        <w:t xml:space="preserve">Latency budget: policy evaluation must be fast enough not to degrade agent performance.</w:t>
      </w:r>
    </w:p>
    <w:p>
      <w:pPr>
        <w:pBdr>
          <w:left w:val="single" w:color="27AE60" w:sz="12"/>
        </w:pBdr>
        <w:spacing w:before="100" w:after="120" w:line="276"/>
        <w:ind w:left="360"/>
      </w:pPr>
      <w:r>
        <w:rPr>
          <w:rFonts w:ascii="Calibri" w:cs="Calibri" w:eastAsia="Calibri" w:hAnsi="Calibri"/>
          <w:b/>
          <w:bCs/>
          <w:color w:val="27AE60"/>
          <w:sz w:val="22"/>
          <w:szCs w:val="22"/>
        </w:rPr>
        <w:t xml:space="preserve">Exit Criteria: </w:t>
      </w:r>
      <w:r>
        <w:rPr>
          <w:rFonts w:ascii="Calibri" w:cs="Calibri" w:eastAsia="Calibri" w:hAnsi="Calibri"/>
          <w:color w:val="333333"/>
          <w:sz w:val="22"/>
          <w:szCs w:val="22"/>
        </w:rPr>
        <w:t xml:space="preserve">Agent actions are evaluated against policies in real time. Tier 2 actions correctly pause for human approval. Tier 3 actions are blocked.</w:t>
      </w:r>
    </w:p>
    <w:p>
      <w:pPr>
        <w:pStyle w:val="Heading1"/>
        <w:pBdr>
          <w:bottom w:val="single" w:color="2E6DA4" w:sz="6"/>
        </w:pBdr>
        <w:spacing w:before="400" w:after="60"/>
      </w:pPr>
      <w:r>
        <w:rPr>
          <w:rFonts w:ascii="Calibri" w:cs="Calibri" w:eastAsia="Calibri" w:hAnsi="Calibri"/>
          <w:b/>
          <w:bCs/>
          <w:color w:val="1B3A5C"/>
          <w:sz w:val="32"/>
          <w:szCs w:val="32"/>
        </w:rPr>
        <w:t xml:space="preserve">Phase 4: </w:t>
      </w:r>
      <w:r>
        <w:rPr>
          <w:rFonts w:ascii="Calibri" w:cs="Calibri" w:eastAsia="Calibri" w:hAnsi="Calibri"/>
          <w:b/>
          <w:bCs/>
          <w:color w:val="1B3A5C"/>
          <w:sz w:val="32"/>
          <w:szCs w:val="32"/>
        </w:rPr>
        <w:t xml:space="preserve">Consent &amp; Attestation Framework</w:t>
      </w:r>
    </w:p>
    <w:p>
      <w:pPr>
        <w:spacing w:after="140"/>
      </w:pPr>
      <w:r>
        <w:rPr>
          <w:rFonts w:ascii="Calibri" w:cs="Calibri" w:eastAsia="Calibri" w:hAnsi="Calibri"/>
          <w:b/>
          <w:bCs/>
          <w:color w:val="2E6DA4"/>
          <w:sz w:val="22"/>
          <w:szCs w:val="22"/>
        </w:rPr>
        <w:t xml:space="preserve">⏱ Weeks 11–16</w:t>
      </w:r>
    </w:p>
    <w:p>
      <w:pPr>
        <w:shd w:color="EBF5FB" w:val="solid"/>
        <w:spacing w:after="120" w:line="276"/>
        <w:ind w:left="215" w:right="215"/>
      </w:pPr>
      <w:r>
        <w:rPr>
          <w:rFonts w:ascii="Calibri" w:cs="Calibri" w:eastAsia="Calibri" w:hAnsi="Calibri"/>
          <w:b/>
          <w:bCs/>
          <w:color w:val="1B3A5C"/>
          <w:sz w:val="22"/>
          <w:szCs w:val="22"/>
        </w:rPr>
        <w:t xml:space="preserve">Why this order: </w:t>
      </w:r>
      <w:r>
        <w:rPr>
          <w:rFonts w:ascii="Calibri" w:cs="Calibri" w:eastAsia="Calibri" w:hAnsi="Calibri"/>
          <w:color w:val="333333"/>
          <w:sz w:val="22"/>
          <w:szCs w:val="22"/>
        </w:rPr>
        <w:t xml:space="preserve">With the runtime controls working, you now build the governance layer that ensures access stays appropriate over time.</w:t>
      </w:r>
    </w:p>
    <w:p>
      <w:pPr>
        <w:spacing w:after="120"/>
      </w:pPr>
    </w:p>
    <w:p>
      <w:pPr>
        <w:pStyle w:val="Heading2"/>
        <w:spacing w:before="280" w:after="100"/>
      </w:pPr>
      <w:r>
        <w:rPr>
          <w:rFonts w:ascii="Calibri" w:cs="Calibri" w:eastAsia="Calibri" w:hAnsi="Calibri"/>
          <w:b/>
          <w:bCs/>
          <w:color w:val="2E6DA4"/>
          <w:sz w:val="26"/>
          <w:szCs w:val="26"/>
        </w:rPr>
        <w:t xml:space="preserve">Deliverables</w:t>
      </w:r>
    </w:p>
    <w:p>
      <w:pPr>
        <w:pStyle w:val="ListParagraph"/>
        <w:numPr>
          <w:ilvl w:val="0"/>
          <w:numId w:val="6"/>
        </w:numPr>
        <w:spacing w:after="80" w:line="276"/>
      </w:pPr>
      <w:r>
        <w:rPr>
          <w:rFonts w:ascii="Calibri" w:cs="Calibri" w:eastAsia="Calibri" w:hAnsi="Calibri"/>
          <w:b/>
          <w:bCs/>
          <w:color w:val="333333"/>
          <w:sz w:val="22"/>
          <w:szCs w:val="22"/>
        </w:rPr>
        <w:t xml:space="preserve">Consent Grant Flow — </w:t>
      </w:r>
      <w:r>
        <w:rPr>
          <w:rFonts w:ascii="Calibri" w:cs="Calibri" w:eastAsia="Calibri" w:hAnsi="Calibri"/>
          <w:color w:val="333333"/>
          <w:sz w:val="22"/>
          <w:szCs w:val="22"/>
        </w:rPr>
        <w:t xml:space="preserve">When a user first enables an agent, present a consent screen listing the permissions being granted. Store the grant with timestamp, scope, and user acknowledgment.</w:t>
      </w:r>
    </w:p>
    <w:p>
      <w:pPr>
        <w:pStyle w:val="ListParagraph"/>
        <w:numPr>
          <w:ilvl w:val="0"/>
          <w:numId w:val="6"/>
        </w:numPr>
        <w:spacing w:after="80" w:line="276"/>
      </w:pPr>
      <w:r>
        <w:rPr>
          <w:rFonts w:ascii="Calibri" w:cs="Calibri" w:eastAsia="Calibri" w:hAnsi="Calibri"/>
          <w:b/>
          <w:bCs/>
          <w:color w:val="333333"/>
          <w:sz w:val="22"/>
          <w:szCs w:val="22"/>
        </w:rPr>
        <w:t xml:space="preserve">Access Review Dashboard (User-Facing) — </w:t>
      </w:r>
      <w:r>
        <w:rPr>
          <w:rFonts w:ascii="Calibri" w:cs="Calibri" w:eastAsia="Calibri" w:hAnsi="Calibri"/>
          <w:color w:val="333333"/>
          <w:sz w:val="22"/>
          <w:szCs w:val="22"/>
        </w:rPr>
        <w:t xml:space="preserve">A UI showing: all agents acting on the user’s behalf, permissions each agent holds, last-used timestamps per permission, and a Revoke button for immediate deprovisioning.</w:t>
      </w:r>
    </w:p>
    <w:p>
      <w:pPr>
        <w:pStyle w:val="ListParagraph"/>
        <w:numPr>
          <w:ilvl w:val="0"/>
          <w:numId w:val="6"/>
        </w:numPr>
        <w:spacing w:after="80" w:line="276"/>
      </w:pPr>
      <w:r>
        <w:rPr>
          <w:rFonts w:ascii="Calibri" w:cs="Calibri" w:eastAsia="Calibri" w:hAnsi="Calibri"/>
          <w:b/>
          <w:bCs/>
          <w:color w:val="333333"/>
          <w:sz w:val="22"/>
          <w:szCs w:val="22"/>
        </w:rPr>
        <w:t xml:space="preserve">Periodic Attestation Engine — </w:t>
      </w:r>
      <w:r>
        <w:rPr>
          <w:rFonts w:ascii="Calibri" w:cs="Calibri" w:eastAsia="Calibri" w:hAnsi="Calibri"/>
          <w:color w:val="333333"/>
          <w:sz w:val="22"/>
          <w:szCs w:val="22"/>
        </w:rPr>
        <w:t xml:space="preserve">Automated recertification campaigns (e.g., quarterly). Users receive a task to review each agent’s access and confirm or revoke. Expired / unattested access is auto-suspended.</w:t>
      </w:r>
    </w:p>
    <w:p>
      <w:pPr>
        <w:pStyle w:val="ListParagraph"/>
        <w:numPr>
          <w:ilvl w:val="0"/>
          <w:numId w:val="6"/>
        </w:numPr>
        <w:spacing w:after="80" w:line="276"/>
      </w:pPr>
      <w:r>
        <w:rPr>
          <w:rFonts w:ascii="Calibri" w:cs="Calibri" w:eastAsia="Calibri" w:hAnsi="Calibri"/>
          <w:b/>
          <w:bCs/>
          <w:color w:val="333333"/>
          <w:sz w:val="22"/>
          <w:szCs w:val="22"/>
        </w:rPr>
        <w:t xml:space="preserve">Manager/Admin Attestation — </w:t>
      </w:r>
      <w:r>
        <w:rPr>
          <w:rFonts w:ascii="Calibri" w:cs="Calibri" w:eastAsia="Calibri" w:hAnsi="Calibri"/>
          <w:color w:val="333333"/>
          <w:sz w:val="22"/>
          <w:szCs w:val="22"/>
        </w:rPr>
        <w:t xml:space="preserve">For agents with sensitive scopes, add a second-party review step (the user’s manager or a security delegate).</w:t>
      </w:r>
    </w:p>
    <w:p>
      <w:pPr>
        <w:pStyle w:val="ListParagraph"/>
        <w:numPr>
          <w:ilvl w:val="0"/>
          <w:numId w:val="6"/>
        </w:numPr>
        <w:spacing w:after="80" w:line="276"/>
      </w:pPr>
      <w:r>
        <w:rPr>
          <w:rFonts w:ascii="Calibri" w:cs="Calibri" w:eastAsia="Calibri" w:hAnsi="Calibri"/>
          <w:b/>
          <w:bCs/>
          <w:color w:val="333333"/>
          <w:sz w:val="22"/>
          <w:szCs w:val="22"/>
        </w:rPr>
        <w:t xml:space="preserve">Drift Detection — </w:t>
      </w:r>
      <w:r>
        <w:rPr>
          <w:rFonts w:ascii="Calibri" w:cs="Calibri" w:eastAsia="Calibri" w:hAnsi="Calibri"/>
          <w:color w:val="333333"/>
          <w:sz w:val="22"/>
          <w:szCs w:val="22"/>
        </w:rPr>
        <w:t xml:space="preserve">Continuously compare actual agent permissions against the last-attested baseline. Alert on drift.</w:t>
      </w:r>
    </w:p>
    <w:p>
      <w:pPr>
        <w:pStyle w:val="Heading2"/>
        <w:spacing w:before="280" w:after="100"/>
      </w:pPr>
      <w:r>
        <w:rPr>
          <w:rFonts w:ascii="Calibri" w:cs="Calibri" w:eastAsia="Calibri" w:hAnsi="Calibri"/>
          <w:b/>
          <w:bCs/>
          <w:color w:val="2E6DA4"/>
          <w:sz w:val="26"/>
          <w:szCs w:val="26"/>
        </w:rPr>
        <w:t xml:space="preserve">Key Decisions</w:t>
      </w:r>
    </w:p>
    <w:p>
      <w:pPr>
        <w:pStyle w:val="ListParagraph"/>
        <w:numPr>
          <w:ilvl w:val="0"/>
          <w:numId w:val="1"/>
        </w:numPr>
        <w:spacing w:after="60" w:line="276"/>
      </w:pPr>
      <w:r>
        <w:rPr>
          <w:rFonts w:ascii="Calibri" w:cs="Calibri" w:eastAsia="Calibri" w:hAnsi="Calibri"/>
          <w:color w:val="333333"/>
          <w:sz w:val="22"/>
          <w:szCs w:val="22"/>
        </w:rPr>
        <w:t xml:space="preserve">Attestation cadence: quarterly, monthly, or event-driven (e.g., on role change)?</w:t>
      </w:r>
    </w:p>
    <w:p>
      <w:pPr>
        <w:pStyle w:val="ListParagraph"/>
        <w:numPr>
          <w:ilvl w:val="0"/>
          <w:numId w:val="1"/>
        </w:numPr>
        <w:spacing w:after="60" w:line="276"/>
      </w:pPr>
      <w:r>
        <w:rPr>
          <w:rFonts w:ascii="Calibri" w:cs="Calibri" w:eastAsia="Calibri" w:hAnsi="Calibri"/>
          <w:color w:val="333333"/>
          <w:sz w:val="22"/>
          <w:szCs w:val="22"/>
        </w:rPr>
        <w:t xml:space="preserve">What happens on attestation expiry: suspend immediately or grace period?</w:t>
      </w:r>
    </w:p>
    <w:p>
      <w:pPr>
        <w:pStyle w:val="ListParagraph"/>
        <w:numPr>
          <w:ilvl w:val="0"/>
          <w:numId w:val="1"/>
        </w:numPr>
        <w:spacing w:after="60" w:line="276"/>
      </w:pPr>
      <w:r>
        <w:rPr>
          <w:rFonts w:ascii="Calibri" w:cs="Calibri" w:eastAsia="Calibri" w:hAnsi="Calibri"/>
          <w:color w:val="333333"/>
          <w:sz w:val="22"/>
          <w:szCs w:val="22"/>
        </w:rPr>
        <w:t xml:space="preserve">How to avoid “rubber-stamping” — can you surface usage data to make attestation decisions informed?</w:t>
      </w:r>
    </w:p>
    <w:p>
      <w:pPr>
        <w:pBdr>
          <w:left w:val="single" w:color="27AE60" w:sz="12"/>
        </w:pBdr>
        <w:spacing w:before="100" w:after="120" w:line="276"/>
        <w:ind w:left="360"/>
      </w:pPr>
      <w:r>
        <w:rPr>
          <w:rFonts w:ascii="Calibri" w:cs="Calibri" w:eastAsia="Calibri" w:hAnsi="Calibri"/>
          <w:b/>
          <w:bCs/>
          <w:color w:val="27AE60"/>
          <w:sz w:val="22"/>
          <w:szCs w:val="22"/>
        </w:rPr>
        <w:t xml:space="preserve">Exit Criteria: </w:t>
      </w:r>
      <w:r>
        <w:rPr>
          <w:rFonts w:ascii="Calibri" w:cs="Calibri" w:eastAsia="Calibri" w:hAnsi="Calibri"/>
          <w:color w:val="333333"/>
          <w:sz w:val="22"/>
          <w:szCs w:val="22"/>
        </w:rPr>
        <w:t xml:space="preserve">Users can see and manage their agents’ access. Attestation campaigns run on schedule. Unattested access is auto-suspended.</w:t>
      </w:r>
    </w:p>
    <w:p>
      <w:pPr>
        <w:pStyle w:val="Heading1"/>
        <w:pBdr>
          <w:bottom w:val="single" w:color="2E6DA4" w:sz="6"/>
        </w:pBdr>
        <w:spacing w:before="400" w:after="60"/>
      </w:pPr>
      <w:r>
        <w:rPr>
          <w:rFonts w:ascii="Calibri" w:cs="Calibri" w:eastAsia="Calibri" w:hAnsi="Calibri"/>
          <w:b/>
          <w:bCs/>
          <w:color w:val="1B3A5C"/>
          <w:sz w:val="32"/>
          <w:szCs w:val="32"/>
        </w:rPr>
        <w:t xml:space="preserve">Phase 5: </w:t>
      </w:r>
      <w:r>
        <w:rPr>
          <w:rFonts w:ascii="Calibri" w:cs="Calibri" w:eastAsia="Calibri" w:hAnsi="Calibri"/>
          <w:b/>
          <w:bCs/>
          <w:color w:val="1B3A5C"/>
          <w:sz w:val="32"/>
          <w:szCs w:val="32"/>
        </w:rPr>
        <w:t xml:space="preserve">Lifecycle Management &amp; Automation</w:t>
      </w:r>
    </w:p>
    <w:p>
      <w:pPr>
        <w:spacing w:after="140"/>
      </w:pPr>
      <w:r>
        <w:rPr>
          <w:rFonts w:ascii="Calibri" w:cs="Calibri" w:eastAsia="Calibri" w:hAnsi="Calibri"/>
          <w:b/>
          <w:bCs/>
          <w:color w:val="2E6DA4"/>
          <w:sz w:val="22"/>
          <w:szCs w:val="22"/>
        </w:rPr>
        <w:t xml:space="preserve">⏱ Weeks 14–18 (can partially overlap with Phase 4)</w:t>
      </w:r>
    </w:p>
    <w:p>
      <w:pPr>
        <w:shd w:color="EBF5FB" w:val="solid"/>
        <w:spacing w:after="120" w:line="276"/>
        <w:ind w:left="215" w:right="215"/>
      </w:pPr>
      <w:r>
        <w:rPr>
          <w:rFonts w:ascii="Calibri" w:cs="Calibri" w:eastAsia="Calibri" w:hAnsi="Calibri"/>
          <w:b/>
          <w:bCs/>
          <w:color w:val="1B3A5C"/>
          <w:sz w:val="22"/>
          <w:szCs w:val="22"/>
        </w:rPr>
        <w:t xml:space="preserve">Why this order: </w:t>
      </w:r>
      <w:r>
        <w:rPr>
          <w:rFonts w:ascii="Calibri" w:cs="Calibri" w:eastAsia="Calibri" w:hAnsi="Calibri"/>
          <w:color w:val="333333"/>
          <w:sz w:val="22"/>
          <w:szCs w:val="22"/>
        </w:rPr>
        <w:t xml:space="preserve">Now you automate the operational plumbing so the system sustains itself without manual intervention.</w:t>
      </w:r>
    </w:p>
    <w:p>
      <w:pPr>
        <w:spacing w:after="120"/>
      </w:pPr>
    </w:p>
    <w:p>
      <w:pPr>
        <w:pStyle w:val="Heading2"/>
        <w:spacing w:before="280" w:after="100"/>
      </w:pPr>
      <w:r>
        <w:rPr>
          <w:rFonts w:ascii="Calibri" w:cs="Calibri" w:eastAsia="Calibri" w:hAnsi="Calibri"/>
          <w:b/>
          <w:bCs/>
          <w:color w:val="2E6DA4"/>
          <w:sz w:val="26"/>
          <w:szCs w:val="26"/>
        </w:rPr>
        <w:t xml:space="preserve">Deliverables</w:t>
      </w:r>
    </w:p>
    <w:p>
      <w:pPr>
        <w:pStyle w:val="ListParagraph"/>
        <w:numPr>
          <w:ilvl w:val="0"/>
          <w:numId w:val="7"/>
        </w:numPr>
        <w:spacing w:after="80" w:line="276"/>
      </w:pPr>
      <w:r>
        <w:rPr>
          <w:rFonts w:ascii="Calibri" w:cs="Calibri" w:eastAsia="Calibri" w:hAnsi="Calibri"/>
          <w:b/>
          <w:bCs/>
          <w:color w:val="333333"/>
          <w:sz w:val="22"/>
          <w:szCs w:val="22"/>
        </w:rPr>
        <w:t xml:space="preserve">Automated Provisioning — </w:t>
      </w:r>
      <w:r>
        <w:rPr>
          <w:rFonts w:ascii="Calibri" w:cs="Calibri" w:eastAsia="Calibri" w:hAnsi="Calibri"/>
          <w:color w:val="333333"/>
          <w:sz w:val="22"/>
          <w:szCs w:val="22"/>
        </w:rPr>
        <w:t xml:space="preserve">When a user enables an agent in a product, the identity + delegation + consent grant is created automatically.</w:t>
      </w:r>
    </w:p>
    <w:p>
      <w:pPr>
        <w:pStyle w:val="ListParagraph"/>
        <w:numPr>
          <w:ilvl w:val="0"/>
          <w:numId w:val="7"/>
        </w:numPr>
        <w:spacing w:after="80" w:line="276"/>
      </w:pPr>
      <w:r>
        <w:rPr>
          <w:rFonts w:ascii="Calibri" w:cs="Calibri" w:eastAsia="Calibri" w:hAnsi="Calibri"/>
          <w:b/>
          <w:bCs/>
          <w:color w:val="333333"/>
          <w:sz w:val="22"/>
          <w:szCs w:val="22"/>
        </w:rPr>
        <w:t xml:space="preserve">Cascading Suspension — </w:t>
      </w:r>
      <w:r>
        <w:rPr>
          <w:rFonts w:ascii="Calibri" w:cs="Calibri" w:eastAsia="Calibri" w:hAnsi="Calibri"/>
          <w:color w:val="333333"/>
          <w:sz w:val="22"/>
          <w:szCs w:val="22"/>
        </w:rPr>
        <w:t xml:space="preserve">If a user account is locked/suspended (from HR feed or IdP event), all their agents are immediately suspended. Wire this to your IdP’s event stream (SCIM, CAEP, or webhook).</w:t>
      </w:r>
    </w:p>
    <w:p>
      <w:pPr>
        <w:pStyle w:val="ListParagraph"/>
        <w:numPr>
          <w:ilvl w:val="0"/>
          <w:numId w:val="7"/>
        </w:numPr>
        <w:spacing w:after="80" w:line="276"/>
      </w:pPr>
      <w:r>
        <w:rPr>
          <w:rFonts w:ascii="Calibri" w:cs="Calibri" w:eastAsia="Calibri" w:hAnsi="Calibri"/>
          <w:b/>
          <w:bCs/>
          <w:color w:val="333333"/>
          <w:sz w:val="22"/>
          <w:szCs w:val="22"/>
        </w:rPr>
        <w:t xml:space="preserve">Real-Time Revocation — </w:t>
      </w:r>
      <w:r>
        <w:rPr>
          <w:rFonts w:ascii="Calibri" w:cs="Calibri" w:eastAsia="Calibri" w:hAnsi="Calibri"/>
          <w:color w:val="333333"/>
          <w:sz w:val="22"/>
          <w:szCs w:val="22"/>
        </w:rPr>
        <w:t xml:space="preserve">Ensure enforcement points can handle immediate revocation (token revocation list, introspection endpoint, or CAEP event).</w:t>
      </w:r>
    </w:p>
    <w:p>
      <w:pPr>
        <w:pStyle w:val="ListParagraph"/>
        <w:numPr>
          <w:ilvl w:val="0"/>
          <w:numId w:val="7"/>
        </w:numPr>
        <w:spacing w:after="80" w:line="276"/>
      </w:pPr>
      <w:r>
        <w:rPr>
          <w:rFonts w:ascii="Calibri" w:cs="Calibri" w:eastAsia="Calibri" w:hAnsi="Calibri"/>
          <w:b/>
          <w:bCs/>
          <w:color w:val="333333"/>
          <w:sz w:val="22"/>
          <w:szCs w:val="22"/>
        </w:rPr>
        <w:t xml:space="preserve">Offboarding Cleanup — </w:t>
      </w:r>
      <w:r>
        <w:rPr>
          <w:rFonts w:ascii="Calibri" w:cs="Calibri" w:eastAsia="Calibri" w:hAnsi="Calibri"/>
          <w:color w:val="333333"/>
          <w:sz w:val="22"/>
          <w:szCs w:val="22"/>
        </w:rPr>
        <w:t xml:space="preserve">When a user leaves the organization, automatically deprovision all their agents, scrub cached credentials, and archive audit logs.</w:t>
      </w:r>
    </w:p>
    <w:p>
      <w:pPr>
        <w:pStyle w:val="ListParagraph"/>
        <w:numPr>
          <w:ilvl w:val="0"/>
          <w:numId w:val="7"/>
        </w:numPr>
        <w:spacing w:after="80" w:line="276"/>
      </w:pPr>
      <w:r>
        <w:rPr>
          <w:rFonts w:ascii="Calibri" w:cs="Calibri" w:eastAsia="Calibri" w:hAnsi="Calibri"/>
          <w:b/>
          <w:bCs/>
          <w:color w:val="333333"/>
          <w:sz w:val="22"/>
          <w:szCs w:val="22"/>
        </w:rPr>
        <w:t xml:space="preserve">Role Change Re-Evaluation — </w:t>
      </w:r>
      <w:r>
        <w:rPr>
          <w:rFonts w:ascii="Calibri" w:cs="Calibri" w:eastAsia="Calibri" w:hAnsi="Calibri"/>
          <w:color w:val="333333"/>
          <w:sz w:val="22"/>
          <w:szCs w:val="22"/>
        </w:rPr>
        <w:t xml:space="preserve">When a user’s role/department changes, trigger re-evaluation of all their agent permission boundaries. Auto-downscope or flag for review.</w:t>
      </w:r>
    </w:p>
    <w:p>
      <w:pPr>
        <w:pStyle w:val="Heading2"/>
        <w:spacing w:before="280" w:after="100"/>
      </w:pPr>
      <w:r>
        <w:rPr>
          <w:rFonts w:ascii="Calibri" w:cs="Calibri" w:eastAsia="Calibri" w:hAnsi="Calibri"/>
          <w:b/>
          <w:bCs/>
          <w:color w:val="2E6DA4"/>
          <w:sz w:val="26"/>
          <w:szCs w:val="26"/>
        </w:rPr>
        <w:t xml:space="preserve">Key Decisions</w:t>
      </w:r>
    </w:p>
    <w:p>
      <w:pPr>
        <w:pStyle w:val="ListParagraph"/>
        <w:numPr>
          <w:ilvl w:val="0"/>
          <w:numId w:val="1"/>
        </w:numPr>
        <w:spacing w:after="60" w:line="276"/>
      </w:pPr>
      <w:r>
        <w:rPr>
          <w:rFonts w:ascii="Calibri" w:cs="Calibri" w:eastAsia="Calibri" w:hAnsi="Calibri"/>
          <w:color w:val="333333"/>
          <w:sz w:val="22"/>
          <w:szCs w:val="22"/>
        </w:rPr>
        <w:t xml:space="preserve">Event source: SCIM push, IdP webhooks, HR system integration?</w:t>
      </w:r>
    </w:p>
    <w:p>
      <w:pPr>
        <w:pStyle w:val="ListParagraph"/>
        <w:numPr>
          <w:ilvl w:val="0"/>
          <w:numId w:val="1"/>
        </w:numPr>
        <w:spacing w:after="60" w:line="276"/>
      </w:pPr>
      <w:r>
        <w:rPr>
          <w:rFonts w:ascii="Calibri" w:cs="Calibri" w:eastAsia="Calibri" w:hAnsi="Calibri"/>
          <w:color w:val="333333"/>
          <w:sz w:val="22"/>
          <w:szCs w:val="22"/>
        </w:rPr>
        <w:t xml:space="preserve">How fast must cascading suspension propagate (seconds? minutes?)?</w:t>
      </w:r>
    </w:p>
    <w:p>
      <w:pPr>
        <w:pStyle w:val="ListParagraph"/>
        <w:numPr>
          <w:ilvl w:val="0"/>
          <w:numId w:val="1"/>
        </w:numPr>
        <w:spacing w:after="60" w:line="276"/>
      </w:pPr>
      <w:r>
        <w:rPr>
          <w:rFonts w:ascii="Calibri" w:cs="Calibri" w:eastAsia="Calibri" w:hAnsi="Calibri"/>
          <w:color w:val="333333"/>
          <w:sz w:val="22"/>
          <w:szCs w:val="22"/>
        </w:rPr>
        <w:t xml:space="preserve">Archive vs. delete policy for departed users’ agent data?</w:t>
      </w:r>
    </w:p>
    <w:p>
      <w:pPr>
        <w:pBdr>
          <w:left w:val="single" w:color="27AE60" w:sz="12"/>
        </w:pBdr>
        <w:spacing w:before="100" w:after="120" w:line="276"/>
        <w:ind w:left="360"/>
      </w:pPr>
      <w:r>
        <w:rPr>
          <w:rFonts w:ascii="Calibri" w:cs="Calibri" w:eastAsia="Calibri" w:hAnsi="Calibri"/>
          <w:b/>
          <w:bCs/>
          <w:color w:val="27AE60"/>
          <w:sz w:val="22"/>
          <w:szCs w:val="22"/>
        </w:rPr>
        <w:t xml:space="preserve">Exit Criteria: </w:t>
      </w:r>
      <w:r>
        <w:rPr>
          <w:rFonts w:ascii="Calibri" w:cs="Calibri" w:eastAsia="Calibri" w:hAnsi="Calibri"/>
          <w:color w:val="333333"/>
          <w:sz w:val="22"/>
          <w:szCs w:val="22"/>
        </w:rPr>
        <w:t xml:space="preserve">Agent lifecycle events are fully automated. User offboarding triggers complete agent cleanup. Role changes trigger permission re-evaluation.</w:t>
      </w:r>
    </w:p>
    <w:p>
      <w:pPr>
        <w:pStyle w:val="Heading1"/>
        <w:pBdr>
          <w:bottom w:val="single" w:color="2E6DA4" w:sz="6"/>
        </w:pBdr>
        <w:spacing w:before="400" w:after="60"/>
      </w:pPr>
      <w:r>
        <w:rPr>
          <w:rFonts w:ascii="Calibri" w:cs="Calibri" w:eastAsia="Calibri" w:hAnsi="Calibri"/>
          <w:b/>
          <w:bCs/>
          <w:color w:val="1B3A5C"/>
          <w:sz w:val="32"/>
          <w:szCs w:val="32"/>
        </w:rPr>
        <w:t xml:space="preserve">Phase 6: </w:t>
      </w:r>
      <w:r>
        <w:rPr>
          <w:rFonts w:ascii="Calibri" w:cs="Calibri" w:eastAsia="Calibri" w:hAnsi="Calibri"/>
          <w:b/>
          <w:bCs/>
          <w:color w:val="1B3A5C"/>
          <w:sz w:val="32"/>
          <w:szCs w:val="32"/>
        </w:rPr>
        <w:t xml:space="preserve">Anomaly Detection &amp; Advanced Investigation</w:t>
      </w:r>
    </w:p>
    <w:p>
      <w:pPr>
        <w:spacing w:after="140"/>
      </w:pPr>
      <w:r>
        <w:rPr>
          <w:rFonts w:ascii="Calibri" w:cs="Calibri" w:eastAsia="Calibri" w:hAnsi="Calibri"/>
          <w:b/>
          <w:bCs/>
          <w:color w:val="2E6DA4"/>
          <w:sz w:val="22"/>
          <w:szCs w:val="22"/>
        </w:rPr>
        <w:t xml:space="preserve">⏱ Weeks 16–22</w:t>
      </w:r>
    </w:p>
    <w:p>
      <w:pPr>
        <w:shd w:color="EBF5FB" w:val="solid"/>
        <w:spacing w:after="120" w:line="276"/>
        <w:ind w:left="215" w:right="215"/>
      </w:pPr>
      <w:r>
        <w:rPr>
          <w:rFonts w:ascii="Calibri" w:cs="Calibri" w:eastAsia="Calibri" w:hAnsi="Calibri"/>
          <w:b/>
          <w:bCs/>
          <w:color w:val="1B3A5C"/>
          <w:sz w:val="22"/>
          <w:szCs w:val="22"/>
        </w:rPr>
        <w:t xml:space="preserve">Why this order: </w:t>
      </w:r>
      <w:r>
        <w:rPr>
          <w:rFonts w:ascii="Calibri" w:cs="Calibri" w:eastAsia="Calibri" w:hAnsi="Calibri"/>
          <w:color w:val="333333"/>
          <w:sz w:val="22"/>
          <w:szCs w:val="22"/>
        </w:rPr>
        <w:t xml:space="preserve">This is the capstone — it requires a mature audit trail and enough historical data to establish baselines.</w:t>
      </w:r>
    </w:p>
    <w:p>
      <w:pPr>
        <w:spacing w:after="120"/>
      </w:pPr>
    </w:p>
    <w:p>
      <w:pPr>
        <w:pStyle w:val="Heading2"/>
        <w:spacing w:before="280" w:after="100"/>
      </w:pPr>
      <w:r>
        <w:rPr>
          <w:rFonts w:ascii="Calibri" w:cs="Calibri" w:eastAsia="Calibri" w:hAnsi="Calibri"/>
          <w:b/>
          <w:bCs/>
          <w:color w:val="2E6DA4"/>
          <w:sz w:val="26"/>
          <w:szCs w:val="26"/>
        </w:rPr>
        <w:t xml:space="preserve">Deliverables</w:t>
      </w:r>
    </w:p>
    <w:p>
      <w:pPr>
        <w:pStyle w:val="ListParagraph"/>
        <w:numPr>
          <w:ilvl w:val="0"/>
          <w:numId w:val="8"/>
        </w:numPr>
        <w:spacing w:after="80" w:line="276"/>
      </w:pPr>
      <w:r>
        <w:rPr>
          <w:rFonts w:ascii="Calibri" w:cs="Calibri" w:eastAsia="Calibri" w:hAnsi="Calibri"/>
          <w:b/>
          <w:bCs/>
          <w:color w:val="333333"/>
          <w:sz w:val="22"/>
          <w:szCs w:val="22"/>
        </w:rPr>
        <w:t xml:space="preserve">Behavioral Baselines — </w:t>
      </w:r>
      <w:r>
        <w:rPr>
          <w:rFonts w:ascii="Calibri" w:cs="Calibri" w:eastAsia="Calibri" w:hAnsi="Calibri"/>
          <w:color w:val="333333"/>
          <w:sz w:val="22"/>
          <w:szCs w:val="22"/>
        </w:rPr>
        <w:t xml:space="preserve">Establish per-agent-type and per-user behavioral profiles (typical actions, volumes, time patterns, resource access patterns).</w:t>
      </w:r>
    </w:p>
    <w:p>
      <w:pPr>
        <w:pStyle w:val="ListParagraph"/>
        <w:numPr>
          <w:ilvl w:val="0"/>
          <w:numId w:val="8"/>
        </w:numPr>
        <w:spacing w:after="80" w:line="276"/>
      </w:pPr>
      <w:r>
        <w:rPr>
          <w:rFonts w:ascii="Calibri" w:cs="Calibri" w:eastAsia="Calibri" w:hAnsi="Calibri"/>
          <w:b/>
          <w:bCs/>
          <w:color w:val="333333"/>
          <w:sz w:val="22"/>
          <w:szCs w:val="22"/>
        </w:rPr>
        <w:t xml:space="preserve">Anomaly Detection Rules — </w:t>
      </w:r>
      <w:r>
        <w:rPr>
          <w:rFonts w:ascii="Calibri" w:cs="Calibri" w:eastAsia="Calibri" w:hAnsi="Calibri"/>
          <w:color w:val="333333"/>
          <w:sz w:val="22"/>
          <w:szCs w:val="22"/>
        </w:rPr>
        <w:t xml:space="preserve">Implement detection for: agent accessing resources outside its historical pattern, unusual volume of actions (potential runaway agent), actions outside normal hours, repeated authorization denials (potential probing).</w:t>
      </w:r>
    </w:p>
    <w:p>
      <w:pPr>
        <w:pStyle w:val="ListParagraph"/>
        <w:numPr>
          <w:ilvl w:val="0"/>
          <w:numId w:val="8"/>
        </w:numPr>
        <w:spacing w:after="80" w:line="276"/>
      </w:pPr>
      <w:r>
        <w:rPr>
          <w:rFonts w:ascii="Calibri" w:cs="Calibri" w:eastAsia="Calibri" w:hAnsi="Calibri"/>
          <w:b/>
          <w:bCs/>
          <w:color w:val="333333"/>
          <w:sz w:val="22"/>
          <w:szCs w:val="22"/>
        </w:rPr>
        <w:t xml:space="preserve">Alert &amp; Escalation Pipeline — </w:t>
      </w:r>
      <w:r>
        <w:rPr>
          <w:rFonts w:ascii="Calibri" w:cs="Calibri" w:eastAsia="Calibri" w:hAnsi="Calibri"/>
          <w:color w:val="333333"/>
          <w:sz w:val="22"/>
          <w:szCs w:val="22"/>
        </w:rPr>
        <w:t xml:space="preserve">Route anomaly alerts to the security team with enriched context (the agent’s identity, the user, the suspicious actions, the audit trail).</w:t>
      </w:r>
    </w:p>
    <w:p>
      <w:pPr>
        <w:pStyle w:val="ListParagraph"/>
        <w:numPr>
          <w:ilvl w:val="0"/>
          <w:numId w:val="8"/>
        </w:numPr>
        <w:spacing w:after="80" w:line="276"/>
      </w:pPr>
      <w:r>
        <w:rPr>
          <w:rFonts w:ascii="Calibri" w:cs="Calibri" w:eastAsia="Calibri" w:hAnsi="Calibri"/>
          <w:b/>
          <w:bCs/>
          <w:color w:val="333333"/>
          <w:sz w:val="22"/>
          <w:szCs w:val="22"/>
        </w:rPr>
        <w:t xml:space="preserve">Investigation Toolkit — </w:t>
      </w:r>
      <w:r>
        <w:rPr>
          <w:rFonts w:ascii="Calibri" w:cs="Calibri" w:eastAsia="Calibri" w:hAnsi="Calibri"/>
          <w:color w:val="333333"/>
          <w:sz w:val="22"/>
          <w:szCs w:val="22"/>
        </w:rPr>
        <w:t xml:space="preserve">Build or enhance the forensic interface: full session replay, timeline visualization, comparison against similar agents’ behavior, one-click suspension from the investigation view.</w:t>
      </w:r>
    </w:p>
    <w:p>
      <w:pPr>
        <w:pStyle w:val="ListParagraph"/>
        <w:numPr>
          <w:ilvl w:val="0"/>
          <w:numId w:val="8"/>
        </w:numPr>
        <w:spacing w:after="80" w:line="276"/>
      </w:pPr>
      <w:r>
        <w:rPr>
          <w:rFonts w:ascii="Calibri" w:cs="Calibri" w:eastAsia="Calibri" w:hAnsi="Calibri"/>
          <w:b/>
          <w:bCs/>
          <w:color w:val="333333"/>
          <w:sz w:val="22"/>
          <w:szCs w:val="22"/>
        </w:rPr>
        <w:t xml:space="preserve">Feedback Loop — </w:t>
      </w:r>
      <w:r>
        <w:rPr>
          <w:rFonts w:ascii="Calibri" w:cs="Calibri" w:eastAsia="Calibri" w:hAnsi="Calibri"/>
          <w:color w:val="333333"/>
          <w:sz w:val="22"/>
          <w:szCs w:val="22"/>
        </w:rPr>
        <w:t xml:space="preserve">Investigation outcomes feed back into policy tuning and anomaly model refinement.</w:t>
      </w:r>
    </w:p>
    <w:p>
      <w:pPr>
        <w:pStyle w:val="Heading2"/>
        <w:spacing w:before="280" w:after="100"/>
      </w:pPr>
      <w:r>
        <w:rPr>
          <w:rFonts w:ascii="Calibri" w:cs="Calibri" w:eastAsia="Calibri" w:hAnsi="Calibri"/>
          <w:b/>
          <w:bCs/>
          <w:color w:val="2E6DA4"/>
          <w:sz w:val="26"/>
          <w:szCs w:val="26"/>
        </w:rPr>
        <w:t xml:space="preserve">Key Decisions</w:t>
      </w:r>
    </w:p>
    <w:p>
      <w:pPr>
        <w:pStyle w:val="ListParagraph"/>
        <w:numPr>
          <w:ilvl w:val="0"/>
          <w:numId w:val="1"/>
        </w:numPr>
        <w:spacing w:after="60" w:line="276"/>
      </w:pPr>
      <w:r>
        <w:rPr>
          <w:rFonts w:ascii="Calibri" w:cs="Calibri" w:eastAsia="Calibri" w:hAnsi="Calibri"/>
          <w:color w:val="333333"/>
          <w:sz w:val="22"/>
          <w:szCs w:val="22"/>
        </w:rPr>
        <w:t xml:space="preserve">Rule-based vs. ML-based anomaly detection (start rule-based, graduate to ML)?</w:t>
      </w:r>
    </w:p>
    <w:p>
      <w:pPr>
        <w:pStyle w:val="ListParagraph"/>
        <w:numPr>
          <w:ilvl w:val="0"/>
          <w:numId w:val="1"/>
        </w:numPr>
        <w:spacing w:after="60" w:line="276"/>
      </w:pPr>
      <w:r>
        <w:rPr>
          <w:rFonts w:ascii="Calibri" w:cs="Calibri" w:eastAsia="Calibri" w:hAnsi="Calibri"/>
          <w:color w:val="333333"/>
          <w:sz w:val="22"/>
          <w:szCs w:val="22"/>
        </w:rPr>
        <w:t xml:space="preserve">Alert fatigue mitigation: severity scoring, suppression logic?</w:t>
      </w:r>
    </w:p>
    <w:p>
      <w:pPr>
        <w:pStyle w:val="ListParagraph"/>
        <w:numPr>
          <w:ilvl w:val="0"/>
          <w:numId w:val="1"/>
        </w:numPr>
        <w:spacing w:after="60" w:line="276"/>
      </w:pPr>
      <w:r>
        <w:rPr>
          <w:rFonts w:ascii="Calibri" w:cs="Calibri" w:eastAsia="Calibri" w:hAnsi="Calibri"/>
          <w:color w:val="333333"/>
          <w:sz w:val="22"/>
          <w:szCs w:val="22"/>
        </w:rPr>
        <w:t xml:space="preserve">Integration with existing SOC / SIEM workflows?</w:t>
      </w:r>
    </w:p>
    <w:p>
      <w:pPr>
        <w:pBdr>
          <w:left w:val="single" w:color="27AE60" w:sz="12"/>
        </w:pBdr>
        <w:spacing w:before="100" w:after="120" w:line="276"/>
        <w:ind w:left="360"/>
      </w:pPr>
      <w:r>
        <w:rPr>
          <w:rFonts w:ascii="Calibri" w:cs="Calibri" w:eastAsia="Calibri" w:hAnsi="Calibri"/>
          <w:b/>
          <w:bCs/>
          <w:color w:val="27AE60"/>
          <w:sz w:val="22"/>
          <w:szCs w:val="22"/>
        </w:rPr>
        <w:t xml:space="preserve">Exit Criteria: </w:t>
      </w:r>
      <w:r>
        <w:rPr>
          <w:rFonts w:ascii="Calibri" w:cs="Calibri" w:eastAsia="Calibri" w:hAnsi="Calibri"/>
          <w:color w:val="333333"/>
          <w:sz w:val="22"/>
          <w:szCs w:val="22"/>
        </w:rPr>
        <w:t xml:space="preserve">Anomalous agent behavior triggers alerts. Investigators can reconstruct and analyze full agent sessions. Findings feed policy improvements.</w:t>
      </w:r>
    </w:p>
    <w:p>
      <w:pPr>
        <w:pStyle w:val="Heading1"/>
        <w:pBdr>
          <w:bottom w:val="single" w:color="2E6DA4" w:sz="6"/>
        </w:pBdr>
        <w:spacing w:before="360" w:after="120"/>
      </w:pPr>
      <w:r>
        <w:rPr>
          <w:rFonts w:ascii="Calibri" w:cs="Calibri" w:eastAsia="Calibri" w:hAnsi="Calibri"/>
          <w:b/>
          <w:bCs/>
          <w:color w:val="1B3A5C"/>
          <w:sz w:val="32"/>
          <w:szCs w:val="32"/>
        </w:rPr>
        <w:t xml:space="preserve">Dependency Map</w:t>
      </w:r>
    </w:p>
    <w:p>
      <w:pPr>
        <w:spacing w:after="120" w:line="276"/>
      </w:pPr>
      <w:r>
        <w:rPr>
          <w:rFonts w:ascii="Calibri" w:cs="Calibri" w:eastAsia="Calibri" w:hAnsi="Calibri"/>
          <w:color w:val="333333"/>
          <w:sz w:val="22"/>
          <w:szCs w:val="22"/>
        </w:rPr>
        <w:t xml:space="preserve">The following illustrates the sequencing dependencies between phases:</w:t>
      </w:r>
    </w:p>
    <w:p>
      <w:pPr>
        <w:spacing w:after="120"/>
      </w:pPr>
    </w:p>
    <w:p>
      <w:pPr>
        <w:spacing w:after="40"/>
        <w:ind w:left="431"/>
      </w:pPr>
      <w:r>
        <w:rPr>
          <w:rFonts w:ascii="Consolas" w:cs="Consolas" w:eastAsia="Consolas" w:hAnsi="Consolas"/>
          <w:b/>
          <w:bCs/>
          <w:color w:val="1B3A5C"/>
          <w:sz w:val="21"/>
          <w:szCs w:val="21"/>
        </w:rPr>
        <w:t xml:space="preserve">Phase 0: Agent Identity &amp; Registry</w:t>
      </w:r>
    </w:p>
    <w:p>
      <w:pPr>
        <w:spacing w:after="40"/>
        <w:ind w:left="431"/>
      </w:pPr>
      <w:r>
        <w:rPr>
          <w:rFonts w:ascii="Consolas" w:cs="Consolas" w:eastAsia="Consolas" w:hAnsi="Consolas"/>
          <w:color w:val="2E6DA4"/>
          <w:sz w:val="21"/>
          <w:szCs w:val="21"/>
        </w:rPr>
        <w:t xml:space="preserve">  │</w:t>
      </w:r>
    </w:p>
    <w:p>
      <w:pPr>
        <w:spacing w:after="40"/>
        <w:ind w:left="431"/>
      </w:pPr>
      <w:r>
        <w:rPr>
          <w:rFonts w:ascii="Consolas" w:cs="Consolas" w:eastAsia="Consolas" w:hAnsi="Consolas"/>
          <w:color w:val="333333"/>
          <w:sz w:val="21"/>
          <w:szCs w:val="21"/>
        </w:rPr>
        <w:t xml:space="preserve">  ├─▶ Phase 1: Scoped Delegation &amp; Permission Boundaries</w:t>
      </w:r>
    </w:p>
    <w:p>
      <w:pPr>
        <w:spacing w:after="40"/>
        <w:ind w:left="431"/>
      </w:pPr>
      <w:r>
        <w:rPr>
          <w:rFonts w:ascii="Consolas" w:cs="Consolas" w:eastAsia="Consolas" w:hAnsi="Consolas"/>
          <w:color w:val="2E6DA4"/>
          <w:sz w:val="21"/>
          <w:szCs w:val="21"/>
        </w:rPr>
        <w:t xml:space="preserve">  │</w:t>
      </w:r>
    </w:p>
    <w:p>
      <w:pPr>
        <w:spacing w:after="40"/>
        <w:ind w:left="431"/>
      </w:pPr>
      <w:r>
        <w:rPr>
          <w:rFonts w:ascii="Consolas" w:cs="Consolas" w:eastAsia="Consolas" w:hAnsi="Consolas"/>
          <w:color w:val="333333"/>
          <w:sz w:val="21"/>
          <w:szCs w:val="21"/>
        </w:rPr>
        <w:t xml:space="preserve">  ├─▶ Phase 2: Audit Trail Infrastructure</w:t>
      </w:r>
    </w:p>
    <w:p>
      <w:pPr>
        <w:spacing w:after="40"/>
        <w:ind w:left="431"/>
      </w:pPr>
      <w:r>
        <w:rPr>
          <w:rFonts w:ascii="Consolas" w:cs="Consolas" w:eastAsia="Consolas" w:hAnsi="Consolas"/>
          <w:color w:val="2E6DA4"/>
          <w:sz w:val="21"/>
          <w:szCs w:val="21"/>
        </w:rPr>
        <w:t xml:space="preserve">  │       │</w:t>
      </w:r>
    </w:p>
    <w:p>
      <w:pPr>
        <w:spacing w:after="40"/>
        <w:ind w:left="431"/>
      </w:pPr>
      <w:r>
        <w:rPr>
          <w:rFonts w:ascii="Consolas" w:cs="Consolas" w:eastAsia="Consolas" w:hAnsi="Consolas"/>
          <w:color w:val="333333"/>
          <w:sz w:val="21"/>
          <w:szCs w:val="21"/>
        </w:rPr>
        <w:t xml:space="preserve">  │       ├─▶ Phase 3: Access Control Policy Engine</w:t>
      </w:r>
    </w:p>
    <w:p>
      <w:pPr>
        <w:spacing w:after="40"/>
        <w:ind w:left="431"/>
      </w:pPr>
      <w:r>
        <w:rPr>
          <w:rFonts w:ascii="Consolas" w:cs="Consolas" w:eastAsia="Consolas" w:hAnsi="Consolas"/>
          <w:color w:val="2E6DA4"/>
          <w:sz w:val="21"/>
          <w:szCs w:val="21"/>
        </w:rPr>
        <w:t xml:space="preserve">  │       │       │</w:t>
      </w:r>
    </w:p>
    <w:p>
      <w:pPr>
        <w:spacing w:after="40"/>
        <w:ind w:left="431"/>
      </w:pPr>
      <w:r>
        <w:rPr>
          <w:rFonts w:ascii="Consolas" w:cs="Consolas" w:eastAsia="Consolas" w:hAnsi="Consolas"/>
          <w:color w:val="333333"/>
          <w:sz w:val="21"/>
          <w:szCs w:val="21"/>
        </w:rPr>
        <w:t xml:space="preserve">  │       │       ├─▶ Phase 4: Consent &amp; Attestation</w:t>
      </w:r>
    </w:p>
    <w:p>
      <w:pPr>
        <w:spacing w:after="40"/>
        <w:ind w:left="431"/>
      </w:pPr>
      <w:r>
        <w:rPr>
          <w:rFonts w:ascii="Consolas" w:cs="Consolas" w:eastAsia="Consolas" w:hAnsi="Consolas"/>
          <w:color w:val="2E6DA4"/>
          <w:sz w:val="21"/>
          <w:szCs w:val="21"/>
        </w:rPr>
        <w:t xml:space="preserve">  │       │       │       │</w:t>
      </w:r>
    </w:p>
    <w:p>
      <w:pPr>
        <w:spacing w:after="40"/>
        <w:ind w:left="431"/>
      </w:pPr>
      <w:r>
        <w:rPr>
          <w:rFonts w:ascii="Consolas" w:cs="Consolas" w:eastAsia="Consolas" w:hAnsi="Consolas"/>
          <w:color w:val="333333"/>
          <w:sz w:val="21"/>
          <w:szCs w:val="21"/>
        </w:rPr>
        <w:t xml:space="preserve">  │       │       │       ├─▶ Phase 5: Lifecycle Automation</w:t>
      </w:r>
    </w:p>
    <w:p>
      <w:pPr>
        <w:spacing w:after="40"/>
        <w:ind w:left="431"/>
      </w:pPr>
      <w:r>
        <w:rPr>
          <w:rFonts w:ascii="Consolas" w:cs="Consolas" w:eastAsia="Consolas" w:hAnsi="Consolas"/>
          <w:color w:val="2E6DA4"/>
          <w:sz w:val="21"/>
          <w:szCs w:val="21"/>
        </w:rPr>
        <w:t xml:space="preserve">  │       │       │</w:t>
      </w:r>
    </w:p>
    <w:p>
      <w:pPr>
        <w:spacing w:after="40"/>
        <w:ind w:left="431"/>
      </w:pPr>
      <w:r>
        <w:rPr>
          <w:rFonts w:ascii="Consolas" w:cs="Consolas" w:eastAsia="Consolas" w:hAnsi="Consolas"/>
          <w:color w:val="333333"/>
          <w:sz w:val="21"/>
          <w:szCs w:val="21"/>
        </w:rPr>
        <w:t xml:space="preserve">  │       └─▶ Phase 6: Anomaly Detection (needs audit data maturity)</w:t>
      </w:r>
    </w:p>
    <w:p>
      <w:pPr>
        <w:spacing w:after="120"/>
      </w:pPr>
    </w:p>
    <w:p>
      <w:pPr>
        <w:spacing w:after="120" w:line="276"/>
      </w:pPr>
      <w:r>
        <w:rPr>
          <w:rFonts w:ascii="Calibri" w:cs="Calibri" w:eastAsia="Calibri" w:hAnsi="Calibri"/>
          <w:color w:val="333333"/>
          <w:sz w:val="22"/>
          <w:szCs w:val="22"/>
        </w:rPr>
        <w:t xml:space="preserve">Phases 1 and 2 can overlap (weeks 3–10 run in parallel tracks). Phases 4 and 5 can also partially overlap. Phase 6 should start only after Phase 2 has been in production long enough to accumulate meaningful data.</w:t>
      </w:r>
    </w:p>
    <w:p>
      <w:pPr>
        <w:pStyle w:val="Heading1"/>
        <w:pBdr>
          <w:bottom w:val="single" w:color="2E6DA4" w:sz="6"/>
        </w:pBdr>
        <w:spacing w:before="360" w:after="120"/>
      </w:pPr>
      <w:r>
        <w:rPr>
          <w:rFonts w:ascii="Calibri" w:cs="Calibri" w:eastAsia="Calibri" w:hAnsi="Calibri"/>
          <w:b/>
          <w:bCs/>
          <w:color w:val="1B3A5C"/>
          <w:sz w:val="32"/>
          <w:szCs w:val="32"/>
        </w:rPr>
        <w:t xml:space="preserve">Recommended Team Structure</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color="2E6DA4" w:val="solid"/>
            <w:tcMar>
              <w:top w:type="dxa" w:w="40"/>
              <w:left w:type="dxa" w:w="80"/>
              <w:bottom w:type="dxa" w:w="40"/>
              <w:right w:type="dxa" w:w="80"/>
            </w:tcMar>
          </w:tcPr>
          <w:p>
            <w:pPr>
              <w:spacing w:before="40" w:after="40"/>
            </w:pPr>
            <w:r>
              <w:rPr>
                <w:rFonts w:ascii="Calibri" w:cs="Calibri" w:eastAsia="Calibri" w:hAnsi="Calibri"/>
                <w:b/>
                <w:bCs/>
                <w:color w:val="FFFFFF"/>
                <w:sz w:val="22"/>
                <w:szCs w:val="22"/>
              </w:rPr>
              <w:t xml:space="preserve">Stream</w:t>
            </w:r>
          </w:p>
        </w:tc>
        <w:tc>
          <w:tcPr>
            <w:shd w:color="2E6DA4" w:val="solid"/>
            <w:tcMar>
              <w:top w:type="dxa" w:w="40"/>
              <w:left w:type="dxa" w:w="80"/>
              <w:bottom w:type="dxa" w:w="40"/>
              <w:right w:type="dxa" w:w="80"/>
            </w:tcMar>
          </w:tcPr>
          <w:p>
            <w:pPr>
              <w:spacing w:before="40" w:after="40"/>
            </w:pPr>
            <w:r>
              <w:rPr>
                <w:rFonts w:ascii="Calibri" w:cs="Calibri" w:eastAsia="Calibri" w:hAnsi="Calibri"/>
                <w:b/>
                <w:bCs/>
                <w:color w:val="FFFFFF"/>
                <w:sz w:val="22"/>
                <w:szCs w:val="22"/>
              </w:rPr>
              <w:t xml:space="preserve">Phases</w:t>
            </w:r>
          </w:p>
        </w:tc>
        <w:tc>
          <w:tcPr>
            <w:shd w:color="2E6DA4" w:val="solid"/>
            <w:tcMar>
              <w:top w:type="dxa" w:w="40"/>
              <w:left w:type="dxa" w:w="80"/>
              <w:bottom w:type="dxa" w:w="40"/>
              <w:right w:type="dxa" w:w="80"/>
            </w:tcMar>
          </w:tcPr>
          <w:p>
            <w:pPr>
              <w:spacing w:before="40" w:after="40"/>
            </w:pPr>
            <w:r>
              <w:rPr>
                <w:rFonts w:ascii="Calibri" w:cs="Calibri" w:eastAsia="Calibri" w:hAnsi="Calibri"/>
                <w:b/>
                <w:bCs/>
                <w:color w:val="FFFFFF"/>
                <w:sz w:val="22"/>
                <w:szCs w:val="22"/>
              </w:rPr>
              <w:t xml:space="preserve">Skills Needed</w:t>
            </w:r>
          </w:p>
        </w:tc>
      </w:tr>
      <w:tr>
        <w:tc>
          <w:tcPr>
            <w:tcMar>
              <w:top w:type="dxa" w:w="40"/>
              <w:left w:type="dxa" w:w="80"/>
              <w:bottom w:type="dxa" w:w="40"/>
              <w:right w:type="dxa" w:w="80"/>
            </w:tcMar>
          </w:tcPr>
          <w:p>
            <w:pPr>
              <w:spacing w:before="40" w:after="40"/>
            </w:pPr>
            <w:r>
              <w:rPr>
                <w:rFonts w:ascii="Calibri" w:cs="Calibri" w:eastAsia="Calibri" w:hAnsi="Calibri"/>
                <w:b/>
                <w:bCs/>
                <w:color w:val="333333"/>
                <w:sz w:val="22"/>
                <w:szCs w:val="22"/>
              </w:rPr>
              <w:t xml:space="preserve">Identity &amp; Auth</w:t>
            </w:r>
          </w:p>
        </w:tc>
        <w:tc>
          <w:tcPr>
            <w:tcMar>
              <w:top w:type="dxa" w:w="40"/>
              <w:left w:type="dxa" w:w="80"/>
              <w:bottom w:type="dxa" w:w="40"/>
              <w:right w:type="dxa" w:w="80"/>
            </w:tcMar>
          </w:tcPr>
          <w:p>
            <w:pPr>
              <w:spacing w:before="40" w:after="40"/>
            </w:pPr>
            <w:r>
              <w:rPr>
                <w:rFonts w:ascii="Calibri" w:cs="Calibri" w:eastAsia="Calibri" w:hAnsi="Calibri"/>
                <w:color w:val="333333"/>
                <w:sz w:val="22"/>
                <w:szCs w:val="22"/>
              </w:rPr>
              <w:t xml:space="preserve">0, 1, 5</w:t>
            </w:r>
          </w:p>
        </w:tc>
        <w:tc>
          <w:tcPr>
            <w:tcMar>
              <w:top w:type="dxa" w:w="40"/>
              <w:left w:type="dxa" w:w="80"/>
              <w:bottom w:type="dxa" w:w="40"/>
              <w:right w:type="dxa" w:w="80"/>
            </w:tcMar>
          </w:tcPr>
          <w:p>
            <w:pPr>
              <w:spacing w:before="40" w:after="40"/>
            </w:pPr>
            <w:r>
              <w:rPr>
                <w:rFonts w:ascii="Calibri" w:cs="Calibri" w:eastAsia="Calibri" w:hAnsi="Calibri"/>
                <w:color w:val="333333"/>
                <w:sz w:val="22"/>
                <w:szCs w:val="22"/>
              </w:rPr>
              <w:t xml:space="preserve">IdP engineering, OAuth/OIDC, SCIM</w:t>
            </w:r>
          </w:p>
        </w:tc>
      </w:tr>
      <w:tr>
        <w:tc>
          <w:tcPr>
            <w:shd w:color="F2F8FC" w:val="solid"/>
            <w:tcMar>
              <w:top w:type="dxa" w:w="40"/>
              <w:left w:type="dxa" w:w="80"/>
              <w:bottom w:type="dxa" w:w="40"/>
              <w:right w:type="dxa" w:w="80"/>
            </w:tcMar>
          </w:tcPr>
          <w:p>
            <w:pPr>
              <w:spacing w:before="40" w:after="40"/>
            </w:pPr>
            <w:r>
              <w:rPr>
                <w:rFonts w:ascii="Calibri" w:cs="Calibri" w:eastAsia="Calibri" w:hAnsi="Calibri"/>
                <w:b/>
                <w:bCs/>
                <w:color w:val="333333"/>
                <w:sz w:val="22"/>
                <w:szCs w:val="22"/>
              </w:rPr>
              <w:t xml:space="preserve">Platform / Policy</w:t>
            </w:r>
          </w:p>
        </w:tc>
        <w:tc>
          <w:tcPr>
            <w:shd w:color="F2F8FC" w:val="solid"/>
            <w:tcMar>
              <w:top w:type="dxa" w:w="40"/>
              <w:left w:type="dxa" w:w="80"/>
              <w:bottom w:type="dxa" w:w="40"/>
              <w:right w:type="dxa" w:w="80"/>
            </w:tcMar>
          </w:tcPr>
          <w:p>
            <w:pPr>
              <w:spacing w:before="40" w:after="40"/>
            </w:pPr>
            <w:r>
              <w:rPr>
                <w:rFonts w:ascii="Calibri" w:cs="Calibri" w:eastAsia="Calibri" w:hAnsi="Calibri"/>
                <w:color w:val="333333"/>
                <w:sz w:val="22"/>
                <w:szCs w:val="22"/>
              </w:rPr>
              <w:t xml:space="preserve">3, 4</w:t>
            </w:r>
          </w:p>
        </w:tc>
        <w:tc>
          <w:tcPr>
            <w:shd w:color="F2F8FC" w:val="solid"/>
            <w:tcMar>
              <w:top w:type="dxa" w:w="40"/>
              <w:left w:type="dxa" w:w="80"/>
              <w:bottom w:type="dxa" w:w="40"/>
              <w:right w:type="dxa" w:w="80"/>
            </w:tcMar>
          </w:tcPr>
          <w:p>
            <w:pPr>
              <w:spacing w:before="40" w:after="40"/>
            </w:pPr>
            <w:r>
              <w:rPr>
                <w:rFonts w:ascii="Calibri" w:cs="Calibri" w:eastAsia="Calibri" w:hAnsi="Calibri"/>
                <w:color w:val="333333"/>
                <w:sz w:val="22"/>
                <w:szCs w:val="22"/>
              </w:rPr>
              <w:t xml:space="preserve">Policy-as-code (OPA/Cedar), UX for consent flows</w:t>
            </w:r>
          </w:p>
        </w:tc>
      </w:tr>
      <w:tr>
        <w:tc>
          <w:tcPr>
            <w:tcMar>
              <w:top w:type="dxa" w:w="40"/>
              <w:left w:type="dxa" w:w="80"/>
              <w:bottom w:type="dxa" w:w="40"/>
              <w:right w:type="dxa" w:w="80"/>
            </w:tcMar>
          </w:tcPr>
          <w:p>
            <w:pPr>
              <w:spacing w:before="40" w:after="40"/>
            </w:pPr>
            <w:r>
              <w:rPr>
                <w:rFonts w:ascii="Calibri" w:cs="Calibri" w:eastAsia="Calibri" w:hAnsi="Calibri"/>
                <w:b/>
                <w:bCs/>
                <w:color w:val="333333"/>
                <w:sz w:val="22"/>
                <w:szCs w:val="22"/>
              </w:rPr>
              <w:t xml:space="preserve">Observability &amp; Security</w:t>
            </w:r>
          </w:p>
        </w:tc>
        <w:tc>
          <w:tcPr>
            <w:tcMar>
              <w:top w:type="dxa" w:w="40"/>
              <w:left w:type="dxa" w:w="80"/>
              <w:bottom w:type="dxa" w:w="40"/>
              <w:right w:type="dxa" w:w="80"/>
            </w:tcMar>
          </w:tcPr>
          <w:p>
            <w:pPr>
              <w:spacing w:before="40" w:after="40"/>
            </w:pPr>
            <w:r>
              <w:rPr>
                <w:rFonts w:ascii="Calibri" w:cs="Calibri" w:eastAsia="Calibri" w:hAnsi="Calibri"/>
                <w:color w:val="333333"/>
                <w:sz w:val="22"/>
                <w:szCs w:val="22"/>
              </w:rPr>
              <w:t xml:space="preserve">2, 6</w:t>
            </w:r>
          </w:p>
        </w:tc>
        <w:tc>
          <w:tcPr>
            <w:tcMar>
              <w:top w:type="dxa" w:w="40"/>
              <w:left w:type="dxa" w:w="80"/>
              <w:bottom w:type="dxa" w:w="40"/>
              <w:right w:type="dxa" w:w="80"/>
            </w:tcMar>
          </w:tcPr>
          <w:p>
            <w:pPr>
              <w:spacing w:before="40" w:after="40"/>
            </w:pPr>
            <w:r>
              <w:rPr>
                <w:rFonts w:ascii="Calibri" w:cs="Calibri" w:eastAsia="Calibri" w:hAnsi="Calibri"/>
                <w:color w:val="333333"/>
                <w:sz w:val="22"/>
                <w:szCs w:val="22"/>
              </w:rPr>
              <w:t xml:space="preserve">SIEM/logging infrastructure, detection engineering</w:t>
            </w:r>
          </w:p>
        </w:tc>
      </w:tr>
    </w:tbl>
    <w:p>
      <w:pPr>
        <w:spacing w:after="120"/>
      </w:pPr>
    </w:p>
    <w:p>
      <w:pPr>
        <w:pStyle w:val="Heading1"/>
        <w:pBdr>
          <w:bottom w:val="single" w:color="2E6DA4" w:sz="6"/>
        </w:pBdr>
        <w:spacing w:before="360" w:after="120"/>
      </w:pPr>
      <w:r>
        <w:rPr>
          <w:rFonts w:ascii="Calibri" w:cs="Calibri" w:eastAsia="Calibri" w:hAnsi="Calibri"/>
          <w:b/>
          <w:bCs/>
          <w:color w:val="1B3A5C"/>
          <w:sz w:val="32"/>
          <w:szCs w:val="32"/>
        </w:rPr>
        <w:t xml:space="preserve">Quick Wins to Start Immediately</w:t>
      </w:r>
    </w:p>
    <w:p>
      <w:pPr>
        <w:spacing w:after="120" w:line="276"/>
      </w:pPr>
      <w:r>
        <w:rPr>
          <w:rFonts w:ascii="Calibri" w:cs="Calibri" w:eastAsia="Calibri" w:hAnsi="Calibri"/>
          <w:color w:val="333333"/>
          <w:sz w:val="22"/>
          <w:szCs w:val="22"/>
        </w:rPr>
        <w:t xml:space="preserve">While Phase 0 is being built, the following can be executed in parallel:</w:t>
      </w:r>
    </w:p>
    <w:p>
      <w:pPr>
        <w:spacing w:after="120"/>
      </w:pPr>
    </w:p>
    <w:p>
      <w:pPr>
        <w:pStyle w:val="ListParagraph"/>
        <w:numPr>
          <w:ilvl w:val="0"/>
          <w:numId w:val="1"/>
        </w:numPr>
        <w:spacing w:after="60" w:line="276"/>
      </w:pPr>
      <w:r>
        <w:rPr>
          <w:rFonts w:ascii="Calibri" w:cs="Calibri" w:eastAsia="Calibri" w:hAnsi="Calibri"/>
          <w:b/>
          <w:bCs/>
          <w:color w:val="333333"/>
          <w:sz w:val="22"/>
          <w:szCs w:val="22"/>
        </w:rPr>
        <w:t xml:space="preserve">Inventory existing agents — </w:t>
      </w:r>
      <w:r>
        <w:rPr>
          <w:rFonts w:ascii="Calibri" w:cs="Calibri" w:eastAsia="Calibri" w:hAnsi="Calibri"/>
          <w:color w:val="333333"/>
          <w:sz w:val="22"/>
          <w:szCs w:val="22"/>
        </w:rPr>
        <w:t xml:space="preserve">Catalog every AI agent currently operating in your environment, who deployed them, and what access they have today. This becomes your migration backlog.</w:t>
      </w:r>
    </w:p>
    <w:p>
      <w:pPr>
        <w:pStyle w:val="ListParagraph"/>
        <w:numPr>
          <w:ilvl w:val="0"/>
          <w:numId w:val="1"/>
        </w:numPr>
        <w:spacing w:after="60" w:line="276"/>
      </w:pPr>
      <w:r>
        <w:rPr>
          <w:rFonts w:ascii="Calibri" w:cs="Calibri" w:eastAsia="Calibri" w:hAnsi="Calibri"/>
          <w:b/>
          <w:bCs/>
          <w:color w:val="333333"/>
          <w:sz w:val="22"/>
          <w:szCs w:val="22"/>
        </w:rPr>
        <w:t xml:space="preserve">Draft the action tiering model — </w:t>
      </w:r>
      <w:r>
        <w:rPr>
          <w:rFonts w:ascii="Calibri" w:cs="Calibri" w:eastAsia="Calibri" w:hAnsi="Calibri"/>
          <w:color w:val="333333"/>
          <w:sz w:val="22"/>
          <w:szCs w:val="22"/>
        </w:rPr>
        <w:t xml:space="preserve">Classify your organization’s APIs and operations into the 4 tiers. This is a policy exercise that does not require code.</w:t>
      </w:r>
    </w:p>
    <w:p>
      <w:pPr>
        <w:pStyle w:val="ListParagraph"/>
        <w:numPr>
          <w:ilvl w:val="0"/>
          <w:numId w:val="1"/>
        </w:numPr>
        <w:spacing w:after="60" w:line="276"/>
      </w:pPr>
      <w:r>
        <w:rPr>
          <w:rFonts w:ascii="Calibri" w:cs="Calibri" w:eastAsia="Calibri" w:hAnsi="Calibri"/>
          <w:b/>
          <w:bCs/>
          <w:color w:val="333333"/>
          <w:sz w:val="22"/>
          <w:szCs w:val="22"/>
        </w:rPr>
        <w:t xml:space="preserve">Evaluate policy engines — </w:t>
      </w:r>
      <w:r>
        <w:rPr>
          <w:rFonts w:ascii="Calibri" w:cs="Calibri" w:eastAsia="Calibri" w:hAnsi="Calibri"/>
          <w:color w:val="333333"/>
          <w:sz w:val="22"/>
          <w:szCs w:val="22"/>
        </w:rPr>
        <w:t xml:space="preserve">Run a proof-of-concept with OPA or Cedar against a sample set of agent scenarios.</w:t>
      </w:r>
    </w:p>
    <w:p>
      <w:pPr>
        <w:spacing w:after="120"/>
      </w:pPr>
    </w:p>
    <w:p>
      <w:pPr>
        <w:pStyle w:val="Heading1"/>
        <w:pBdr>
          <w:bottom w:val="single" w:color="2E6DA4" w:sz="6"/>
        </w:pBdr>
        <w:spacing w:before="360" w:after="120"/>
      </w:pPr>
      <w:r>
        <w:rPr>
          <w:rFonts w:ascii="Calibri" w:cs="Calibri" w:eastAsia="Calibri" w:hAnsi="Calibri"/>
          <w:b/>
          <w:bCs/>
          <w:color w:val="1B3A5C"/>
          <w:sz w:val="32"/>
          <w:szCs w:val="32"/>
        </w:rPr>
        <w:t xml:space="preserve">Closing Note</w:t>
      </w:r>
    </w:p>
    <w:p>
      <w:pPr>
        <w:spacing w:after="120" w:line="276"/>
      </w:pPr>
      <w:r>
        <w:rPr>
          <w:rFonts w:ascii="Calibri" w:cs="Calibri" w:eastAsia="Calibri" w:hAnsi="Calibri"/>
          <w:color w:val="333333"/>
          <w:sz w:val="22"/>
          <w:szCs w:val="22"/>
        </w:rPr>
        <w:t xml:space="preserve">This sequencing ensures that at every phase boundary, you have a usable, incrementally safer system — you do not have to wait until Phase 6 to get value. Each phase delivers standalone security improvements while laying the groundwork for the next.</w:t>
      </w:r>
    </w:p>
    <w:p>
      <w:pPr>
        <w:spacing w:after="120" w:line="276"/>
      </w:pPr>
      <w:r>
        <w:rPr>
          <w:rFonts w:ascii="Calibri" w:cs="Calibri" w:eastAsia="Calibri" w:hAnsi="Calibri"/>
          <w:color w:val="333333"/>
          <w:sz w:val="22"/>
          <w:szCs w:val="22"/>
        </w:rPr>
        <w:t xml:space="preserve">The plan provides defense in depth: preventive controls (scoped delegation, permission boundaries), detective controls (audit logs, anomaly detection), and corrective controls (revocation, attestation-driven cleanup).</w:t>
      </w:r>
    </w:p>
    <w:sectPr>
      <w:footerReference w:type="default" r:id="rId6"/>
      <w:pgSz w:w="11906" w:h="16838"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abstractNum w:abstractNumId="6" w15:restartNumberingAfterBreak="0">
    <w:multiLevelType w:val="hybridMultilevel"/>
    <w:lvl w:ilvl="0" w15:tentative="1">
      <w:start w:val="1"/>
      <w:numFmt w:val="decimal"/>
      <w:lvlText w:val="%1."/>
      <w:lvlJc w:val="start"/>
      <w:pPr>
        <w:ind w:left="720" w:hanging="360"/>
      </w:pPr>
    </w:lvl>
  </w:abstractNum>
  <w:abstractNum w:abstractNumId="7" w15:restartNumberingAfterBreak="0">
    <w:multiLevelType w:val="hybridMultilevel"/>
    <w:lvl w:ilvl="0" w15:tentative="1">
      <w:start w:val="1"/>
      <w:numFmt w:val="decimal"/>
      <w:lvlText w:val="%1."/>
      <w:lvlJc w:val="start"/>
      <w:pPr>
        <w:ind w:left="720" w:hanging="360"/>
      </w:pPr>
    </w:lvl>
  </w:abstractNum>
  <w:abstractNum w:abstractNumId="8" w15:restartNumberingAfterBreak="0">
    <w:multiLevelType w:val="hybridMultilevel"/>
    <w:lvl w:ilvl="0" w15:tentative="1">
      <w:start w:val="1"/>
      <w:numFmt w:val="decimal"/>
      <w:lvlText w:val="%1."/>
      <w:lvlJc w:val="start"/>
      <w:pPr>
        <w:ind w:left="720" w:hanging="360"/>
      </w:pPr>
    </w:lvl>
  </w:abstractNum>
  <w:abstractNum w:abstractNumId="9"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2026-02-11T14:43:33.858Z</dcterms:created>
  <dcterms:modified xsi:type="dcterms:W3CDTF">2026-02-11T14:43:33.859Z</dcterms:modified>
</cp:coreProperties>
</file>

<file path=docProps/custom.xml><?xml version="1.0" encoding="utf-8"?>
<Properties xmlns="http://schemas.openxmlformats.org/officeDocument/2006/custom-properties" xmlns:vt="http://schemas.openxmlformats.org/officeDocument/2006/docPropsVTypes"/>
</file>