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437218">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8691178"/>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437218">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437218">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437218">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8691179"/>
      <w:r w:rsidRPr="00113FF7">
        <w:lastRenderedPageBreak/>
        <w:t>LISTA DE TABELAS</w:t>
      </w:r>
      <w:bookmarkEnd w:id="57"/>
      <w:bookmarkEnd w:id="58"/>
      <w:bookmarkEnd w:id="59"/>
      <w:bookmarkEnd w:id="60"/>
      <w:bookmarkEnd w:id="61"/>
      <w:bookmarkEnd w:id="62"/>
      <w:bookmarkEnd w:id="63"/>
      <w:bookmarkEnd w:id="64"/>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437218">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8691180"/>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8691181"/>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0" w:name="_Toc178691182"/>
      <w:r>
        <w:t>ESTUDO DE CASO</w:t>
      </w:r>
      <w:bookmarkEnd w:id="120"/>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21" w:name="_Toc178691183"/>
      <w:r>
        <w:t>OBJETIVO DO TRABALHO</w:t>
      </w:r>
      <w:bookmarkEnd w:id="121"/>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2" w:name="_Toc178691184"/>
      <w:r>
        <w:t>JUSTIFICATIVA</w:t>
      </w:r>
      <w:bookmarkEnd w:id="122"/>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3" w:name="_Toc178691185"/>
      <w:r>
        <w:lastRenderedPageBreak/>
        <w:t>FUNDAMENTAÇÃO TE</w:t>
      </w:r>
      <w:r w:rsidR="00D619D0">
        <w:t>Ó</w:t>
      </w:r>
      <w:r>
        <w:t>RICA</w:t>
      </w:r>
      <w:bookmarkEnd w:id="123"/>
    </w:p>
    <w:p w14:paraId="6ED5E5E1" w14:textId="77777777" w:rsidR="00635BC3" w:rsidRDefault="0096603A" w:rsidP="00635BC3">
      <w:pPr>
        <w:pStyle w:val="Heading2"/>
      </w:pPr>
      <w:bookmarkStart w:id="124" w:name="_Toc178691186"/>
      <w:r>
        <w:t>TESTES DE SOFTWARE</w:t>
      </w:r>
      <w:bookmarkEnd w:id="124"/>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5" w:name="_Toc178691187"/>
      <w:r>
        <w:t>TESTES DE UNIDADE</w:t>
      </w:r>
      <w:bookmarkEnd w:id="125"/>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6" w:name="_Toc178691188"/>
      <w:r>
        <w:t>TESTES DE INTEGRAÇÃO</w:t>
      </w:r>
      <w:bookmarkEnd w:id="126"/>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7" w:name="_Toc178691189"/>
      <w:r>
        <w:t>TESTES AUTOMATIZADOS</w:t>
      </w:r>
      <w:bookmarkEnd w:id="127"/>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8" w:name="_Toc178691190"/>
      <w:r>
        <w:lastRenderedPageBreak/>
        <w:t>LINGUAGEM DE PROGRAMAÇÃO RUBY</w:t>
      </w:r>
      <w:bookmarkEnd w:id="128"/>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9" w:name="_Toc178691191"/>
      <w:r>
        <w:t>PADRÃO ARQUITETURAL MVC</w:t>
      </w:r>
      <w:bookmarkEnd w:id="129"/>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0" w:name="_Toc178691192"/>
      <w:r>
        <w:t>FRAMEWORK DE DESENVOLVIMENTO RAILS</w:t>
      </w:r>
      <w:bookmarkEnd w:id="130"/>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31" w:name="_Toc178691193"/>
      <w:r>
        <w:t xml:space="preserve">DESENVOLVIMENTO </w:t>
      </w:r>
      <w:r w:rsidR="003F2538">
        <w:t xml:space="preserve">PARA DISPOSITIVOS </w:t>
      </w:r>
      <w:r>
        <w:t>M</w:t>
      </w:r>
      <w:r w:rsidR="003F2538">
        <w:t>ÓVEIS</w:t>
      </w:r>
      <w:bookmarkEnd w:id="131"/>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2" w:name="_Toc178691194"/>
      <w:r>
        <w:t>JAVA MICRO EDITION (J2</w:t>
      </w:r>
      <w:r w:rsidR="00851364">
        <w:t>ME</w:t>
      </w:r>
      <w:r>
        <w:t>)</w:t>
      </w:r>
      <w:bookmarkEnd w:id="132"/>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3" w:name="_Toc178691195"/>
      <w:r>
        <w:t>IPHONE</w:t>
      </w:r>
      <w:bookmarkEnd w:id="133"/>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4" w:name="_Toc178691196"/>
      <w:r>
        <w:t>ANDROID</w:t>
      </w:r>
      <w:bookmarkEnd w:id="134"/>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437218" w:rsidP="00934EB7">
      <w:pPr>
        <w:pStyle w:val="FIGURA"/>
      </w:pPr>
      <w:r>
        <w:pict w14:anchorId="4D9CFA84">
          <v:shape id="_x0000_i1026" type="#_x0000_t75" style="width:396.85pt;height:268.3pt">
            <v:imagedata r:id="rId13" o:title="arquiteturaAndroid"/>
          </v:shape>
        </w:pict>
      </w:r>
    </w:p>
    <w:p w14:paraId="671D6BD9" w14:textId="77777777" w:rsidR="006E6492" w:rsidRDefault="006E6492" w:rsidP="00934EB7">
      <w:pPr>
        <w:pStyle w:val="FIGURA"/>
      </w:pPr>
      <w:r>
        <w:t xml:space="preserve">Figura 2.1 - Arquitetura do </w:t>
      </w:r>
      <w:proofErr w:type="spellStart"/>
      <w:r>
        <w:t>Android</w:t>
      </w:r>
      <w:proofErr w:type="spellEnd"/>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35" w:name="_Toc178691197"/>
      <w:r>
        <w:t>METODOLOGIAS DE DESENVOLVIMENTO DE SOFTWARE</w:t>
      </w:r>
      <w:bookmarkEnd w:id="135"/>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6" w:name="_Toc178691198"/>
      <w:r>
        <w:t>CASCATA</w:t>
      </w:r>
      <w:bookmarkEnd w:id="136"/>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7" w:name="_Toc178691199"/>
      <w:r>
        <w:t>RATIONAL UNIFIED PROCESS (</w:t>
      </w:r>
      <w:r w:rsidR="0044615B">
        <w:t>RUP</w:t>
      </w:r>
      <w:r>
        <w:t>)</w:t>
      </w:r>
      <w:bookmarkEnd w:id="137"/>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8" w:name="_Toc178691200"/>
      <w:r>
        <w:lastRenderedPageBreak/>
        <w:t>PROGRAMAÇÃO EXTREMA</w:t>
      </w:r>
      <w:r w:rsidR="0021533E">
        <w:t xml:space="preserve"> (</w:t>
      </w:r>
      <w:r w:rsidR="0044615B">
        <w:t>XP</w:t>
      </w:r>
      <w:r w:rsidR="0021533E">
        <w:t>)</w:t>
      </w:r>
      <w:bookmarkEnd w:id="138"/>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9" w:name="_Toc178691201"/>
      <w:r>
        <w:t>LEAN</w:t>
      </w:r>
      <w:bookmarkEnd w:id="139"/>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0" w:name="_Toc178691202"/>
      <w:r>
        <w:t>TEST DRIVEN DEVELOPMENT (</w:t>
      </w:r>
      <w:r w:rsidR="0044615B">
        <w:t>TDD</w:t>
      </w:r>
      <w:r>
        <w:t>)</w:t>
      </w:r>
      <w:bookmarkEnd w:id="140"/>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437218" w:rsidP="00934EB7">
      <w:pPr>
        <w:pStyle w:val="FIGURA"/>
      </w:pPr>
      <w:r>
        <w:lastRenderedPageBreak/>
        <w:pict w14:anchorId="1A437931">
          <v:shape id="_x0000_i1027" type="#_x0000_t75" style="width:279.45pt;height:211.7pt">
            <v:imagedata r:id="rId14" o:title="cicloTDD"/>
          </v:shape>
        </w:pict>
      </w:r>
    </w:p>
    <w:p w14:paraId="129517EE" w14:textId="77777777" w:rsidR="00417DD6" w:rsidRDefault="00417DD6" w:rsidP="00934EB7">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1" w:name="_Toc178691203"/>
      <w:r>
        <w:lastRenderedPageBreak/>
        <w:t>METODOLOGIA</w:t>
      </w:r>
      <w:bookmarkEnd w:id="141"/>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437218" w:rsidP="007E6AEB">
      <w:r>
        <w:pict w14:anchorId="298CFB1C">
          <v:shape id="_x0000_i1028" type="#_x0000_t75" style="width:390.85pt;height:88.3pt">
            <v:imagedata r:id="rId15" o:title="Diagrama em blocos"/>
          </v:shape>
        </w:pict>
      </w:r>
    </w:p>
    <w:p w14:paraId="7171EBE4" w14:textId="77777777" w:rsidR="00B21714" w:rsidRDefault="00B21714" w:rsidP="00934EB7">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2" w:name="_Toc178691204"/>
      <w:r>
        <w:t>METODOLOGIA UTILIZADA NO DESENVOLVIMENTO</w:t>
      </w:r>
      <w:bookmarkEnd w:id="142"/>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43" w:name="_Toc178691205"/>
      <w:r>
        <w:t>DESENVOLVIMENTO DO SISTEMA WEB</w:t>
      </w:r>
      <w:bookmarkEnd w:id="143"/>
    </w:p>
    <w:p w14:paraId="1FE2A90E" w14:textId="3C2F93AE" w:rsidR="00787242" w:rsidRDefault="007F276A" w:rsidP="00787242">
      <w:r>
        <w:t>O sistema web pode ser dividido nos seguintes casos de uso, segundo a FIGURA 3.2:</w:t>
      </w:r>
    </w:p>
    <w:p w14:paraId="7DE353D0" w14:textId="5A0D8CF4" w:rsidR="00B0545B" w:rsidRDefault="00437218" w:rsidP="00787242">
      <w:r>
        <w:pict w14:anchorId="20760255">
          <v:shape id="_x0000_i1029" type="#_x0000_t75" style="width:378.85pt;height:298.3pt">
            <v:imagedata r:id="rId16" o:title=""/>
          </v:shape>
        </w:pict>
      </w:r>
    </w:p>
    <w:p w14:paraId="4D53A839" w14:textId="08131064" w:rsidR="009A3C4E" w:rsidRDefault="009A3C4E" w:rsidP="00934EB7">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4" w:name="_Toc178691206"/>
      <w:r>
        <w:t>TECNOLOGIAS UTILIZADAS</w:t>
      </w:r>
      <w:bookmarkEnd w:id="144"/>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437218" w:rsidP="00934EB7">
      <w:pPr>
        <w:pStyle w:val="FIGURA"/>
      </w:pPr>
      <w:r>
        <w:lastRenderedPageBreak/>
        <w:pict w14:anchorId="4006B478">
          <v:shape id="_x0000_i1030" type="#_x0000_t75" style="width:396.85pt;height:214.3pt">
            <v:imagedata r:id="rId17" o:title=""/>
          </v:shape>
        </w:pict>
      </w:r>
    </w:p>
    <w:p w14:paraId="7B45DFD0" w14:textId="6EF603C4" w:rsidR="00F37F43" w:rsidRDefault="00F37F43" w:rsidP="00934EB7">
      <w:pPr>
        <w:pStyle w:val="FIGURA"/>
      </w:pPr>
      <w:r>
        <w:t xml:space="preserve">Figura 3.3 – Trecho de um código escrito usando </w:t>
      </w:r>
      <w:proofErr w:type="spellStart"/>
      <w:r>
        <w:t>RSpec</w:t>
      </w:r>
      <w:proofErr w:type="spellEnd"/>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437218" w:rsidP="00934EB7">
      <w:pPr>
        <w:pStyle w:val="FIGURA"/>
      </w:pPr>
      <w:r>
        <w:lastRenderedPageBreak/>
        <w:pict w14:anchorId="34F0043E">
          <v:shape id="_x0000_i1031" type="#_x0000_t75" style="width:453.45pt;height:51.45pt">
            <v:imagedata r:id="rId18" o:title=""/>
          </v:shape>
        </w:pict>
      </w:r>
    </w:p>
    <w:p w14:paraId="19AD98E7" w14:textId="07306201" w:rsidR="00C27A22" w:rsidRDefault="00C27A22" w:rsidP="00934EB7">
      <w:pPr>
        <w:pStyle w:val="FIGURA"/>
      </w:pPr>
      <w:r>
        <w:t xml:space="preserve">Figura 3.4 – Resultado da execução do </w:t>
      </w:r>
      <w:proofErr w:type="spellStart"/>
      <w:r>
        <w:t>Autotest</w:t>
      </w:r>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lastRenderedPageBreak/>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5" w:name="_Toc178691207"/>
      <w:r>
        <w:t>DESENVOLVIMENTO</w:t>
      </w:r>
      <w:bookmarkEnd w:id="145"/>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lastRenderedPageBreak/>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6" w:name="_Toc178691208"/>
      <w:r>
        <w:t>DESENVOLVIMENTO DO SISTEMA MOBILE</w:t>
      </w:r>
      <w:bookmarkEnd w:id="146"/>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437218" w:rsidP="00934EB7">
      <w:pPr>
        <w:pStyle w:val="FIGURA"/>
      </w:pPr>
      <w:r>
        <w:pict w14:anchorId="24878388">
          <v:shape id="_x0000_i1032" type="#_x0000_t75" style="width:337.7pt;height:274.3pt">
            <v:imagedata r:id="rId19" o:title=""/>
          </v:shape>
        </w:pict>
      </w:r>
    </w:p>
    <w:p w14:paraId="0F6B0555" w14:textId="52C4B1D8" w:rsidR="00434428" w:rsidRDefault="00434428" w:rsidP="00934EB7">
      <w:pPr>
        <w:pStyle w:val="FIGURA"/>
      </w:pPr>
      <w:r>
        <w:t>Figura 3.3 – Diagrama de Casos de Uso do Sistema Mobile</w:t>
      </w:r>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78691209"/>
      <w:r>
        <w:t>TECNOLOGIAS UTILIZADAS</w:t>
      </w:r>
      <w:bookmarkEnd w:id="147"/>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5EF27E9B" w:rsidR="009B6585" w:rsidRDefault="00077D01" w:rsidP="009B6585">
      <w:r>
        <w:t xml:space="preserve">Um framework para mapeamento objeto relacional foi utilizado para facilitar a manipulação e persistência dos registros armazenados no banco de dados local do dispositivo móvel, framework chamado </w:t>
      </w:r>
      <w:proofErr w:type="spellStart"/>
      <w:r>
        <w:t>OrmLite</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78691210"/>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lastRenderedPageBreak/>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Pr="00AF5A5C" w:rsidRDefault="002B4F34" w:rsidP="004A7D13">
      <w:pPr>
        <w:numPr>
          <w:ilvl w:val="0"/>
          <w:numId w:val="39"/>
        </w:numPr>
      </w:pPr>
      <w:r>
        <w:t xml:space="preserve"> Verificar se o detalhe de um item é exibido ao usuário.</w:t>
      </w:r>
    </w:p>
    <w:p w14:paraId="1AC4AB7D" w14:textId="69D9E113" w:rsidR="00DE43FE" w:rsidRDefault="005C61B9" w:rsidP="006F3AA5">
      <w:pPr>
        <w:pStyle w:val="Heading1"/>
      </w:pPr>
      <w:bookmarkStart w:id="149" w:name="_Toc178691211"/>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193CC625"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da porcentagem de código coberto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r>
        <w:t>SISTEMA WEB</w:t>
      </w:r>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900F3E" w:rsidP="00934EB7">
      <w:pPr>
        <w:pStyle w:val="FIGURA"/>
      </w:pPr>
      <w:r w:rsidRPr="00900F3E">
        <w:pict w14:anchorId="22D4F1BE">
          <v:shape id="_x0000_i1035" type="#_x0000_t75" style="width:453.45pt;height:255.45pt">
            <v:imagedata r:id="rId20" o:title=""/>
          </v:shape>
        </w:pict>
      </w:r>
    </w:p>
    <w:p w14:paraId="649C64E9" w14:textId="1CA997AB" w:rsidR="00900F3E" w:rsidRDefault="00900F3E" w:rsidP="00934EB7">
      <w:pPr>
        <w:pStyle w:val="FIGURA"/>
      </w:pPr>
      <w:r>
        <w:t>FIGURA 4.1 – Relatório de cobertura do sistema Web</w:t>
      </w:r>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27285F02" w14:textId="52D1988E" w:rsidR="00A935F3" w:rsidRDefault="00A935F3" w:rsidP="00A935F3">
      <w:pPr>
        <w:pStyle w:val="Heading2"/>
      </w:pPr>
      <w:r>
        <w:lastRenderedPageBreak/>
        <w:t>SISTEMA MOBILE</w:t>
      </w:r>
      <w:bookmarkStart w:id="158" w:name="_GoBack"/>
      <w:bookmarkEnd w:id="158"/>
    </w:p>
    <w:p w14:paraId="4895615A" w14:textId="77777777" w:rsidR="000212AA" w:rsidRPr="008F58FD" w:rsidRDefault="000212AA" w:rsidP="000212AA"/>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1"/>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437218" w:rsidP="00A56425">
      <w:pPr>
        <w:jc w:val="center"/>
      </w:pPr>
      <w:bookmarkStart w:id="283" w:name="_Toc144630257"/>
      <w:r>
        <w:pict w14:anchorId="208A1E64">
          <v:shape id="_x0000_i1033" type="#_x0000_t75" style="width:188.55pt;height:102pt">
            <v:imagedata r:id="rId22" o:title=""/>
          </v:shape>
        </w:pict>
      </w:r>
      <w:bookmarkEnd w:id="283"/>
    </w:p>
    <w:p w14:paraId="7D7C3560" w14:textId="77777777" w:rsidR="00F21089" w:rsidRPr="00113FF7" w:rsidRDefault="00171609" w:rsidP="00934EB7">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437218"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3"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934EB7">
      <w:pPr>
        <w:pStyle w:val="FIGURA"/>
      </w:pPr>
      <w:bookmarkStart w:id="293" w:name="_Toc294361525"/>
      <w:r w:rsidRPr="00113FF7">
        <w:t>Figura A.</w:t>
      </w:r>
      <w:r w:rsidR="00FF5E8E">
        <w:t>2</w:t>
      </w:r>
      <w:r w:rsidR="007077D3" w:rsidRPr="00113FF7">
        <w:t xml:space="preserve"> </w:t>
      </w:r>
      <w:r w:rsidR="0041447F" w:rsidRPr="00113FF7">
        <w:t>-</w:t>
      </w:r>
      <w:r w:rsidR="007077D3" w:rsidRPr="00113FF7">
        <w:t xml:space="preserve"> </w:t>
      </w:r>
      <w:r w:rsidRPr="00113FF7">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437218" w:rsidP="00B9425C">
      <w:pPr>
        <w:autoSpaceDE w:val="0"/>
        <w:autoSpaceDN w:val="0"/>
        <w:adjustRightInd w:val="0"/>
        <w:jc w:val="center"/>
        <w:rPr>
          <w:color w:val="000000"/>
        </w:rPr>
      </w:pPr>
      <w:r>
        <w:rPr>
          <w:color w:val="000000"/>
          <w:sz w:val="20"/>
          <w:szCs w:val="20"/>
        </w:rPr>
        <w:pict w14:anchorId="791916FE">
          <v:shape id="_x0000_i1034" type="#_x0000_t75" style="width:196.3pt;height:108.85pt">
            <v:imagedata r:id="rId24" o:title="figura1"/>
          </v:shape>
        </w:pict>
      </w:r>
    </w:p>
    <w:p w14:paraId="5A8D719B" w14:textId="77777777" w:rsidR="00B9425C" w:rsidRPr="00113FF7" w:rsidRDefault="00B9425C" w:rsidP="00934EB7">
      <w:pPr>
        <w:pStyle w:val="FIGURA"/>
      </w:pPr>
      <w:bookmarkStart w:id="294" w:name="_Toc151436952"/>
      <w:bookmarkStart w:id="295" w:name="_Toc167274185"/>
      <w:bookmarkStart w:id="296" w:name="_Toc227052346"/>
      <w:bookmarkStart w:id="297" w:name="_Toc294361526"/>
      <w:bookmarkStart w:id="298" w:name="_Toc144691058"/>
      <w:r w:rsidRPr="00113FF7">
        <w:t>Figura A.</w:t>
      </w:r>
      <w:r w:rsidR="00FF5E8E">
        <w:t>3</w:t>
      </w:r>
      <w:r w:rsidRPr="00113FF7">
        <w:t xml:space="preserve"> - Movimento realocar tarefa</w:t>
      </w:r>
      <w:bookmarkEnd w:id="294"/>
      <w:bookmarkEnd w:id="295"/>
      <w:bookmarkEnd w:id="296"/>
      <w:r w:rsidR="00FF5E8E">
        <w:t>.</w:t>
      </w:r>
      <w:bookmarkEnd w:id="297"/>
      <w:r w:rsidR="00FF5E8E">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proofErr w:type="spellStart"/>
            <w:r w:rsidRPr="00113FF7">
              <w:rPr>
                <w:sz w:val="18"/>
                <w:szCs w:val="18"/>
              </w:rPr>
              <w:t>enero</w:t>
            </w:r>
            <w:proofErr w:type="spell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14:paraId="0CC2A374" w14:textId="77777777" w:rsidR="00E23EA8" w:rsidRPr="00113FF7" w:rsidRDefault="00E23EA8" w:rsidP="00281641">
            <w:pPr>
              <w:rPr>
                <w:sz w:val="18"/>
                <w:szCs w:val="18"/>
              </w:rPr>
            </w:pPr>
            <w:proofErr w:type="spellStart"/>
            <w:r w:rsidRPr="00113FF7">
              <w:rPr>
                <w:sz w:val="18"/>
                <w:szCs w:val="18"/>
              </w:rPr>
              <w:t>febrero</w:t>
            </w:r>
            <w:proofErr w:type="spellEnd"/>
            <w:r w:rsidRPr="00113FF7">
              <w:rPr>
                <w:sz w:val="18"/>
                <w:szCs w:val="18"/>
              </w:rPr>
              <w:t xml:space="preserve"> = </w:t>
            </w:r>
            <w:proofErr w:type="spellStart"/>
            <w:r w:rsidRPr="00113FF7">
              <w:rPr>
                <w:sz w:val="18"/>
                <w:szCs w:val="18"/>
              </w:rPr>
              <w:t>feb</w:t>
            </w:r>
            <w:proofErr w:type="spellEnd"/>
          </w:p>
          <w:p w14:paraId="220560ED"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proofErr w:type="spellStart"/>
            <w:r w:rsidRPr="00113FF7">
              <w:rPr>
                <w:sz w:val="18"/>
                <w:szCs w:val="18"/>
              </w:rPr>
              <w:t>mayo</w:t>
            </w:r>
            <w:proofErr w:type="spell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14:paraId="302611A3" w14:textId="77777777" w:rsidR="00E23EA8" w:rsidRPr="00113FF7" w:rsidRDefault="00E23EA8" w:rsidP="00281641">
            <w:pPr>
              <w:rPr>
                <w:sz w:val="18"/>
                <w:szCs w:val="18"/>
              </w:rPr>
            </w:pPr>
            <w:proofErr w:type="spellStart"/>
            <w:r w:rsidRPr="00113FF7">
              <w:rPr>
                <w:sz w:val="18"/>
                <w:szCs w:val="18"/>
              </w:rPr>
              <w:t>junio</w:t>
            </w:r>
            <w:proofErr w:type="spellEnd"/>
            <w:r w:rsidRPr="00113FF7">
              <w:rPr>
                <w:sz w:val="18"/>
                <w:szCs w:val="18"/>
              </w:rPr>
              <w:t xml:space="preserve"> = jun.</w:t>
            </w:r>
          </w:p>
          <w:p w14:paraId="3F7F6AC3" w14:textId="77777777" w:rsidR="00E23EA8" w:rsidRPr="00113FF7" w:rsidRDefault="00E23EA8" w:rsidP="00281641">
            <w:pPr>
              <w:rPr>
                <w:sz w:val="18"/>
                <w:szCs w:val="18"/>
              </w:rPr>
            </w:pPr>
            <w:proofErr w:type="spellStart"/>
            <w:r w:rsidRPr="00113FF7">
              <w:rPr>
                <w:sz w:val="18"/>
                <w:szCs w:val="18"/>
              </w:rPr>
              <w:t>julio</w:t>
            </w:r>
            <w:proofErr w:type="spellEnd"/>
            <w:r w:rsidRPr="00113FF7">
              <w:rPr>
                <w:sz w:val="18"/>
                <w:szCs w:val="18"/>
              </w:rPr>
              <w:t xml:space="preserve"> = jul. </w:t>
            </w:r>
          </w:p>
          <w:p w14:paraId="162F9ECC" w14:textId="77777777" w:rsidR="00E23EA8" w:rsidRPr="00113FF7" w:rsidRDefault="00E23EA8" w:rsidP="00281641">
            <w:pPr>
              <w:rPr>
                <w:sz w:val="18"/>
                <w:szCs w:val="18"/>
              </w:rPr>
            </w:pPr>
            <w:r w:rsidRPr="00113FF7">
              <w:rPr>
                <w:sz w:val="18"/>
                <w:szCs w:val="18"/>
              </w:rPr>
              <w:t xml:space="preserve">agosto = ago. </w:t>
            </w:r>
            <w:proofErr w:type="spellStart"/>
            <w:r w:rsidRPr="00113FF7">
              <w:rPr>
                <w:sz w:val="18"/>
                <w:szCs w:val="18"/>
              </w:rPr>
              <w:t>septiembre</w:t>
            </w:r>
            <w:proofErr w:type="spellEnd"/>
            <w:r w:rsidRPr="00113FF7">
              <w:rPr>
                <w:sz w:val="18"/>
                <w:szCs w:val="18"/>
              </w:rPr>
              <w:t xml:space="preserve"> = sep.</w:t>
            </w:r>
          </w:p>
          <w:p w14:paraId="3BEBB76D" w14:textId="77777777"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14:paraId="5CE896BB" w14:textId="77777777"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proofErr w:type="spellStart"/>
            <w:r w:rsidRPr="00113FF7">
              <w:rPr>
                <w:sz w:val="18"/>
                <w:szCs w:val="18"/>
              </w:rPr>
              <w:t>gennaio</w:t>
            </w:r>
            <w:proofErr w:type="spellEnd"/>
            <w:r w:rsidRPr="00113FF7">
              <w:rPr>
                <w:sz w:val="18"/>
                <w:szCs w:val="18"/>
              </w:rPr>
              <w:t xml:space="preserve"> = gen.</w:t>
            </w:r>
          </w:p>
          <w:p w14:paraId="42C9AA76" w14:textId="77777777" w:rsidR="00E23EA8" w:rsidRPr="00113FF7" w:rsidRDefault="00E23EA8" w:rsidP="00281641">
            <w:pPr>
              <w:rPr>
                <w:sz w:val="18"/>
                <w:szCs w:val="18"/>
              </w:rPr>
            </w:pPr>
            <w:proofErr w:type="spellStart"/>
            <w:r w:rsidRPr="00113FF7">
              <w:rPr>
                <w:sz w:val="18"/>
                <w:szCs w:val="18"/>
              </w:rPr>
              <w:t>febbraio</w:t>
            </w:r>
            <w:proofErr w:type="spellEnd"/>
            <w:r w:rsidRPr="00113FF7">
              <w:rPr>
                <w:sz w:val="18"/>
                <w:szCs w:val="18"/>
              </w:rPr>
              <w:t xml:space="preserve"> = </w:t>
            </w:r>
            <w:proofErr w:type="spellStart"/>
            <w:r w:rsidRPr="00113FF7">
              <w:rPr>
                <w:sz w:val="18"/>
                <w:szCs w:val="18"/>
              </w:rPr>
              <w:t>feb</w:t>
            </w:r>
            <w:proofErr w:type="spellEnd"/>
            <w:r w:rsidRPr="00113FF7">
              <w:rPr>
                <w:sz w:val="18"/>
                <w:szCs w:val="18"/>
              </w:rPr>
              <w:t>.</w:t>
            </w:r>
          </w:p>
          <w:p w14:paraId="4D9D4217"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24FD424D" w14:textId="77777777" w:rsidR="00E23EA8" w:rsidRPr="00113FF7" w:rsidRDefault="00E23EA8" w:rsidP="00281641">
            <w:pPr>
              <w:rPr>
                <w:sz w:val="18"/>
                <w:szCs w:val="18"/>
              </w:rPr>
            </w:pPr>
            <w:proofErr w:type="spellStart"/>
            <w:r w:rsidRPr="00113FF7">
              <w:rPr>
                <w:sz w:val="18"/>
                <w:szCs w:val="18"/>
              </w:rPr>
              <w:t>aprile</w:t>
            </w:r>
            <w:proofErr w:type="spell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14:paraId="22E54490" w14:textId="77777777" w:rsidR="00E23EA8" w:rsidRPr="00113FF7" w:rsidRDefault="00E23EA8" w:rsidP="00281641">
            <w:pPr>
              <w:rPr>
                <w:sz w:val="18"/>
                <w:szCs w:val="18"/>
              </w:rPr>
            </w:pPr>
            <w:proofErr w:type="spellStart"/>
            <w:r w:rsidRPr="00113FF7">
              <w:rPr>
                <w:sz w:val="18"/>
                <w:szCs w:val="18"/>
              </w:rPr>
              <w:t>maggio</w:t>
            </w:r>
            <w:proofErr w:type="spell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14:paraId="508411D1" w14:textId="77777777" w:rsidR="00E23EA8" w:rsidRPr="00113FF7" w:rsidRDefault="00E23EA8" w:rsidP="00281641">
            <w:pPr>
              <w:rPr>
                <w:sz w:val="18"/>
                <w:szCs w:val="18"/>
              </w:rPr>
            </w:pPr>
            <w:proofErr w:type="spellStart"/>
            <w:r w:rsidRPr="00113FF7">
              <w:rPr>
                <w:sz w:val="18"/>
                <w:szCs w:val="18"/>
              </w:rPr>
              <w:t>luglio</w:t>
            </w:r>
            <w:proofErr w:type="spellEnd"/>
            <w:r w:rsidRPr="00113FF7">
              <w:rPr>
                <w:sz w:val="18"/>
                <w:szCs w:val="18"/>
              </w:rPr>
              <w:t xml:space="preserve"> = lug. </w:t>
            </w:r>
          </w:p>
          <w:p w14:paraId="75AC6008" w14:textId="77777777"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p>
          <w:p w14:paraId="3ACC7BAA" w14:textId="77777777" w:rsidR="00E23EA8" w:rsidRPr="00113FF7" w:rsidRDefault="00E23EA8" w:rsidP="009E32D6">
            <w:pPr>
              <w:autoSpaceDE w:val="0"/>
              <w:autoSpaceDN w:val="0"/>
              <w:adjustRightInd w:val="0"/>
              <w:rPr>
                <w:sz w:val="18"/>
                <w:szCs w:val="18"/>
              </w:rPr>
            </w:pPr>
            <w:proofErr w:type="spellStart"/>
            <w:r w:rsidRPr="00113FF7">
              <w:rPr>
                <w:sz w:val="18"/>
                <w:szCs w:val="18"/>
              </w:rPr>
              <w:t>décembre</w:t>
            </w:r>
            <w:proofErr w:type="spellEnd"/>
            <w:r w:rsidRPr="00113FF7">
              <w:rPr>
                <w:sz w:val="18"/>
                <w:szCs w:val="18"/>
              </w:rPr>
              <w:t xml:space="preserve"> = </w:t>
            </w:r>
            <w:proofErr w:type="spellStart"/>
            <w:r w:rsidRPr="00113FF7">
              <w:rPr>
                <w:sz w:val="18"/>
                <w:szCs w:val="18"/>
              </w:rPr>
              <w:t>déc</w:t>
            </w:r>
            <w:proofErr w:type="spellEnd"/>
            <w:r w:rsidRPr="00113FF7">
              <w:rPr>
                <w:sz w:val="18"/>
                <w:szCs w:val="18"/>
              </w:rPr>
              <w:t>.</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AA069A" w:rsidRDefault="00AA069A">
      <w:r>
        <w:separator/>
      </w:r>
    </w:p>
    <w:p w14:paraId="3F92459F" w14:textId="77777777" w:rsidR="00AA069A" w:rsidRDefault="00AA069A"/>
    <w:p w14:paraId="6985C079" w14:textId="77777777" w:rsidR="00AA069A" w:rsidRDefault="00AA069A"/>
    <w:p w14:paraId="4B35C862" w14:textId="77777777" w:rsidR="00AA069A" w:rsidRDefault="00AA069A"/>
    <w:p w14:paraId="69553D0D" w14:textId="77777777" w:rsidR="00AA069A" w:rsidRDefault="00AA069A"/>
    <w:p w14:paraId="061419AE" w14:textId="77777777" w:rsidR="00AA069A" w:rsidRDefault="00AA069A"/>
    <w:p w14:paraId="4C29E8A6" w14:textId="77777777" w:rsidR="00AA069A" w:rsidRDefault="00AA069A"/>
    <w:p w14:paraId="7ECF0A3C" w14:textId="77777777" w:rsidR="00AA069A" w:rsidRDefault="00AA069A"/>
    <w:p w14:paraId="67C88925" w14:textId="77777777" w:rsidR="00AA069A" w:rsidRDefault="00AA069A"/>
    <w:p w14:paraId="13423945" w14:textId="77777777" w:rsidR="00AA069A" w:rsidRDefault="00AA069A"/>
    <w:p w14:paraId="6E9BC3F6" w14:textId="77777777" w:rsidR="00AA069A" w:rsidRDefault="00AA069A"/>
    <w:p w14:paraId="68B9A189" w14:textId="77777777" w:rsidR="00AA069A" w:rsidRDefault="00AA069A"/>
  </w:endnote>
  <w:endnote w:type="continuationSeparator" w:id="0">
    <w:p w14:paraId="5306ED26" w14:textId="77777777" w:rsidR="00AA069A" w:rsidRDefault="00AA069A">
      <w:r>
        <w:continuationSeparator/>
      </w:r>
    </w:p>
    <w:p w14:paraId="4BC4A8D7" w14:textId="77777777" w:rsidR="00AA069A" w:rsidRDefault="00AA069A"/>
    <w:p w14:paraId="528E185F" w14:textId="77777777" w:rsidR="00AA069A" w:rsidRDefault="00AA069A"/>
    <w:p w14:paraId="3049CD4E" w14:textId="77777777" w:rsidR="00AA069A" w:rsidRDefault="00AA069A"/>
    <w:p w14:paraId="1A55E62E" w14:textId="77777777" w:rsidR="00AA069A" w:rsidRDefault="00AA069A"/>
    <w:p w14:paraId="6C6C3911" w14:textId="77777777" w:rsidR="00AA069A" w:rsidRDefault="00AA069A"/>
    <w:p w14:paraId="0ED63086" w14:textId="77777777" w:rsidR="00AA069A" w:rsidRDefault="00AA069A"/>
    <w:p w14:paraId="4A103528" w14:textId="77777777" w:rsidR="00AA069A" w:rsidRDefault="00AA069A"/>
    <w:p w14:paraId="6AD42D60" w14:textId="77777777" w:rsidR="00AA069A" w:rsidRDefault="00AA069A"/>
    <w:p w14:paraId="68DDA0A7" w14:textId="77777777" w:rsidR="00AA069A" w:rsidRDefault="00AA069A"/>
    <w:p w14:paraId="19690C59" w14:textId="77777777" w:rsidR="00AA069A" w:rsidRDefault="00AA069A"/>
    <w:p w14:paraId="6E0B7876" w14:textId="77777777" w:rsidR="00AA069A" w:rsidRDefault="00AA06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AA069A" w:rsidRDefault="00AA069A"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AA069A" w:rsidRDefault="00AA069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AA069A" w:rsidRDefault="00AA069A" w:rsidP="002139FD">
    <w:pPr>
      <w:pStyle w:val="Footer"/>
      <w:framePr w:wrap="around" w:vAnchor="text" w:hAnchor="page" w:x="5881" w:y="55"/>
      <w:jc w:val="center"/>
      <w:rPr>
        <w:rStyle w:val="PageNumber"/>
      </w:rPr>
    </w:pPr>
  </w:p>
  <w:p w14:paraId="4402E74A" w14:textId="77777777" w:rsidR="00AA069A" w:rsidRPr="00A11DEE" w:rsidRDefault="00AA069A"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AA069A" w:rsidRPr="00D412F2" w:rsidRDefault="00AA069A"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A935F3">
      <w:rPr>
        <w:rStyle w:val="PageNumber"/>
        <w:noProof/>
      </w:rPr>
      <w:t>42</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AA069A" w:rsidRDefault="00AA069A"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34EB7">
      <w:rPr>
        <w:rStyle w:val="PageNumber"/>
        <w:noProof/>
      </w:rPr>
      <w:t>50</w:t>
    </w:r>
    <w:r>
      <w:rPr>
        <w:rStyle w:val="PageNumber"/>
      </w:rPr>
      <w:fldChar w:fldCharType="end"/>
    </w:r>
  </w:p>
  <w:p w14:paraId="5CF2CFFD" w14:textId="77777777" w:rsidR="00AA069A" w:rsidRPr="00743538" w:rsidRDefault="00AA069A"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AA069A" w:rsidRDefault="00AA069A">
      <w:r>
        <w:separator/>
      </w:r>
    </w:p>
    <w:p w14:paraId="14CE3224" w14:textId="77777777" w:rsidR="00AA069A" w:rsidRDefault="00AA069A"/>
  </w:footnote>
  <w:footnote w:type="continuationSeparator" w:id="0">
    <w:p w14:paraId="7E703AA0" w14:textId="77777777" w:rsidR="00AA069A" w:rsidRDefault="00AA069A">
      <w:r>
        <w:continuationSeparator/>
      </w:r>
    </w:p>
    <w:p w14:paraId="32861099" w14:textId="77777777" w:rsidR="00AA069A" w:rsidRDefault="00AA069A"/>
    <w:p w14:paraId="5C379CD1" w14:textId="77777777" w:rsidR="00AA069A" w:rsidRDefault="00AA069A"/>
    <w:p w14:paraId="5C87D298" w14:textId="77777777" w:rsidR="00AA069A" w:rsidRDefault="00AA069A"/>
    <w:p w14:paraId="61A6F4CC" w14:textId="77777777" w:rsidR="00AA069A" w:rsidRDefault="00AA069A"/>
    <w:p w14:paraId="5D0A1F4F" w14:textId="77777777" w:rsidR="00AA069A" w:rsidRDefault="00AA069A"/>
    <w:p w14:paraId="685FF46F" w14:textId="77777777" w:rsidR="00AA069A" w:rsidRDefault="00AA069A"/>
    <w:p w14:paraId="44314541" w14:textId="77777777" w:rsidR="00AA069A" w:rsidRDefault="00AA069A"/>
    <w:p w14:paraId="313A9CEA" w14:textId="77777777" w:rsidR="00AA069A" w:rsidRDefault="00AA069A"/>
    <w:p w14:paraId="30A28FBB" w14:textId="77777777" w:rsidR="00AA069A" w:rsidRDefault="00AA069A"/>
    <w:p w14:paraId="6770C0CA" w14:textId="77777777" w:rsidR="00AA069A" w:rsidRDefault="00AA069A"/>
    <w:p w14:paraId="6BA0E6A3" w14:textId="77777777" w:rsidR="00AA069A" w:rsidRDefault="00AA069A"/>
  </w:footnote>
  <w:footnote w:type="continuationNotice" w:id="1">
    <w:p w14:paraId="69B2D8E0" w14:textId="77777777" w:rsidR="00AA069A" w:rsidRDefault="00AA069A"/>
    <w:p w14:paraId="0D3703A9" w14:textId="77777777" w:rsidR="00AA069A" w:rsidRDefault="00AA069A"/>
    <w:p w14:paraId="12942EA8" w14:textId="77777777" w:rsidR="00AA069A" w:rsidRDefault="00AA069A"/>
    <w:p w14:paraId="59CEA8B7" w14:textId="77777777" w:rsidR="00AA069A" w:rsidRDefault="00AA069A"/>
    <w:p w14:paraId="682B4B78" w14:textId="77777777" w:rsidR="00AA069A" w:rsidRDefault="00AA069A"/>
    <w:p w14:paraId="5FFB3660" w14:textId="77777777" w:rsidR="00AA069A" w:rsidRDefault="00AA069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AA069A" w:rsidRDefault="00AA06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6">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6"/>
  </w:num>
  <w:num w:numId="2">
    <w:abstractNumId w:val="7"/>
  </w:num>
  <w:num w:numId="3">
    <w:abstractNumId w:val="35"/>
  </w:num>
  <w:num w:numId="4">
    <w:abstractNumId w:val="21"/>
  </w:num>
  <w:num w:numId="5">
    <w:abstractNumId w:val="36"/>
  </w:num>
  <w:num w:numId="6">
    <w:abstractNumId w:val="31"/>
  </w:num>
  <w:num w:numId="7">
    <w:abstractNumId w:val="5"/>
  </w:num>
  <w:num w:numId="8">
    <w:abstractNumId w:val="6"/>
  </w:num>
  <w:num w:numId="9">
    <w:abstractNumId w:val="20"/>
  </w:num>
  <w:num w:numId="10">
    <w:abstractNumId w:val="32"/>
  </w:num>
  <w:num w:numId="11">
    <w:abstractNumId w:val="37"/>
  </w:num>
  <w:num w:numId="12">
    <w:abstractNumId w:val="11"/>
  </w:num>
  <w:num w:numId="13">
    <w:abstractNumId w:val="33"/>
  </w:num>
  <w:num w:numId="14">
    <w:abstractNumId w:val="24"/>
  </w:num>
  <w:num w:numId="15">
    <w:abstractNumId w:val="34"/>
  </w:num>
  <w:num w:numId="16">
    <w:abstractNumId w:val="23"/>
  </w:num>
  <w:num w:numId="17">
    <w:abstractNumId w:val="8"/>
  </w:num>
  <w:num w:numId="18">
    <w:abstractNumId w:val="0"/>
  </w:num>
  <w:num w:numId="19">
    <w:abstractNumId w:val="2"/>
  </w:num>
  <w:num w:numId="20">
    <w:abstractNumId w:val="13"/>
  </w:num>
  <w:num w:numId="21">
    <w:abstractNumId w:val="19"/>
  </w:num>
  <w:num w:numId="22">
    <w:abstractNumId w:val="10"/>
  </w:num>
  <w:num w:numId="23">
    <w:abstractNumId w:val="25"/>
  </w:num>
  <w:num w:numId="24">
    <w:abstractNumId w:val="38"/>
  </w:num>
  <w:num w:numId="25">
    <w:abstractNumId w:val="15"/>
  </w:num>
  <w:num w:numId="26">
    <w:abstractNumId w:val="12"/>
  </w:num>
  <w:num w:numId="27">
    <w:abstractNumId w:val="29"/>
  </w:num>
  <w:num w:numId="28">
    <w:abstractNumId w:val="27"/>
  </w:num>
  <w:num w:numId="29">
    <w:abstractNumId w:val="18"/>
  </w:num>
  <w:num w:numId="30">
    <w:abstractNumId w:val="1"/>
  </w:num>
  <w:num w:numId="31">
    <w:abstractNumId w:val="17"/>
  </w:num>
  <w:num w:numId="32">
    <w:abstractNumId w:val="14"/>
  </w:num>
  <w:num w:numId="33">
    <w:abstractNumId w:val="22"/>
  </w:num>
  <w:num w:numId="34">
    <w:abstractNumId w:val="4"/>
  </w:num>
  <w:num w:numId="35">
    <w:abstractNumId w:val="3"/>
  </w:num>
  <w:num w:numId="36">
    <w:abstractNumId w:val="26"/>
  </w:num>
  <w:num w:numId="37">
    <w:abstractNumId w:val="9"/>
  </w:num>
  <w:num w:numId="38">
    <w:abstractNumId w:val="28"/>
  </w:num>
  <w:num w:numId="39">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7AA"/>
    <w:rsid w:val="00237C2D"/>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16A"/>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2419"/>
    <w:rsid w:val="00F4393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footer" Target="footer3.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1.xml"/><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A9368007-B93B-714C-9CE3-4306E38D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1186</TotalTime>
  <Pages>50</Pages>
  <Words>9425</Words>
  <Characters>53723</Characters>
  <Application>Microsoft Macintosh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63022</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757</cp:revision>
  <cp:lastPrinted>2011-08-13T22:54:00Z</cp:lastPrinted>
  <dcterms:created xsi:type="dcterms:W3CDTF">2011-05-28T18:35:00Z</dcterms:created>
  <dcterms:modified xsi:type="dcterms:W3CDTF">2011-10-19T00:34:00Z</dcterms:modified>
</cp:coreProperties>
</file>