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20" w:after="60"/>
      </w:pPr>
      <w:r>
        <w:rPr>
          <w:rFonts w:ascii="Aptos Display" w:hAnsi="Aptos Display"/>
          <w:b/>
          <w:i w:val="0"/>
          <w:color w:val="17324D"/>
          <w:sz w:val="50"/>
        </w:rPr>
        <w:t>MCP and Code Mode Project Guide</w:t>
      </w:r>
    </w:p>
    <w:p>
      <w:pPr>
        <w:spacing w:after="240"/>
      </w:pPr>
      <w:r>
        <w:rPr>
          <w:rFonts w:ascii="Aptos" w:hAnsi="Aptos"/>
          <w:b w:val="0"/>
          <w:i w:val="0"/>
          <w:color w:val="64748B"/>
          <w:sz w:val="24"/>
        </w:rPr>
        <w:t>Architecture, setup, execution, and result interpretation</w:t>
      </w:r>
    </w:p>
    <w:tbl>
      <w:tblPr>
        <w:tblW w:type="auto" w:w="0"/>
        <w:jc w:val="center"/>
        <w:tblLook w:firstColumn="1" w:firstRow="1" w:lastColumn="0" w:lastRow="0" w:noHBand="0" w:noVBand="1" w:val="04A0"/>
        <w:tblBorders>
          <w:top w:val="single" w:sz="0" w:space="0" w:color="EEF6FC"/>
          <w:left w:val="single" w:sz="0" w:space="0" w:color="EEF6FC"/>
          <w:bottom w:val="single" w:sz="0" w:space="0" w:color="EEF6FC"/>
          <w:right w:val="single" w:sz="0" w:space="0" w:color="EEF6FC"/>
          <w:insideH w:val="single" w:sz="0" w:space="0" w:color="EEF6FC"/>
          <w:insideV w:val="single" w:sz="0" w:space="0" w:color="EEF6FC"/>
        </w:tblBorders>
      </w:tblPr>
      <w:tblGrid>
        <w:gridCol w:w="9835"/>
      </w:tblGrid>
      <w:tr>
        <w:trPr>
          <w:cantSplit/>
        </w:trPr>
        <w:tc>
          <w:tcPr>
            <w:tcW w:type="dxa" w:w="9835"/>
            <w:shd w:fill="EEF6FC"/>
            <w:tcMar>
              <w:top w:w="130" w:type="dxa"/>
              <w:start w:w="170" w:type="dxa"/>
              <w:bottom w:w="130" w:type="dxa"/>
              <w:end w:w="170" w:type="dxa"/>
            </w:tcMar>
          </w:tcPr>
          <w:p>
            <w:pPr>
              <w:spacing w:after="0"/>
            </w:pPr>
            <w:r>
              <w:rPr>
                <w:rFonts w:ascii="Aptos" w:hAnsi="Aptos"/>
                <w:b/>
                <w:i w:val="0"/>
                <w:color w:val="2878C8"/>
                <w:sz w:val="19"/>
              </w:rPr>
              <w:t xml:space="preserve">Purpose  </w:t>
            </w:r>
            <w:r>
              <w:rPr>
                <w:rFonts w:ascii="Aptos" w:hAnsi="Aptos"/>
                <w:b w:val="0"/>
                <w:i w:val="0"/>
                <w:color w:val="263746"/>
                <w:sz w:val="18"/>
              </w:rPr>
              <w:t>This guide explains how traditional MCP tool calling compares with Code Mode, how the local support-ticket demo implements both paths, and how to set up and interpret a run.</w:t>
            </w:r>
          </w:p>
        </w:tc>
      </w:tr>
    </w:tbl>
    <w:p>
      <w:pPr>
        <w:spacing w:after="20"/>
      </w:pPr>
    </w:p>
    <w:tbl>
      <w:tblPr>
        <w:tblW w:type="auto" w:w="0"/>
        <w:jc w:val="center"/>
        <w:tblLook w:firstColumn="1" w:firstRow="1" w:lastColumn="0" w:lastRow="0" w:noHBand="0" w:noVBand="1" w:val="04A0"/>
        <w:tblBorders>
          <w:top w:val="single" w:sz="0" w:space="0" w:color="FFF5E3"/>
          <w:left w:val="single" w:sz="0" w:space="0" w:color="FFF5E3"/>
          <w:bottom w:val="single" w:sz="0" w:space="0" w:color="FFF5E3"/>
          <w:right w:val="single" w:sz="0" w:space="0" w:color="FFF5E3"/>
          <w:insideH w:val="single" w:sz="0" w:space="0" w:color="FFF5E3"/>
          <w:insideV w:val="single" w:sz="0" w:space="0" w:color="FFF5E3"/>
        </w:tblBorders>
      </w:tblPr>
      <w:tblGrid>
        <w:gridCol w:w="9835"/>
      </w:tblGrid>
      <w:tr>
        <w:trPr>
          <w:cantSplit/>
        </w:trPr>
        <w:tc>
          <w:tcPr>
            <w:tcW w:type="dxa" w:w="9835"/>
            <w:shd w:fill="FFF5E3"/>
            <w:tcMar>
              <w:top w:w="130" w:type="dxa"/>
              <w:start w:w="170" w:type="dxa"/>
              <w:bottom w:w="130" w:type="dxa"/>
              <w:end w:w="170" w:type="dxa"/>
            </w:tcMar>
          </w:tcPr>
          <w:p>
            <w:pPr>
              <w:spacing w:after="0"/>
            </w:pPr>
            <w:r>
              <w:rPr>
                <w:rFonts w:ascii="Aptos" w:hAnsi="Aptos"/>
                <w:b/>
                <w:i w:val="0"/>
                <w:color w:val="A46B00"/>
                <w:sz w:val="19"/>
              </w:rPr>
              <w:t xml:space="preserve">Key distinction  </w:t>
            </w:r>
            <w:r>
              <w:rPr>
                <w:rFonts w:ascii="Aptos" w:hAnsi="Aptos"/>
                <w:b w:val="0"/>
                <w:i w:val="0"/>
                <w:color w:val="263746"/>
                <w:sz w:val="18"/>
              </w:rPr>
              <w:t>Cloudflare's article describes isolated Dynamic Workers based on V8 isolates. This project demonstrates the Code Mode idea locally with a QuickJS child process and a restricted MCP RPC bridge; it is not a Cloudflare Worker deployment.</w:t>
            </w:r>
          </w:p>
        </w:tc>
      </w:tr>
    </w:tbl>
    <w:p>
      <w:pPr>
        <w:spacing w:after="20"/>
      </w:pPr>
    </w:p>
    <w:p>
      <w:pPr>
        <w:pStyle w:val="Heading1"/>
        <w:keepNext/>
        <w:spacing w:before="240" w:after="100"/>
      </w:pPr>
      <w:r>
        <w:rPr>
          <w:rFonts w:ascii="Aptos" w:hAnsi="Aptos"/>
          <w:b/>
          <w:i w:val="0"/>
          <w:color w:val="2878C8"/>
          <w:sz w:val="30"/>
        </w:rPr>
        <w:t>1. Objective</w:t>
      </w:r>
    </w:p>
    <w:p>
      <w:pPr>
        <w:keepLines w:val="0"/>
        <w:spacing w:before="0" w:after="100" w:line="259" w:lineRule="auto"/>
      </w:pPr>
      <w:r>
        <w:rPr>
          <w:rFonts w:ascii="Aptos" w:hAnsi="Aptos"/>
          <w:b w:val="0"/>
          <w:i w:val="0"/>
          <w:color w:val="263746"/>
          <w:sz w:val="20"/>
        </w:rPr>
        <w:t>The project compares two workflows against the same support-ticket database. Traditional MCP lets the model select tools and inspect their returned rows. Code Mode lets the model write a program that calls MCP tools, processes intermediate data in an execution environment, and returns a compact result.</w:t>
      </w:r>
    </w:p>
    <w:p>
      <w:pPr>
        <w:keepLines w:val="0"/>
        <w:spacing w:before="0" w:after="100" w:line="259" w:lineRule="auto"/>
      </w:pPr>
      <w:r>
        <w:rPr>
          <w:rFonts w:ascii="Aptos" w:hAnsi="Aptos"/>
          <w:b w:val="0"/>
          <w:i w:val="0"/>
          <w:color w:val="263746"/>
          <w:sz w:val="20"/>
        </w:rPr>
        <w:t>The demonstration is designed to make data flow visible and report Groq's prompt and completion tokens, API requests, MCP tool calls, SQL queries, rows fetched, and query-result characters sent to Groq. Code Mode can reduce intermediate data sent to the model for aggregation-heavy work, but it does not guarantee lower total token use or latency for every request.</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1872"/>
        <w:gridCol w:w="7776"/>
      </w:tblGrid>
      <w:tr>
        <w:trPr>
          <w:tblHeader w:val="true"/>
          <w:cantSplit/>
        </w:trPr>
        <w:tc>
          <w:tcPr>
            <w:tcW w:type="dxa" w:w="1872"/>
            <w:shd w:fill="17324D"/>
            <w:vAlign w:val="center"/>
            <w:tcMar>
              <w:top w:w="90" w:type="dxa"/>
              <w:start w:w="110" w:type="dxa"/>
              <w:bottom w:w="90" w:type="dxa"/>
              <w:end w:w="110" w:type="dxa"/>
            </w:tcMar>
          </w:tcPr>
          <w:p>
            <w:pPr>
              <w:spacing w:after="0" w:before="0"/>
            </w:pPr>
            <w:r/>
            <w:r>
              <w:rPr>
                <w:rFonts w:ascii="Aptos" w:hAnsi="Aptos"/>
                <w:b/>
                <w:i w:val="0"/>
                <w:color w:val="FFFFFF"/>
                <w:sz w:val="17"/>
              </w:rPr>
              <w:t>What to learn</w:t>
            </w:r>
          </w:p>
        </w:tc>
        <w:tc>
          <w:tcPr>
            <w:tcW w:type="dxa" w:w="7776"/>
            <w:shd w:fill="17324D"/>
            <w:vAlign w:val="center"/>
            <w:tcMar>
              <w:top w:w="90" w:type="dxa"/>
              <w:start w:w="110" w:type="dxa"/>
              <w:bottom w:w="90" w:type="dxa"/>
              <w:end w:w="110" w:type="dxa"/>
            </w:tcMar>
          </w:tcPr>
          <w:p>
            <w:pPr>
              <w:spacing w:after="0" w:before="0"/>
            </w:pPr>
            <w:r/>
            <w:r>
              <w:rPr>
                <w:rFonts w:ascii="Aptos" w:hAnsi="Aptos"/>
                <w:b/>
                <w:i w:val="0"/>
                <w:color w:val="FFFFFF"/>
                <w:sz w:val="17"/>
              </w:rPr>
              <w:t>What the demo shows</w:t>
            </w:r>
          </w:p>
        </w:tc>
      </w:tr>
      <w:tr>
        <w:trPr>
          <w:cantSplit/>
        </w:trPr>
        <w:tc>
          <w:tcPr>
            <w:tcW w:type="dxa" w:w="1872"/>
            <w:vAlign w:val="center"/>
            <w:tcMar>
              <w:top w:w="90" w:type="dxa"/>
              <w:start w:w="110" w:type="dxa"/>
              <w:bottom w:w="90" w:type="dxa"/>
              <w:end w:w="110" w:type="dxa"/>
            </w:tcMar>
          </w:tcPr>
          <w:p>
            <w:pPr>
              <w:spacing w:after="0" w:before="0"/>
            </w:pPr>
            <w:r/>
            <w:r>
              <w:rPr>
                <w:rFonts w:ascii="Aptos" w:hAnsi="Aptos"/>
                <w:b w:val="0"/>
                <w:i w:val="0"/>
                <w:color w:val="263746"/>
                <w:sz w:val="18"/>
              </w:rPr>
              <w:t>Protocol</w:t>
            </w:r>
          </w:p>
        </w:tc>
        <w:tc>
          <w:tcPr>
            <w:tcW w:type="dxa" w:w="7776"/>
            <w:vAlign w:val="center"/>
            <w:tcMar>
              <w:top w:w="90" w:type="dxa"/>
              <w:start w:w="110" w:type="dxa"/>
              <w:bottom w:w="90" w:type="dxa"/>
              <w:end w:w="110" w:type="dxa"/>
            </w:tcMar>
          </w:tcPr>
          <w:p>
            <w:pPr>
              <w:spacing w:after="0" w:before="0"/>
            </w:pPr>
            <w:r/>
            <w:r>
              <w:rPr>
                <w:rFonts w:ascii="Aptos" w:hAnsi="Aptos"/>
                <w:b w:val="0"/>
                <w:i w:val="0"/>
                <w:color w:val="263746"/>
                <w:sz w:val="18"/>
              </w:rPr>
              <w:t>MCP provides a reusable way to discover and invoke tools in both workflows.</w:t>
            </w:r>
          </w:p>
        </w:tc>
      </w:tr>
      <w:tr>
        <w:trPr>
          <w:cantSplit/>
        </w:trPr>
        <w:tc>
          <w:tcPr>
            <w:tcW w:type="dxa" w:w="1872"/>
            <w:shd w:fill="F7FAFC"/>
            <w:vAlign w:val="center"/>
            <w:tcMar>
              <w:top w:w="90" w:type="dxa"/>
              <w:start w:w="110" w:type="dxa"/>
              <w:bottom w:w="90" w:type="dxa"/>
              <w:end w:w="110" w:type="dxa"/>
            </w:tcMar>
          </w:tcPr>
          <w:p>
            <w:pPr>
              <w:spacing w:after="0" w:before="0"/>
            </w:pPr>
            <w:r/>
            <w:r>
              <w:rPr>
                <w:rFonts w:ascii="Aptos" w:hAnsi="Aptos"/>
                <w:b w:val="0"/>
                <w:i w:val="0"/>
                <w:color w:val="263746"/>
                <w:sz w:val="18"/>
              </w:rPr>
              <w:t>Composition</w:t>
            </w:r>
          </w:p>
        </w:tc>
        <w:tc>
          <w:tcPr>
            <w:tcW w:type="dxa" w:w="7776"/>
            <w:shd w:fill="F7FAFC"/>
            <w:vAlign w:val="center"/>
            <w:tcMar>
              <w:top w:w="90" w:type="dxa"/>
              <w:start w:w="110" w:type="dxa"/>
              <w:bottom w:w="90" w:type="dxa"/>
              <w:end w:w="110" w:type="dxa"/>
            </w:tcMar>
          </w:tcPr>
          <w:p>
            <w:pPr>
              <w:spacing w:after="0" w:before="0"/>
            </w:pPr>
            <w:r/>
            <w:r>
              <w:rPr>
                <w:rFonts w:ascii="Aptos" w:hAnsi="Aptos"/>
                <w:b w:val="0"/>
                <w:i w:val="0"/>
                <w:color w:val="263746"/>
                <w:sz w:val="18"/>
              </w:rPr>
              <w:t>Traditional tool calling delegates one tool choice at a time; Code Mode can compose tool calls and data transformations in code.</w:t>
            </w:r>
          </w:p>
        </w:tc>
      </w:tr>
      <w:tr>
        <w:trPr>
          <w:cantSplit/>
        </w:trPr>
        <w:tc>
          <w:tcPr>
            <w:tcW w:type="dxa" w:w="1872"/>
            <w:vAlign w:val="center"/>
            <w:tcMar>
              <w:top w:w="90" w:type="dxa"/>
              <w:start w:w="110" w:type="dxa"/>
              <w:bottom w:w="90" w:type="dxa"/>
              <w:end w:w="110" w:type="dxa"/>
            </w:tcMar>
          </w:tcPr>
          <w:p>
            <w:pPr>
              <w:spacing w:after="0" w:before="0"/>
            </w:pPr>
            <w:r/>
            <w:r>
              <w:rPr>
                <w:rFonts w:ascii="Aptos" w:hAnsi="Aptos"/>
                <w:b w:val="0"/>
                <w:i w:val="0"/>
                <w:color w:val="263746"/>
                <w:sz w:val="18"/>
              </w:rPr>
              <w:t>Evidence</w:t>
            </w:r>
          </w:p>
        </w:tc>
        <w:tc>
          <w:tcPr>
            <w:tcW w:type="dxa" w:w="7776"/>
            <w:vAlign w:val="center"/>
            <w:tcMar>
              <w:top w:w="90" w:type="dxa"/>
              <w:start w:w="110" w:type="dxa"/>
              <w:bottom w:w="90" w:type="dxa"/>
              <w:end w:w="110" w:type="dxa"/>
            </w:tcMar>
          </w:tcPr>
          <w:p>
            <w:pPr>
              <w:spacing w:after="0" w:before="0"/>
            </w:pPr>
            <w:r/>
            <w:r>
              <w:rPr>
                <w:rFonts w:ascii="Aptos" w:hAnsi="Aptos"/>
                <w:b w:val="0"/>
                <w:i w:val="0"/>
                <w:color w:val="263746"/>
                <w:sz w:val="18"/>
              </w:rPr>
              <w:t>The UI reports actual Groq usage for each path. Results must be checked for equivalent filters and outputs before comparing.</w:t>
            </w:r>
          </w:p>
        </w:tc>
      </w:tr>
    </w:tbl>
    <w:p>
      <w:pPr>
        <w:spacing w:after="20"/>
      </w:pPr>
    </w:p>
    <w:p>
      <w:pPr>
        <w:pStyle w:val="Heading1"/>
        <w:keepNext/>
        <w:spacing w:before="240" w:after="100"/>
      </w:pPr>
      <w:r>
        <w:rPr>
          <w:rFonts w:ascii="Aptos" w:hAnsi="Aptos"/>
          <w:b/>
          <w:i w:val="0"/>
          <w:color w:val="2878C8"/>
          <w:sz w:val="30"/>
        </w:rPr>
        <w:t>2. Traditional MCP detailed architecture flow</w:t>
      </w:r>
    </w:p>
    <w:p>
      <w:pPr>
        <w:keepLines w:val="0"/>
        <w:spacing w:before="0" w:after="100" w:line="259" w:lineRule="auto"/>
      </w:pPr>
      <w:r>
        <w:rPr>
          <w:rFonts w:ascii="Aptos" w:hAnsi="Aptos"/>
          <w:b w:val="0"/>
          <w:i w:val="0"/>
          <w:color w:val="263746"/>
          <w:sz w:val="20"/>
        </w:rPr>
        <w:t>The AI host contains the agent loop and MCP client. The local MCP server publishes ticket tools and forwards validated query requests to MySQL. Tool results return to the host and are then added to the model conversation.</w:t>
      </w:r>
    </w:p>
    <w:p>
      <w:pPr>
        <w:keepLines/>
        <w:spacing w:before="80" w:after="140"/>
        <w:jc w:val="center"/>
      </w:pPr>
      <w:r>
        <w:rPr>
          <w:rFonts w:ascii="Aptos" w:hAnsi="Aptos"/>
          <w:b/>
          <w:i w:val="0"/>
          <w:color w:val="17324D"/>
          <w:sz w:val="18"/>
        </w:rPr>
        <w:t>User</w:t>
      </w:r>
      <w:r>
        <w:rPr>
          <w:rFonts w:ascii="Aptos" w:hAnsi="Aptos"/>
          <w:b/>
          <w:i w:val="0"/>
          <w:color w:val="2878C8"/>
          <w:sz w:val="24"/>
        </w:rPr>
        <w:t xml:space="preserve">   →   </w:t>
      </w:r>
      <w:r>
        <w:rPr>
          <w:rFonts w:ascii="Aptos" w:hAnsi="Aptos"/>
          <w:b/>
          <w:i w:val="0"/>
          <w:color w:val="17324D"/>
          <w:sz w:val="18"/>
        </w:rPr>
        <w:t>AI host + model</w:t>
      </w:r>
      <w:r>
        <w:rPr>
          <w:rFonts w:ascii="Aptos" w:hAnsi="Aptos"/>
          <w:b/>
          <w:i w:val="0"/>
          <w:color w:val="2878C8"/>
          <w:sz w:val="24"/>
        </w:rPr>
        <w:t xml:space="preserve">   →   </w:t>
      </w:r>
      <w:r>
        <w:rPr>
          <w:rFonts w:ascii="Aptos" w:hAnsi="Aptos"/>
          <w:b/>
          <w:i w:val="0"/>
          <w:color w:val="17324D"/>
          <w:sz w:val="18"/>
        </w:rPr>
        <w:t>MCP client</w:t>
      </w:r>
      <w:r>
        <w:rPr>
          <w:rFonts w:ascii="Aptos" w:hAnsi="Aptos"/>
          <w:b/>
          <w:i w:val="0"/>
          <w:color w:val="2878C8"/>
          <w:sz w:val="24"/>
        </w:rPr>
        <w:t xml:space="preserve">   →   </w:t>
      </w:r>
      <w:r>
        <w:rPr>
          <w:rFonts w:ascii="Aptos" w:hAnsi="Aptos"/>
          <w:b/>
          <w:i w:val="0"/>
          <w:color w:val="17324D"/>
          <w:sz w:val="18"/>
        </w:rPr>
        <w:t>MCP server</w:t>
      </w:r>
      <w:r>
        <w:rPr>
          <w:rFonts w:ascii="Aptos" w:hAnsi="Aptos"/>
          <w:b/>
          <w:i w:val="0"/>
          <w:color w:val="2878C8"/>
          <w:sz w:val="24"/>
        </w:rPr>
        <w:t xml:space="preserve">   →   </w:t>
      </w:r>
      <w:r>
        <w:rPr>
          <w:rFonts w:ascii="Aptos" w:hAnsi="Aptos"/>
          <w:b/>
          <w:i w:val="0"/>
          <w:color w:val="17324D"/>
          <w:sz w:val="18"/>
        </w:rPr>
        <w:t>MySQL / APIs</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1656"/>
        <w:gridCol w:w="7992"/>
      </w:tblGrid>
      <w:tr>
        <w:trPr>
          <w:tblHeader w:val="true"/>
          <w:cantSplit/>
        </w:trPr>
        <w:tc>
          <w:tcPr>
            <w:tcW w:type="dxa" w:w="1656"/>
            <w:shd w:fill="17324D"/>
            <w:vAlign w:val="center"/>
            <w:tcMar>
              <w:top w:w="90" w:type="dxa"/>
              <w:start w:w="110" w:type="dxa"/>
              <w:bottom w:w="90" w:type="dxa"/>
              <w:end w:w="110" w:type="dxa"/>
            </w:tcMar>
          </w:tcPr>
          <w:p>
            <w:pPr>
              <w:spacing w:after="0" w:before="0"/>
            </w:pPr>
            <w:r/>
            <w:r>
              <w:rPr>
                <w:rFonts w:ascii="Aptos" w:hAnsi="Aptos"/>
                <w:b/>
                <w:i w:val="0"/>
                <w:color w:val="FFFFFF"/>
                <w:sz w:val="17"/>
              </w:rPr>
              <w:t>Step</w:t>
            </w:r>
          </w:p>
        </w:tc>
        <w:tc>
          <w:tcPr>
            <w:tcW w:type="dxa" w:w="7992"/>
            <w:shd w:fill="17324D"/>
            <w:vAlign w:val="center"/>
            <w:tcMar>
              <w:top w:w="90" w:type="dxa"/>
              <w:start w:w="110" w:type="dxa"/>
              <w:bottom w:w="90" w:type="dxa"/>
              <w:end w:w="110" w:type="dxa"/>
            </w:tcMar>
          </w:tcPr>
          <w:p>
            <w:pPr>
              <w:spacing w:after="0" w:before="0"/>
            </w:pPr>
            <w:r/>
            <w:r>
              <w:rPr>
                <w:rFonts w:ascii="Aptos" w:hAnsi="Aptos"/>
                <w:b/>
                <w:i w:val="0"/>
                <w:color w:val="FFFFFF"/>
                <w:sz w:val="17"/>
              </w:rPr>
              <w:t>Flow</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1 · Discover</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The host connects to the MCP server, initializes the session, and reads the available tool definitions.</w:t>
            </w:r>
          </w:p>
        </w:tc>
      </w:tr>
      <w:tr>
        <w:trPr>
          <w:cantSplit/>
        </w:trPr>
        <w:tc>
          <w:tcPr>
            <w:tcW w:type="dxa" w:w="1656"/>
            <w:shd w:fill="F7FAFC"/>
            <w:vAlign w:val="center"/>
            <w:tcMar>
              <w:top w:w="90" w:type="dxa"/>
              <w:start w:w="110" w:type="dxa"/>
              <w:bottom w:w="90" w:type="dxa"/>
              <w:end w:w="110" w:type="dxa"/>
            </w:tcMar>
          </w:tcPr>
          <w:p>
            <w:pPr>
              <w:spacing w:after="0" w:before="0"/>
            </w:pPr>
            <w:r/>
            <w:r>
              <w:rPr>
                <w:rFonts w:ascii="Aptos" w:hAnsi="Aptos"/>
                <w:b w:val="0"/>
                <w:i w:val="0"/>
                <w:color w:val="263746"/>
                <w:sz w:val="18"/>
              </w:rPr>
              <w:t>2 · Select</w:t>
            </w:r>
          </w:p>
        </w:tc>
        <w:tc>
          <w:tcPr>
            <w:tcW w:type="dxa" w:w="7992"/>
            <w:shd w:fill="F7FAFC"/>
            <w:vAlign w:val="center"/>
            <w:tcMar>
              <w:top w:w="90" w:type="dxa"/>
              <w:start w:w="110" w:type="dxa"/>
              <w:bottom w:w="90" w:type="dxa"/>
              <w:end w:w="110" w:type="dxa"/>
            </w:tcMar>
          </w:tcPr>
          <w:p>
            <w:pPr>
              <w:spacing w:after="0" w:before="0"/>
            </w:pPr>
            <w:r/>
            <w:r>
              <w:rPr>
                <w:rFonts w:ascii="Aptos" w:hAnsi="Aptos"/>
                <w:b w:val="0"/>
                <w:i w:val="0"/>
                <w:color w:val="263746"/>
                <w:sz w:val="18"/>
              </w:rPr>
              <w:t>The host sends the user's request and tool descriptions to Groq. The model chooses a tool and supplies arguments.</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3 · Dispatch</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The host's MCP client calls the selected server tool. The server validates the request and executes the permitted operation.</w:t>
            </w:r>
          </w:p>
        </w:tc>
      </w:tr>
      <w:tr>
        <w:trPr>
          <w:cantSplit/>
        </w:trPr>
        <w:tc>
          <w:tcPr>
            <w:tcW w:type="dxa" w:w="1656"/>
            <w:shd w:fill="F7FAFC"/>
            <w:vAlign w:val="center"/>
            <w:tcMar>
              <w:top w:w="90" w:type="dxa"/>
              <w:start w:w="110" w:type="dxa"/>
              <w:bottom w:w="90" w:type="dxa"/>
              <w:end w:w="110" w:type="dxa"/>
            </w:tcMar>
          </w:tcPr>
          <w:p>
            <w:pPr>
              <w:spacing w:after="0" w:before="0"/>
            </w:pPr>
            <w:r/>
            <w:r>
              <w:rPr>
                <w:rFonts w:ascii="Aptos" w:hAnsi="Aptos"/>
                <w:b w:val="0"/>
                <w:i w:val="0"/>
                <w:color w:val="263746"/>
                <w:sz w:val="18"/>
              </w:rPr>
              <w:t>4 · Return</w:t>
            </w:r>
          </w:p>
        </w:tc>
        <w:tc>
          <w:tcPr>
            <w:tcW w:type="dxa" w:w="7992"/>
            <w:shd w:fill="F7FAFC"/>
            <w:vAlign w:val="center"/>
            <w:tcMar>
              <w:top w:w="90" w:type="dxa"/>
              <w:start w:w="110" w:type="dxa"/>
              <w:bottom w:w="90" w:type="dxa"/>
              <w:end w:w="110" w:type="dxa"/>
            </w:tcMar>
          </w:tcPr>
          <w:p>
            <w:pPr>
              <w:spacing w:after="0" w:before="0"/>
            </w:pPr>
            <w:r/>
            <w:r>
              <w:rPr>
                <w:rFonts w:ascii="Aptos" w:hAnsi="Aptos"/>
                <w:b w:val="0"/>
                <w:i w:val="0"/>
                <w:color w:val="263746"/>
                <w:sz w:val="18"/>
              </w:rPr>
              <w:t>The MCP server returns results to the host. The host sends the tool result back to Groq as part of the conversation.</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5 · Answer</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The model uses the returned rows to create a natural-language response, which the host displays.</w:t>
            </w:r>
          </w:p>
        </w:tc>
      </w:tr>
    </w:tbl>
    <w:p>
      <w:pPr>
        <w:spacing w:after="20"/>
      </w:pPr>
    </w:p>
    <w:tbl>
      <w:tblPr>
        <w:tblW w:type="auto" w:w="0"/>
        <w:jc w:val="center"/>
        <w:tblLook w:firstColumn="1" w:firstRow="1" w:lastColumn="0" w:lastRow="0" w:noHBand="0" w:noVBand="1" w:val="04A0"/>
        <w:tblBorders>
          <w:top w:val="single" w:sz="0" w:space="0" w:color="EEF6FC"/>
          <w:left w:val="single" w:sz="0" w:space="0" w:color="EEF6FC"/>
          <w:bottom w:val="single" w:sz="0" w:space="0" w:color="EEF6FC"/>
          <w:right w:val="single" w:sz="0" w:space="0" w:color="EEF6FC"/>
          <w:insideH w:val="single" w:sz="0" w:space="0" w:color="EEF6FC"/>
          <w:insideV w:val="single" w:sz="0" w:space="0" w:color="EEF6FC"/>
        </w:tblBorders>
      </w:tblPr>
      <w:tblGrid>
        <w:gridCol w:w="9835"/>
      </w:tblGrid>
      <w:tr>
        <w:trPr>
          <w:cantSplit/>
        </w:trPr>
        <w:tc>
          <w:tcPr>
            <w:tcW w:type="dxa" w:w="9835"/>
            <w:shd w:fill="EEF6FC"/>
            <w:tcMar>
              <w:top w:w="130" w:type="dxa"/>
              <w:start w:w="170" w:type="dxa"/>
              <w:bottom w:w="130" w:type="dxa"/>
              <w:end w:w="170" w:type="dxa"/>
            </w:tcMar>
          </w:tcPr>
          <w:p>
            <w:pPr>
              <w:spacing w:after="0"/>
            </w:pPr>
            <w:r>
              <w:rPr>
                <w:rFonts w:ascii="Aptos" w:hAnsi="Aptos"/>
                <w:b/>
                <w:i w:val="0"/>
                <w:color w:val="2878C8"/>
                <w:sz w:val="19"/>
              </w:rPr>
              <w:t xml:space="preserve">In this project  </w:t>
            </w:r>
            <w:r>
              <w:rPr>
                <w:rFonts w:ascii="Aptos" w:hAnsi="Aptos"/>
                <w:b w:val="0"/>
                <w:i w:val="0"/>
                <w:color w:val="263746"/>
                <w:sz w:val="18"/>
              </w:rPr>
              <w:t>The two tools are get_ticket_schema and run_ticket_query. Groq sees the tool definitions, requests the schema, generates a SELECT, and receives query-result rows for its final answer.</w:t>
            </w:r>
          </w:p>
        </w:tc>
      </w:tr>
    </w:tbl>
    <w:p>
      <w:pPr>
        <w:spacing w:after="20"/>
      </w:pPr>
    </w:p>
    <w:p>
      <w:pPr>
        <w:pStyle w:val="Heading1"/>
        <w:keepNext/>
        <w:spacing w:before="240" w:after="100"/>
      </w:pPr>
      <w:r>
        <w:rPr>
          <w:rFonts w:ascii="Aptos" w:hAnsi="Aptos"/>
          <w:b/>
          <w:i w:val="0"/>
          <w:color w:val="2878C8"/>
          <w:sz w:val="30"/>
        </w:rPr>
        <w:t>3. Code Mode detailed architecture flow</w:t>
      </w:r>
    </w:p>
    <w:p>
      <w:pPr>
        <w:keepLines w:val="0"/>
        <w:spacing w:before="0" w:after="100" w:line="259" w:lineRule="auto"/>
      </w:pPr>
      <w:r>
        <w:rPr>
          <w:rFonts w:ascii="Aptos" w:hAnsi="Aptos"/>
          <w:b w:val="0"/>
          <w:i w:val="0"/>
          <w:color w:val="263746"/>
          <w:sz w:val="20"/>
        </w:rPr>
        <w:t>Cloudflare's Code Mode pattern changes the model-facing workflow while retaining MCP as the tool connectivity layer. The model receives a typed API description and a code-execution capability. Generated TypeScript runs in an isolated Dynamic Worker. Explicit bindings expose connected MCP APIs; calls travel through RPC to the agent loop, which dispatches them to MCP servers. The script processes returned data and emits its output to the agent.</w:t>
      </w:r>
    </w:p>
    <w:p>
      <w:pPr>
        <w:keepLines/>
        <w:spacing w:before="80" w:after="140"/>
        <w:jc w:val="center"/>
      </w:pPr>
      <w:r>
        <w:rPr>
          <w:rFonts w:ascii="Aptos" w:hAnsi="Aptos"/>
          <w:b/>
          <w:i w:val="0"/>
          <w:color w:val="17324D"/>
          <w:sz w:val="18"/>
        </w:rPr>
        <w:t>User</w:t>
      </w:r>
      <w:r>
        <w:rPr>
          <w:rFonts w:ascii="Aptos" w:hAnsi="Aptos"/>
          <w:b/>
          <w:i w:val="0"/>
          <w:color w:val="7044D8"/>
          <w:sz w:val="24"/>
        </w:rPr>
        <w:t xml:space="preserve">   →   </w:t>
      </w:r>
      <w:r>
        <w:rPr>
          <w:rFonts w:ascii="Aptos" w:hAnsi="Aptos"/>
          <w:b/>
          <w:i w:val="0"/>
          <w:color w:val="17324D"/>
          <w:sz w:val="18"/>
        </w:rPr>
        <w:t>AI host / agent</w:t>
      </w:r>
      <w:r>
        <w:rPr>
          <w:rFonts w:ascii="Aptos" w:hAnsi="Aptos"/>
          <w:b/>
          <w:i w:val="0"/>
          <w:color w:val="7044D8"/>
          <w:sz w:val="24"/>
        </w:rPr>
        <w:t xml:space="preserve">   →   </w:t>
      </w:r>
      <w:r>
        <w:rPr>
          <w:rFonts w:ascii="Aptos" w:hAnsi="Aptos"/>
          <w:b/>
          <w:i w:val="0"/>
          <w:color w:val="17324D"/>
          <w:sz w:val="18"/>
        </w:rPr>
        <w:t>Generated code</w:t>
      </w:r>
      <w:r>
        <w:rPr>
          <w:rFonts w:ascii="Aptos" w:hAnsi="Aptos"/>
          <w:b/>
          <w:i w:val="0"/>
          <w:color w:val="7044D8"/>
          <w:sz w:val="24"/>
        </w:rPr>
        <w:t xml:space="preserve">   →   </w:t>
      </w:r>
      <w:r>
        <w:rPr>
          <w:rFonts w:ascii="Aptos" w:hAnsi="Aptos"/>
          <w:b/>
          <w:i w:val="0"/>
          <w:color w:val="17324D"/>
          <w:sz w:val="18"/>
        </w:rPr>
        <w:t>V8 isolate</w:t>
      </w:r>
      <w:r>
        <w:rPr>
          <w:rFonts w:ascii="Aptos" w:hAnsi="Aptos"/>
          <w:b/>
          <w:i w:val="0"/>
          <w:color w:val="7044D8"/>
          <w:sz w:val="24"/>
        </w:rPr>
        <w:t xml:space="preserve">   →   </w:t>
      </w:r>
      <w:r>
        <w:rPr>
          <w:rFonts w:ascii="Aptos" w:hAnsi="Aptos"/>
          <w:b/>
          <w:i w:val="0"/>
          <w:color w:val="17324D"/>
          <w:sz w:val="18"/>
        </w:rPr>
        <w:t>MCP bindings</w:t>
      </w:r>
      <w:r>
        <w:rPr>
          <w:rFonts w:ascii="Aptos" w:hAnsi="Aptos"/>
          <w:b/>
          <w:i w:val="0"/>
          <w:color w:val="7044D8"/>
          <w:sz w:val="24"/>
        </w:rPr>
        <w:t xml:space="preserve">   →   </w:t>
      </w:r>
      <w:r>
        <w:rPr>
          <w:rFonts w:ascii="Aptos" w:hAnsi="Aptos"/>
          <w:b/>
          <w:i w:val="0"/>
          <w:color w:val="17324D"/>
          <w:sz w:val="18"/>
        </w:rPr>
        <w:t>MCP server</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1656"/>
        <w:gridCol w:w="7992"/>
      </w:tblGrid>
      <w:tr>
        <w:trPr>
          <w:tblHeader w:val="true"/>
          <w:cantSplit/>
        </w:trPr>
        <w:tc>
          <w:tcPr>
            <w:tcW w:type="dxa" w:w="1656"/>
            <w:shd w:fill="17324D"/>
            <w:vAlign w:val="center"/>
            <w:tcMar>
              <w:top w:w="90" w:type="dxa"/>
              <w:start w:w="110" w:type="dxa"/>
              <w:bottom w:w="90" w:type="dxa"/>
              <w:end w:w="110" w:type="dxa"/>
            </w:tcMar>
          </w:tcPr>
          <w:p>
            <w:pPr>
              <w:spacing w:after="0" w:before="0"/>
            </w:pPr>
            <w:r/>
            <w:r>
              <w:rPr>
                <w:rFonts w:ascii="Aptos" w:hAnsi="Aptos"/>
                <w:b/>
                <w:i w:val="0"/>
                <w:color w:val="FFFFFF"/>
                <w:sz w:val="17"/>
              </w:rPr>
              <w:t>Step</w:t>
            </w:r>
          </w:p>
        </w:tc>
        <w:tc>
          <w:tcPr>
            <w:tcW w:type="dxa" w:w="7992"/>
            <w:shd w:fill="17324D"/>
            <w:vAlign w:val="center"/>
            <w:tcMar>
              <w:top w:w="90" w:type="dxa"/>
              <w:start w:w="110" w:type="dxa"/>
              <w:bottom w:w="90" w:type="dxa"/>
              <w:end w:w="110" w:type="dxa"/>
            </w:tcMar>
          </w:tcPr>
          <w:p>
            <w:pPr>
              <w:spacing w:after="0" w:before="0"/>
            </w:pPr>
            <w:r/>
            <w:r>
              <w:rPr>
                <w:rFonts w:ascii="Aptos" w:hAnsi="Aptos"/>
                <w:b/>
                <w:i w:val="0"/>
                <w:color w:val="FFFFFF"/>
                <w:sz w:val="17"/>
              </w:rPr>
              <w:t>Flow</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1 · Describe</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The host makes typed API descriptions for connected MCP servers available to the model.</w:t>
            </w:r>
          </w:p>
        </w:tc>
      </w:tr>
      <w:tr>
        <w:trPr>
          <w:cantSplit/>
        </w:trPr>
        <w:tc>
          <w:tcPr>
            <w:tcW w:type="dxa" w:w="1656"/>
            <w:shd w:fill="F7FAFC"/>
            <w:vAlign w:val="center"/>
            <w:tcMar>
              <w:top w:w="90" w:type="dxa"/>
              <w:start w:w="110" w:type="dxa"/>
              <w:bottom w:w="90" w:type="dxa"/>
              <w:end w:w="110" w:type="dxa"/>
            </w:tcMar>
          </w:tcPr>
          <w:p>
            <w:pPr>
              <w:spacing w:after="0" w:before="0"/>
            </w:pPr>
            <w:r/>
            <w:r>
              <w:rPr>
                <w:rFonts w:ascii="Aptos" w:hAnsi="Aptos"/>
                <w:b w:val="0"/>
                <w:i w:val="0"/>
                <w:color w:val="263746"/>
                <w:sz w:val="18"/>
              </w:rPr>
              <w:t>2 · Compose</w:t>
            </w:r>
          </w:p>
        </w:tc>
        <w:tc>
          <w:tcPr>
            <w:tcW w:type="dxa" w:w="7992"/>
            <w:shd w:fill="F7FAFC"/>
            <w:vAlign w:val="center"/>
            <w:tcMar>
              <w:top w:w="90" w:type="dxa"/>
              <w:start w:w="110" w:type="dxa"/>
              <w:bottom w:w="90" w:type="dxa"/>
              <w:end w:w="110" w:type="dxa"/>
            </w:tcMar>
          </w:tcPr>
          <w:p>
            <w:pPr>
              <w:spacing w:after="0" w:before="0"/>
            </w:pPr>
            <w:r/>
            <w:r>
              <w:rPr>
                <w:rFonts w:ascii="Aptos" w:hAnsi="Aptos"/>
                <w:b w:val="0"/>
                <w:i w:val="0"/>
                <w:color w:val="263746"/>
                <w:sz w:val="18"/>
              </w:rPr>
              <w:t>The model writes code that calls the API methods and describes the desired filtering or aggregation.</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3 · Execute</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The host runs the code in an isolated, on-demand V8 Worker sandbox.</w:t>
            </w:r>
          </w:p>
        </w:tc>
      </w:tr>
      <w:tr>
        <w:trPr>
          <w:cantSplit/>
        </w:trPr>
        <w:tc>
          <w:tcPr>
            <w:tcW w:type="dxa" w:w="1656"/>
            <w:shd w:fill="F7FAFC"/>
            <w:vAlign w:val="center"/>
            <w:tcMar>
              <w:top w:w="90" w:type="dxa"/>
              <w:start w:w="110" w:type="dxa"/>
              <w:bottom w:w="90" w:type="dxa"/>
              <w:end w:w="110" w:type="dxa"/>
            </w:tcMar>
          </w:tcPr>
          <w:p>
            <w:pPr>
              <w:spacing w:after="0" w:before="0"/>
            </w:pPr>
            <w:r/>
            <w:r>
              <w:rPr>
                <w:rFonts w:ascii="Aptos" w:hAnsi="Aptos"/>
                <w:b w:val="0"/>
                <w:i w:val="0"/>
                <w:color w:val="263746"/>
                <w:sz w:val="18"/>
              </w:rPr>
              <w:t>4 · Authorize</w:t>
            </w:r>
          </w:p>
        </w:tc>
        <w:tc>
          <w:tcPr>
            <w:tcW w:type="dxa" w:w="7992"/>
            <w:shd w:fill="F7FAFC"/>
            <w:vAlign w:val="center"/>
            <w:tcMar>
              <w:top w:w="90" w:type="dxa"/>
              <w:start w:w="110" w:type="dxa"/>
              <w:bottom w:w="90" w:type="dxa"/>
              <w:end w:w="110" w:type="dxa"/>
            </w:tcMar>
          </w:tcPr>
          <w:p>
            <w:pPr>
              <w:spacing w:after="0" w:before="0"/>
            </w:pPr>
            <w:r/>
            <w:r>
              <w:rPr>
                <w:rFonts w:ascii="Aptos" w:hAnsi="Aptos"/>
                <w:b w:val="0"/>
                <w:i w:val="0"/>
                <w:color w:val="263746"/>
                <w:sz w:val="18"/>
              </w:rPr>
              <w:t>The sandbox reaches only explicitly provided bindings. RPC calls return to the agent loop, which dispatches to MCP servers.</w:t>
            </w:r>
          </w:p>
        </w:tc>
      </w:tr>
      <w:tr>
        <w:trPr>
          <w:cantSplit/>
        </w:trPr>
        <w:tc>
          <w:tcPr>
            <w:tcW w:type="dxa" w:w="1656"/>
            <w:vAlign w:val="center"/>
            <w:tcMar>
              <w:top w:w="90" w:type="dxa"/>
              <w:start w:w="110" w:type="dxa"/>
              <w:bottom w:w="90" w:type="dxa"/>
              <w:end w:w="110" w:type="dxa"/>
            </w:tcMar>
          </w:tcPr>
          <w:p>
            <w:pPr>
              <w:spacing w:after="0" w:before="0"/>
            </w:pPr>
            <w:r/>
            <w:r>
              <w:rPr>
                <w:rFonts w:ascii="Aptos" w:hAnsi="Aptos"/>
                <w:b w:val="0"/>
                <w:i w:val="0"/>
                <w:color w:val="263746"/>
                <w:sz w:val="18"/>
              </w:rPr>
              <w:t>5 · Process</w:t>
            </w:r>
          </w:p>
        </w:tc>
        <w:tc>
          <w:tcPr>
            <w:tcW w:type="dxa" w:w="7992"/>
            <w:vAlign w:val="center"/>
            <w:tcMar>
              <w:top w:w="90" w:type="dxa"/>
              <w:start w:w="110" w:type="dxa"/>
              <w:bottom w:w="90" w:type="dxa"/>
              <w:end w:w="110" w:type="dxa"/>
            </w:tcMar>
          </w:tcPr>
          <w:p>
            <w:pPr>
              <w:spacing w:after="0" w:before="0"/>
            </w:pPr>
            <w:r/>
            <w:r>
              <w:rPr>
                <w:rFonts w:ascii="Aptos" w:hAnsi="Aptos"/>
                <w:b w:val="0"/>
                <w:i w:val="0"/>
                <w:color w:val="263746"/>
                <w:sz w:val="18"/>
              </w:rPr>
              <w:t>Rows return to the sandbox so the script can filter, transform, join, or aggregate intermediate data.</w:t>
            </w:r>
          </w:p>
        </w:tc>
      </w:tr>
      <w:tr>
        <w:trPr>
          <w:cantSplit/>
        </w:trPr>
        <w:tc>
          <w:tcPr>
            <w:tcW w:type="dxa" w:w="1656"/>
            <w:shd w:fill="F7FAFC"/>
            <w:vAlign w:val="center"/>
            <w:tcMar>
              <w:top w:w="90" w:type="dxa"/>
              <w:start w:w="110" w:type="dxa"/>
              <w:bottom w:w="90" w:type="dxa"/>
              <w:end w:w="110" w:type="dxa"/>
            </w:tcMar>
          </w:tcPr>
          <w:p>
            <w:pPr>
              <w:spacing w:after="0" w:before="0"/>
            </w:pPr>
            <w:r/>
            <w:r>
              <w:rPr>
                <w:rFonts w:ascii="Aptos" w:hAnsi="Aptos"/>
                <w:b w:val="0"/>
                <w:i w:val="0"/>
                <w:color w:val="263746"/>
                <w:sz w:val="18"/>
              </w:rPr>
              <w:t>6 · Return</w:t>
            </w:r>
          </w:p>
        </w:tc>
        <w:tc>
          <w:tcPr>
            <w:tcW w:type="dxa" w:w="7992"/>
            <w:shd w:fill="F7FAFC"/>
            <w:vAlign w:val="center"/>
            <w:tcMar>
              <w:top w:w="90" w:type="dxa"/>
              <w:start w:w="110" w:type="dxa"/>
              <w:bottom w:w="90" w:type="dxa"/>
              <w:end w:w="110" w:type="dxa"/>
            </w:tcMar>
          </w:tcPr>
          <w:p>
            <w:pPr>
              <w:spacing w:after="0" w:before="0"/>
            </w:pPr>
            <w:r/>
            <w:r>
              <w:rPr>
                <w:rFonts w:ascii="Aptos" w:hAnsi="Aptos"/>
                <w:b w:val="0"/>
                <w:i w:val="0"/>
                <w:color w:val="263746"/>
                <w:sz w:val="18"/>
              </w:rPr>
              <w:t>The script's output returns to the agent/model. Intermediate rows need not be added to model context.</w:t>
            </w:r>
          </w:p>
        </w:tc>
      </w:tr>
    </w:tbl>
    <w:p>
      <w:pPr>
        <w:spacing w:after="20"/>
      </w:pPr>
    </w:p>
    <w:p>
      <w:pPr>
        <w:pStyle w:val="Heading2"/>
        <w:keepNext/>
        <w:spacing w:before="140" w:after="60"/>
      </w:pPr>
      <w:r>
        <w:rPr>
          <w:rFonts w:ascii="Aptos" w:hAnsi="Aptos"/>
          <w:b/>
          <w:i w:val="0"/>
          <w:color w:val="17324D"/>
          <w:sz w:val="22"/>
        </w:rPr>
        <w:t>How the local demo maps to that pattern</w:t>
      </w:r>
    </w:p>
    <w:p>
      <w:pPr>
        <w:keepLines w:val="0"/>
        <w:spacing w:before="0" w:after="100" w:line="259" w:lineRule="auto"/>
      </w:pPr>
      <w:r>
        <w:rPr>
          <w:rFonts w:ascii="Aptos" w:hAnsi="Aptos"/>
          <w:b w:val="0"/>
          <w:i w:val="0"/>
          <w:color w:val="263746"/>
          <w:sz w:val="20"/>
        </w:rPr>
        <w:t>This repository uses Python, Groq, a local MCP server, MySQL, and a QuickJS child process. Python fetches the schema and asks Groq to write JavaScript. QuickJS runs in a separate process with a reduced environment. Its only host bridge is an allowlisted RPC call to run_ticket_query. The parent process validates and forwards the request through MCP; rows return to QuickJS, and the local app formats the result without sending the rows back to Groq for another summary call.</w:t>
      </w:r>
    </w:p>
    <w:tbl>
      <w:tblPr>
        <w:tblW w:type="auto" w:w="0"/>
        <w:jc w:val="center"/>
        <w:tblLook w:firstColumn="1" w:firstRow="1" w:lastColumn="0" w:lastRow="0" w:noHBand="0" w:noVBand="1" w:val="04A0"/>
        <w:tblBorders>
          <w:top w:val="single" w:sz="0" w:space="0" w:color="FFF5E3"/>
          <w:left w:val="single" w:sz="0" w:space="0" w:color="FFF5E3"/>
          <w:bottom w:val="single" w:sz="0" w:space="0" w:color="FFF5E3"/>
          <w:right w:val="single" w:sz="0" w:space="0" w:color="FFF5E3"/>
          <w:insideH w:val="single" w:sz="0" w:space="0" w:color="FFF5E3"/>
          <w:insideV w:val="single" w:sz="0" w:space="0" w:color="FFF5E3"/>
        </w:tblBorders>
      </w:tblPr>
      <w:tblGrid>
        <w:gridCol w:w="9835"/>
      </w:tblGrid>
      <w:tr>
        <w:trPr>
          <w:cantSplit/>
        </w:trPr>
        <w:tc>
          <w:tcPr>
            <w:tcW w:type="dxa" w:w="9835"/>
            <w:shd w:fill="FFF5E3"/>
            <w:tcMar>
              <w:top w:w="130" w:type="dxa"/>
              <w:start w:w="170" w:type="dxa"/>
              <w:bottom w:w="130" w:type="dxa"/>
              <w:end w:w="170" w:type="dxa"/>
            </w:tcMar>
          </w:tcPr>
          <w:p>
            <w:pPr>
              <w:spacing w:after="0"/>
            </w:pPr>
            <w:r>
              <w:rPr>
                <w:rFonts w:ascii="Aptos" w:hAnsi="Aptos"/>
                <w:b/>
                <w:i w:val="0"/>
                <w:color w:val="A46B00"/>
                <w:sz w:val="19"/>
              </w:rPr>
              <w:t xml:space="preserve">Security boundary  </w:t>
            </w:r>
            <w:r>
              <w:rPr>
                <w:rFonts w:ascii="Aptos" w:hAnsi="Aptos"/>
                <w:b w:val="0"/>
                <w:i w:val="0"/>
                <w:color w:val="263746"/>
                <w:sz w:val="18"/>
              </w:rPr>
              <w:t>The QuickJS process does not inherit the app's Groq or MySQL credentials, and the JavaScript context has no direct filesystem or network API. It runs under the same Windows user account, however, so this demo is a restricted local runtime, not a hardened OS sandbox. Do not expose the app, MCP server, or MySQL port publicly.</w:t>
            </w:r>
          </w:p>
        </w:tc>
      </w:tr>
    </w:tbl>
    <w:p>
      <w:pPr>
        <w:spacing w:after="20"/>
      </w:pPr>
    </w:p>
    <w:p>
      <w:pPr>
        <w:spacing w:after="60"/>
      </w:pPr>
      <w:r>
        <w:rPr>
          <w:rFonts w:ascii="Aptos" w:hAnsi="Aptos"/>
          <w:b w:val="0"/>
          <w:i w:val="0"/>
          <w:color w:val="64748B"/>
          <w:sz w:val="18"/>
        </w:rPr>
        <w:t xml:space="preserve">Cloudflare source: </w:t>
      </w:r>
      <w:hyperlink r:id="rId11">
        <w:r>
          <w:rPr>
            <w:color w:val="2878C8"/>
            <w:u w:val="single"/>
          </w:rPr>
          <w:t>Code Mode: the better way to use MCP</w:t>
        </w:r>
      </w:hyperlink>
    </w:p>
    <w:p>
      <w:pPr>
        <w:pStyle w:val="Heading1"/>
        <w:keepNext/>
        <w:spacing w:before="240" w:after="100"/>
      </w:pPr>
      <w:r>
        <w:rPr>
          <w:rFonts w:ascii="Aptos" w:hAnsi="Aptos"/>
          <w:b/>
          <w:i w:val="0"/>
          <w:color w:val="2878C8"/>
          <w:sz w:val="30"/>
        </w:rPr>
        <w:t>4. Pros and cons</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1512"/>
        <w:gridCol w:w="3888"/>
        <w:gridCol w:w="4248"/>
      </w:tblGrid>
      <w:tr>
        <w:trPr>
          <w:tblHeader w:val="true"/>
          <w:cantSplit/>
        </w:trPr>
        <w:tc>
          <w:tcPr>
            <w:tcW w:type="dxa" w:w="1512"/>
            <w:shd w:fill="17324D"/>
            <w:vAlign w:val="center"/>
            <w:tcMar>
              <w:top w:w="90" w:type="dxa"/>
              <w:start w:w="110" w:type="dxa"/>
              <w:bottom w:w="90" w:type="dxa"/>
              <w:end w:w="110" w:type="dxa"/>
            </w:tcMar>
          </w:tcPr>
          <w:p>
            <w:pPr>
              <w:spacing w:after="0" w:before="0"/>
            </w:pPr>
            <w:r/>
            <w:r>
              <w:rPr>
                <w:rFonts w:ascii="Aptos" w:hAnsi="Aptos"/>
                <w:b/>
                <w:i w:val="0"/>
                <w:color w:val="FFFFFF"/>
                <w:sz w:val="17"/>
              </w:rPr>
              <w:t>Aspect</w:t>
            </w:r>
          </w:p>
        </w:tc>
        <w:tc>
          <w:tcPr>
            <w:tcW w:type="dxa" w:w="3888"/>
            <w:shd w:fill="17324D"/>
            <w:vAlign w:val="center"/>
            <w:tcMar>
              <w:top w:w="90" w:type="dxa"/>
              <w:start w:w="110" w:type="dxa"/>
              <w:bottom w:w="90" w:type="dxa"/>
              <w:end w:w="110" w:type="dxa"/>
            </w:tcMar>
          </w:tcPr>
          <w:p>
            <w:pPr>
              <w:spacing w:after="0" w:before="0"/>
            </w:pPr>
            <w:r/>
            <w:r>
              <w:rPr>
                <w:rFonts w:ascii="Aptos" w:hAnsi="Aptos"/>
                <w:b/>
                <w:i w:val="0"/>
                <w:color w:val="FFFFFF"/>
                <w:sz w:val="17"/>
              </w:rPr>
              <w:t>Traditional MCP tool calling</w:t>
            </w:r>
          </w:p>
        </w:tc>
        <w:tc>
          <w:tcPr>
            <w:tcW w:type="dxa" w:w="4248"/>
            <w:shd w:fill="17324D"/>
            <w:vAlign w:val="center"/>
            <w:tcMar>
              <w:top w:w="90" w:type="dxa"/>
              <w:start w:w="110" w:type="dxa"/>
              <w:bottom w:w="90" w:type="dxa"/>
              <w:end w:w="110" w:type="dxa"/>
            </w:tcMar>
          </w:tcPr>
          <w:p>
            <w:pPr>
              <w:spacing w:after="0" w:before="0"/>
            </w:pPr>
            <w:r/>
            <w:r>
              <w:rPr>
                <w:rFonts w:ascii="Aptos" w:hAnsi="Aptos"/>
                <w:b/>
                <w:i w:val="0"/>
                <w:color w:val="FFFFFF"/>
                <w:sz w:val="17"/>
              </w:rPr>
              <w:t>Code Mode</w:t>
            </w:r>
          </w:p>
        </w:tc>
      </w:tr>
      <w:tr>
        <w:trPr>
          <w:cantSplit/>
        </w:trPr>
        <w:tc>
          <w:tcPr>
            <w:tcW w:type="dxa" w:w="1512"/>
            <w:vAlign w:val="center"/>
            <w:tcMar>
              <w:top w:w="90" w:type="dxa"/>
              <w:start w:w="110" w:type="dxa"/>
              <w:bottom w:w="90" w:type="dxa"/>
              <w:end w:w="110" w:type="dxa"/>
            </w:tcMar>
          </w:tcPr>
          <w:p>
            <w:pPr>
              <w:spacing w:after="0" w:before="0"/>
            </w:pPr>
            <w:r/>
            <w:r>
              <w:rPr>
                <w:rFonts w:ascii="Aptos" w:hAnsi="Aptos"/>
                <w:b w:val="0"/>
                <w:i w:val="0"/>
                <w:color w:val="263746"/>
                <w:sz w:val="17"/>
              </w:rPr>
              <w:t>Model interface</w:t>
            </w:r>
          </w:p>
        </w:tc>
        <w:tc>
          <w:tcPr>
            <w:tcW w:type="dxa" w:w="3888"/>
            <w:vAlign w:val="center"/>
            <w:tcMar>
              <w:top w:w="90" w:type="dxa"/>
              <w:start w:w="110" w:type="dxa"/>
              <w:bottom w:w="90" w:type="dxa"/>
              <w:end w:w="110" w:type="dxa"/>
            </w:tcMar>
          </w:tcPr>
          <w:p>
            <w:pPr>
              <w:spacing w:after="0" w:before="0"/>
            </w:pPr>
            <w:r/>
            <w:r>
              <w:rPr>
                <w:rFonts w:ascii="Aptos" w:hAnsi="Aptos"/>
                <w:b w:val="0"/>
                <w:i w:val="0"/>
                <w:color w:val="263746"/>
                <w:sz w:val="17"/>
              </w:rPr>
              <w:t>Model selects among discovered tools.</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Model writes code against a typed API, typically using one code-execution capability.</w:t>
            </w:r>
          </w:p>
        </w:tc>
      </w:tr>
      <w:tr>
        <w:trPr>
          <w:cantSplit/>
        </w:trPr>
        <w:tc>
          <w:tcPr>
            <w:tcW w:type="dxa" w:w="1512"/>
            <w:shd w:fill="F7FAFC"/>
            <w:vAlign w:val="center"/>
            <w:tcMar>
              <w:top w:w="90" w:type="dxa"/>
              <w:start w:w="110" w:type="dxa"/>
              <w:bottom w:w="90" w:type="dxa"/>
              <w:end w:w="110" w:type="dxa"/>
            </w:tcMar>
          </w:tcPr>
          <w:p>
            <w:pPr>
              <w:spacing w:after="0" w:before="0"/>
            </w:pPr>
            <w:r/>
            <w:r>
              <w:rPr>
                <w:rFonts w:ascii="Aptos" w:hAnsi="Aptos"/>
                <w:b w:val="0"/>
                <w:i w:val="0"/>
                <w:color w:val="263746"/>
                <w:sz w:val="17"/>
              </w:rPr>
              <w:t>Data shaping</w:t>
            </w:r>
          </w:p>
        </w:tc>
        <w:tc>
          <w:tcPr>
            <w:tcW w:type="dxa" w:w="3888"/>
            <w:shd w:fill="F7FAFC"/>
            <w:vAlign w:val="center"/>
            <w:tcMar>
              <w:top w:w="90" w:type="dxa"/>
              <w:start w:w="110" w:type="dxa"/>
              <w:bottom w:w="90" w:type="dxa"/>
              <w:end w:w="110" w:type="dxa"/>
            </w:tcMar>
          </w:tcPr>
          <w:p>
            <w:pPr>
              <w:spacing w:after="0" w:before="0"/>
            </w:pPr>
            <w:r/>
            <w:r>
              <w:rPr>
                <w:rFonts w:ascii="Aptos" w:hAnsi="Aptos"/>
                <w:b w:val="0"/>
                <w:i w:val="0"/>
                <w:color w:val="263746"/>
                <w:sz w:val="17"/>
              </w:rPr>
              <w:t>Model can inspect each tool result directly.</w:t>
            </w:r>
          </w:p>
        </w:tc>
        <w:tc>
          <w:tcPr>
            <w:tcW w:type="dxa" w:w="4248"/>
            <w:shd w:fill="F7FAFC"/>
            <w:vAlign w:val="center"/>
            <w:tcMar>
              <w:top w:w="90" w:type="dxa"/>
              <w:start w:w="110" w:type="dxa"/>
              <w:bottom w:w="90" w:type="dxa"/>
              <w:end w:w="110" w:type="dxa"/>
            </w:tcMar>
          </w:tcPr>
          <w:p>
            <w:pPr>
              <w:spacing w:after="0" w:before="0"/>
            </w:pPr>
            <w:r/>
            <w:r>
              <w:rPr>
                <w:rFonts w:ascii="Aptos" w:hAnsi="Aptos"/>
                <w:b w:val="0"/>
                <w:i w:val="0"/>
                <w:color w:val="263746"/>
                <w:sz w:val="17"/>
              </w:rPr>
              <w:t>Code can filter, transform, join, or aggregate results before returning output.</w:t>
            </w:r>
          </w:p>
        </w:tc>
      </w:tr>
      <w:tr>
        <w:trPr>
          <w:cantSplit/>
        </w:trPr>
        <w:tc>
          <w:tcPr>
            <w:tcW w:type="dxa" w:w="1512"/>
            <w:vAlign w:val="center"/>
            <w:tcMar>
              <w:top w:w="90" w:type="dxa"/>
              <w:start w:w="110" w:type="dxa"/>
              <w:bottom w:w="90" w:type="dxa"/>
              <w:end w:w="110" w:type="dxa"/>
            </w:tcMar>
          </w:tcPr>
          <w:p>
            <w:pPr>
              <w:spacing w:after="0" w:before="0"/>
            </w:pPr>
            <w:r/>
            <w:r>
              <w:rPr>
                <w:rFonts w:ascii="Aptos" w:hAnsi="Aptos"/>
                <w:b w:val="0"/>
                <w:i w:val="0"/>
                <w:color w:val="263746"/>
                <w:sz w:val="17"/>
              </w:rPr>
              <w:t>Context</w:t>
            </w:r>
          </w:p>
        </w:tc>
        <w:tc>
          <w:tcPr>
            <w:tcW w:type="dxa" w:w="3888"/>
            <w:vAlign w:val="center"/>
            <w:tcMar>
              <w:top w:w="90" w:type="dxa"/>
              <w:start w:w="110" w:type="dxa"/>
              <w:bottom w:w="90" w:type="dxa"/>
              <w:end w:w="110" w:type="dxa"/>
            </w:tcMar>
          </w:tcPr>
          <w:p>
            <w:pPr>
              <w:spacing w:after="0" w:before="0"/>
            </w:pPr>
            <w:r/>
            <w:r>
              <w:rPr>
                <w:rFonts w:ascii="Aptos" w:hAnsi="Aptos"/>
                <w:b w:val="0"/>
                <w:i w:val="0"/>
                <w:color w:val="263746"/>
                <w:sz w:val="17"/>
              </w:rPr>
              <w:t>Tool definitions and returned rows may add to model context.</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Intermediate rows can stay in the sandbox; only script output needs to return to the agent/model.</w:t>
            </w:r>
          </w:p>
        </w:tc>
      </w:tr>
      <w:tr>
        <w:trPr>
          <w:cantSplit/>
        </w:trPr>
        <w:tc>
          <w:tcPr>
            <w:tcW w:type="dxa" w:w="1512"/>
            <w:shd w:fill="F7FAFC"/>
            <w:vAlign w:val="center"/>
            <w:tcMar>
              <w:top w:w="90" w:type="dxa"/>
              <w:start w:w="110" w:type="dxa"/>
              <w:bottom w:w="90" w:type="dxa"/>
              <w:end w:w="110" w:type="dxa"/>
            </w:tcMar>
          </w:tcPr>
          <w:p>
            <w:pPr>
              <w:spacing w:after="0" w:before="0"/>
            </w:pPr>
            <w:r/>
            <w:r>
              <w:rPr>
                <w:rFonts w:ascii="Aptos" w:hAnsi="Aptos"/>
                <w:b w:val="0"/>
                <w:i w:val="0"/>
                <w:color w:val="263746"/>
                <w:sz w:val="17"/>
              </w:rPr>
              <w:t>Multi-step work</w:t>
            </w:r>
          </w:p>
        </w:tc>
        <w:tc>
          <w:tcPr>
            <w:tcW w:type="dxa" w:w="3888"/>
            <w:shd w:fill="F7FAFC"/>
            <w:vAlign w:val="center"/>
            <w:tcMar>
              <w:top w:w="90" w:type="dxa"/>
              <w:start w:w="110" w:type="dxa"/>
              <w:bottom w:w="90" w:type="dxa"/>
              <w:end w:w="110" w:type="dxa"/>
            </w:tcMar>
          </w:tcPr>
          <w:p>
            <w:pPr>
              <w:spacing w:after="0" w:before="0"/>
            </w:pPr>
            <w:r/>
            <w:r>
              <w:rPr>
                <w:rFonts w:ascii="Aptos" w:hAnsi="Aptos"/>
                <w:b w:val="0"/>
                <w:i w:val="0"/>
                <w:color w:val="263746"/>
                <w:sz w:val="17"/>
              </w:rPr>
              <w:t>May require repeated model/tool round trips.</w:t>
            </w:r>
          </w:p>
        </w:tc>
        <w:tc>
          <w:tcPr>
            <w:tcW w:type="dxa" w:w="4248"/>
            <w:shd w:fill="F7FAFC"/>
            <w:vAlign w:val="center"/>
            <w:tcMar>
              <w:top w:w="90" w:type="dxa"/>
              <w:start w:w="110" w:type="dxa"/>
              <w:bottom w:w="90" w:type="dxa"/>
              <w:end w:w="110" w:type="dxa"/>
            </w:tcMar>
          </w:tcPr>
          <w:p>
            <w:pPr>
              <w:spacing w:after="0" w:before="0"/>
            </w:pPr>
            <w:r/>
            <w:r>
              <w:rPr>
                <w:rFonts w:ascii="Aptos" w:hAnsi="Aptos"/>
                <w:b w:val="0"/>
                <w:i w:val="0"/>
                <w:color w:val="263746"/>
                <w:sz w:val="17"/>
              </w:rPr>
              <w:t>Can compose tool operations and local processing in a generated workflow.</w:t>
            </w:r>
          </w:p>
        </w:tc>
      </w:tr>
      <w:tr>
        <w:trPr>
          <w:cantSplit/>
        </w:trPr>
        <w:tc>
          <w:tcPr>
            <w:tcW w:type="dxa" w:w="1512"/>
            <w:vAlign w:val="center"/>
            <w:tcMar>
              <w:top w:w="90" w:type="dxa"/>
              <w:start w:w="110" w:type="dxa"/>
              <w:bottom w:w="90" w:type="dxa"/>
              <w:end w:w="110" w:type="dxa"/>
            </w:tcMar>
          </w:tcPr>
          <w:p>
            <w:pPr>
              <w:spacing w:after="0" w:before="0"/>
            </w:pPr>
            <w:r/>
            <w:r>
              <w:rPr>
                <w:rFonts w:ascii="Aptos" w:hAnsi="Aptos"/>
                <w:b w:val="0"/>
                <w:i w:val="0"/>
                <w:color w:val="263746"/>
                <w:sz w:val="17"/>
              </w:rPr>
              <w:t>Security</w:t>
            </w:r>
          </w:p>
        </w:tc>
        <w:tc>
          <w:tcPr>
            <w:tcW w:type="dxa" w:w="3888"/>
            <w:vAlign w:val="center"/>
            <w:tcMar>
              <w:top w:w="90" w:type="dxa"/>
              <w:start w:w="110" w:type="dxa"/>
              <w:bottom w:w="90" w:type="dxa"/>
              <w:end w:w="110" w:type="dxa"/>
            </w:tcMar>
          </w:tcPr>
          <w:p>
            <w:pPr>
              <w:spacing w:after="0" w:before="0"/>
            </w:pPr>
            <w:r/>
            <w:r>
              <w:rPr>
                <w:rFonts w:ascii="Aptos" w:hAnsi="Aptos"/>
                <w:b w:val="0"/>
                <w:i w:val="0"/>
                <w:color w:val="263746"/>
                <w:sz w:val="17"/>
              </w:rPr>
              <w:t>Server enforces permissions and validates tool inputs.</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Scoped bindings can limit sandbox access; host retains authorization and credentials.</w:t>
            </w:r>
          </w:p>
        </w:tc>
      </w:tr>
      <w:tr>
        <w:trPr>
          <w:cantSplit/>
        </w:trPr>
        <w:tc>
          <w:tcPr>
            <w:tcW w:type="dxa" w:w="1512"/>
            <w:shd w:fill="F7FAFC"/>
            <w:vAlign w:val="center"/>
            <w:tcMar>
              <w:top w:w="90" w:type="dxa"/>
              <w:start w:w="110" w:type="dxa"/>
              <w:bottom w:w="90" w:type="dxa"/>
              <w:end w:w="110" w:type="dxa"/>
            </w:tcMar>
          </w:tcPr>
          <w:p>
            <w:pPr>
              <w:spacing w:after="0" w:before="0"/>
            </w:pPr>
            <w:r/>
            <w:r>
              <w:rPr>
                <w:rFonts w:ascii="Aptos" w:hAnsi="Aptos"/>
                <w:b w:val="0"/>
                <w:i w:val="0"/>
                <w:color w:val="263746"/>
                <w:sz w:val="17"/>
              </w:rPr>
              <w:t>Trade-off</w:t>
            </w:r>
          </w:p>
        </w:tc>
        <w:tc>
          <w:tcPr>
            <w:tcW w:type="dxa" w:w="3888"/>
            <w:shd w:fill="F7FAFC"/>
            <w:vAlign w:val="center"/>
            <w:tcMar>
              <w:top w:w="90" w:type="dxa"/>
              <w:start w:w="110" w:type="dxa"/>
              <w:bottom w:w="90" w:type="dxa"/>
              <w:end w:w="110" w:type="dxa"/>
            </w:tcMar>
          </w:tcPr>
          <w:p>
            <w:pPr>
              <w:spacing w:after="0" w:before="0"/>
            </w:pPr>
            <w:r/>
            <w:r>
              <w:rPr>
                <w:rFonts w:ascii="Aptos" w:hAnsi="Aptos"/>
                <w:b w:val="0"/>
                <w:i w:val="0"/>
                <w:color w:val="263746"/>
                <w:sz w:val="17"/>
              </w:rPr>
              <w:t>Simple to understand and debug for small interactions.</w:t>
            </w:r>
          </w:p>
        </w:tc>
        <w:tc>
          <w:tcPr>
            <w:tcW w:type="dxa" w:w="4248"/>
            <w:shd w:fill="F7FAFC"/>
            <w:vAlign w:val="center"/>
            <w:tcMar>
              <w:top w:w="90" w:type="dxa"/>
              <w:start w:w="110" w:type="dxa"/>
              <w:bottom w:w="90" w:type="dxa"/>
              <w:end w:w="110" w:type="dxa"/>
            </w:tcMar>
          </w:tcPr>
          <w:p>
            <w:pPr>
              <w:spacing w:after="0" w:before="0"/>
            </w:pPr>
            <w:r/>
            <w:r>
              <w:rPr>
                <w:rFonts w:ascii="Aptos" w:hAnsi="Aptos"/>
                <w:b w:val="0"/>
                <w:i w:val="0"/>
                <w:color w:val="263746"/>
                <w:sz w:val="17"/>
              </w:rPr>
              <w:t>Requires code validation, sandboxing, RPC, limits, and error handling.</w:t>
            </w:r>
          </w:p>
        </w:tc>
      </w:tr>
      <w:tr>
        <w:trPr>
          <w:cantSplit/>
        </w:trPr>
        <w:tc>
          <w:tcPr>
            <w:tcW w:type="dxa" w:w="1512"/>
            <w:vAlign w:val="center"/>
            <w:tcMar>
              <w:top w:w="90" w:type="dxa"/>
              <w:start w:w="110" w:type="dxa"/>
              <w:bottom w:w="90" w:type="dxa"/>
              <w:end w:w="110" w:type="dxa"/>
            </w:tcMar>
          </w:tcPr>
          <w:p>
            <w:pPr>
              <w:spacing w:after="0" w:before="0"/>
            </w:pPr>
            <w:r/>
            <w:r>
              <w:rPr>
                <w:rFonts w:ascii="Aptos" w:hAnsi="Aptos"/>
                <w:b w:val="0"/>
                <w:i w:val="0"/>
                <w:color w:val="263746"/>
                <w:sz w:val="17"/>
              </w:rPr>
              <w:t>Good fit</w:t>
            </w:r>
          </w:p>
        </w:tc>
        <w:tc>
          <w:tcPr>
            <w:tcW w:type="dxa" w:w="3888"/>
            <w:vAlign w:val="center"/>
            <w:tcMar>
              <w:top w:w="90" w:type="dxa"/>
              <w:start w:w="110" w:type="dxa"/>
              <w:bottom w:w="90" w:type="dxa"/>
              <w:end w:w="110" w:type="dxa"/>
            </w:tcMar>
          </w:tcPr>
          <w:p>
            <w:pPr>
              <w:spacing w:after="0" w:before="0"/>
            </w:pPr>
            <w:r/>
            <w:r>
              <w:rPr>
                <w:rFonts w:ascii="Aptos" w:hAnsi="Aptos"/>
                <w:b w:val="0"/>
                <w:i w:val="0"/>
                <w:color w:val="263746"/>
                <w:sz w:val="17"/>
              </w:rPr>
              <w:t>Small results or when the model should reason over raw records.</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Large results, aggregation, and multi-tool workflows that need concise output.</w:t>
            </w:r>
          </w:p>
        </w:tc>
      </w:tr>
    </w:tbl>
    <w:p>
      <w:pPr>
        <w:spacing w:after="20"/>
      </w:pPr>
    </w:p>
    <w:p>
      <w:pPr>
        <w:keepLines w:val="0"/>
        <w:spacing w:before="0" w:after="100" w:line="259" w:lineRule="auto"/>
      </w:pPr>
      <w:r>
        <w:rPr>
          <w:rFonts w:ascii="Aptos" w:hAnsi="Aptos"/>
          <w:b w:val="0"/>
          <w:i w:val="0"/>
          <w:color w:val="64748B"/>
          <w:sz w:val="18"/>
        </w:rPr>
        <w:t>Cloudflare's article highlights composing operations in code, processing intermediate data in the sandbox, lightweight disposable isolates, and scoped bindings that avoid giving generated code general network access or API keys. These are architectural advantages; actual token, latency, or cost outcomes depend on the workload.</w:t>
      </w:r>
    </w:p>
    <w:p>
      <w:pPr>
        <w:pStyle w:val="Heading1"/>
        <w:keepNext/>
        <w:spacing w:before="240" w:after="100"/>
      </w:pPr>
      <w:r>
        <w:rPr>
          <w:rFonts w:ascii="Aptos" w:hAnsi="Aptos"/>
          <w:b/>
          <w:i w:val="0"/>
          <w:color w:val="2878C8"/>
          <w:sz w:val="30"/>
        </w:rPr>
        <w:t>5. Hands-on description</w:t>
      </w:r>
    </w:p>
    <w:p>
      <w:pPr>
        <w:keepLines w:val="0"/>
        <w:spacing w:before="0" w:after="100" w:line="259" w:lineRule="auto"/>
      </w:pPr>
      <w:r>
        <w:rPr>
          <w:rFonts w:ascii="Aptos" w:hAnsi="Aptos"/>
          <w:b w:val="0"/>
          <w:i w:val="0"/>
          <w:color w:val="263746"/>
          <w:sz w:val="20"/>
        </w:rPr>
        <w:t>The hands-on app asks Groq the same natural-language question through both paths and displays the answers side by side. The database contains three demo tables:</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2088"/>
        <w:gridCol w:w="7560"/>
      </w:tblGrid>
      <w:tr>
        <w:trPr>
          <w:tblHeader w:val="true"/>
          <w:cantSplit/>
        </w:trPr>
        <w:tc>
          <w:tcPr>
            <w:tcW w:type="dxa" w:w="2088"/>
            <w:shd w:fill="17324D"/>
            <w:vAlign w:val="center"/>
            <w:tcMar>
              <w:top w:w="90" w:type="dxa"/>
              <w:start w:w="110" w:type="dxa"/>
              <w:bottom w:w="90" w:type="dxa"/>
              <w:end w:w="110" w:type="dxa"/>
            </w:tcMar>
          </w:tcPr>
          <w:p>
            <w:pPr>
              <w:spacing w:after="0" w:before="0"/>
            </w:pPr>
            <w:r/>
            <w:r>
              <w:rPr>
                <w:rFonts w:ascii="Aptos" w:hAnsi="Aptos"/>
                <w:b/>
                <w:i w:val="0"/>
                <w:color w:val="FFFFFF"/>
                <w:sz w:val="17"/>
              </w:rPr>
              <w:t>Table</w:t>
            </w:r>
          </w:p>
        </w:tc>
        <w:tc>
          <w:tcPr>
            <w:tcW w:type="dxa" w:w="7560"/>
            <w:shd w:fill="17324D"/>
            <w:vAlign w:val="center"/>
            <w:tcMar>
              <w:top w:w="90" w:type="dxa"/>
              <w:start w:w="110" w:type="dxa"/>
              <w:bottom w:w="90" w:type="dxa"/>
              <w:end w:w="110" w:type="dxa"/>
            </w:tcMar>
          </w:tcPr>
          <w:p>
            <w:pPr>
              <w:spacing w:after="0" w:before="0"/>
            </w:pPr>
            <w:r/>
            <w:r>
              <w:rPr>
                <w:rFonts w:ascii="Aptos" w:hAnsi="Aptos"/>
                <w:b/>
                <w:i w:val="0"/>
                <w:color w:val="FFFFFF"/>
                <w:sz w:val="17"/>
              </w:rPr>
              <w:t>Contents</w:t>
            </w:r>
          </w:p>
        </w:tc>
      </w:tr>
      <w:tr>
        <w:trPr>
          <w:cantSplit/>
        </w:trPr>
        <w:tc>
          <w:tcPr>
            <w:tcW w:type="dxa" w:w="2088"/>
            <w:vAlign w:val="center"/>
            <w:tcMar>
              <w:top w:w="90" w:type="dxa"/>
              <w:start w:w="110" w:type="dxa"/>
              <w:bottom w:w="90" w:type="dxa"/>
              <w:end w:w="110" w:type="dxa"/>
            </w:tcMar>
          </w:tcPr>
          <w:p>
            <w:pPr>
              <w:spacing w:after="0" w:before="0"/>
            </w:pPr>
            <w:r/>
            <w:r>
              <w:rPr>
                <w:rFonts w:ascii="Aptos" w:hAnsi="Aptos"/>
                <w:b w:val="0"/>
                <w:i w:val="0"/>
                <w:color w:val="263746"/>
                <w:sz w:val="18"/>
              </w:rPr>
              <w:t>tickets</w:t>
            </w:r>
          </w:p>
        </w:tc>
        <w:tc>
          <w:tcPr>
            <w:tcW w:type="dxa" w:w="7560"/>
            <w:vAlign w:val="center"/>
            <w:tcMar>
              <w:top w:w="90" w:type="dxa"/>
              <w:start w:w="110" w:type="dxa"/>
              <w:bottom w:w="90" w:type="dxa"/>
              <w:end w:w="110" w:type="dxa"/>
            </w:tcMar>
          </w:tcPr>
          <w:p>
            <w:pPr>
              <w:spacing w:after="0" w:before="0"/>
            </w:pPr>
            <w:r/>
            <w:r>
              <w:rPr>
                <w:rFonts w:ascii="Aptos" w:hAnsi="Aptos"/>
                <w:b w:val="0"/>
                <w:i w:val="0"/>
                <w:color w:val="263746"/>
                <w:sz w:val="18"/>
              </w:rPr>
              <w:t>Ticket ID, customer, topic, priority, status, sentiment, message, and created_at.</w:t>
            </w:r>
          </w:p>
        </w:tc>
      </w:tr>
      <w:tr>
        <w:trPr>
          <w:cantSplit/>
        </w:trPr>
        <w:tc>
          <w:tcPr>
            <w:tcW w:type="dxa" w:w="2088"/>
            <w:shd w:fill="F7FAFC"/>
            <w:vAlign w:val="center"/>
            <w:tcMar>
              <w:top w:w="90" w:type="dxa"/>
              <w:start w:w="110" w:type="dxa"/>
              <w:bottom w:w="90" w:type="dxa"/>
              <w:end w:w="110" w:type="dxa"/>
            </w:tcMar>
          </w:tcPr>
          <w:p>
            <w:pPr>
              <w:spacing w:after="0" w:before="0"/>
            </w:pPr>
            <w:r/>
            <w:r>
              <w:rPr>
                <w:rFonts w:ascii="Aptos" w:hAnsi="Aptos"/>
                <w:b w:val="0"/>
                <w:i w:val="0"/>
                <w:color w:val="263746"/>
                <w:sz w:val="18"/>
              </w:rPr>
              <w:t>customers</w:t>
            </w:r>
          </w:p>
        </w:tc>
        <w:tc>
          <w:tcPr>
            <w:tcW w:type="dxa" w:w="7560"/>
            <w:shd w:fill="F7FAFC"/>
            <w:vAlign w:val="center"/>
            <w:tcMar>
              <w:top w:w="90" w:type="dxa"/>
              <w:start w:w="110" w:type="dxa"/>
              <w:bottom w:w="90" w:type="dxa"/>
              <w:end w:w="110" w:type="dxa"/>
            </w:tcMar>
          </w:tcPr>
          <w:p>
            <w:pPr>
              <w:spacing w:after="0" w:before="0"/>
            </w:pPr>
            <w:r/>
            <w:r>
              <w:rPr>
                <w:rFonts w:ascii="Aptos" w:hAnsi="Aptos"/>
                <w:b w:val="0"/>
                <w:i w:val="0"/>
                <w:color w:val="263746"/>
                <w:sz w:val="18"/>
              </w:rPr>
              <w:t>Customer name and customer_tier.</w:t>
            </w:r>
          </w:p>
        </w:tc>
      </w:tr>
      <w:tr>
        <w:trPr>
          <w:cantSplit/>
        </w:trPr>
        <w:tc>
          <w:tcPr>
            <w:tcW w:type="dxa" w:w="2088"/>
            <w:vAlign w:val="center"/>
            <w:tcMar>
              <w:top w:w="90" w:type="dxa"/>
              <w:start w:w="110" w:type="dxa"/>
              <w:bottom w:w="90" w:type="dxa"/>
              <w:end w:w="110" w:type="dxa"/>
            </w:tcMar>
          </w:tcPr>
          <w:p>
            <w:pPr>
              <w:spacing w:after="0" w:before="0"/>
            </w:pPr>
            <w:r/>
            <w:r>
              <w:rPr>
                <w:rFonts w:ascii="Aptos" w:hAnsi="Aptos"/>
                <w:b w:val="0"/>
                <w:i w:val="0"/>
                <w:color w:val="263746"/>
                <w:sz w:val="18"/>
              </w:rPr>
              <w:t>sla_policies</w:t>
            </w:r>
          </w:p>
        </w:tc>
        <w:tc>
          <w:tcPr>
            <w:tcW w:type="dxa" w:w="7560"/>
            <w:vAlign w:val="center"/>
            <w:tcMar>
              <w:top w:w="90" w:type="dxa"/>
              <w:start w:w="110" w:type="dxa"/>
              <w:bottom w:w="90" w:type="dxa"/>
              <w:end w:w="110" w:type="dxa"/>
            </w:tcMar>
          </w:tcPr>
          <w:p>
            <w:pPr>
              <w:spacing w:after="0" w:before="0"/>
            </w:pPr>
            <w:r/>
            <w:r>
              <w:rPr>
                <w:rFonts w:ascii="Aptos" w:hAnsi="Aptos"/>
                <w:b w:val="0"/>
                <w:i w:val="0"/>
                <w:color w:val="263746"/>
                <w:sz w:val="18"/>
              </w:rPr>
              <w:t>Illustrative response_hours by customer tier and priority.</w:t>
            </w:r>
          </w:p>
        </w:tc>
      </w:tr>
    </w:tbl>
    <w:p>
      <w:pPr>
        <w:spacing w:after="20"/>
      </w:pPr>
    </w:p>
    <w:p>
      <w:pPr>
        <w:keepLines w:val="0"/>
        <w:spacing w:before="0" w:after="100" w:line="259" w:lineRule="auto"/>
      </w:pPr>
      <w:r>
        <w:rPr>
          <w:rFonts w:ascii="Aptos" w:hAnsi="Aptos"/>
          <w:b w:val="0"/>
          <w:i w:val="0"/>
          <w:color w:val="263746"/>
          <w:sz w:val="20"/>
        </w:rPr>
        <w:t>The initializer seeds named sample tickets, illustrative customer tiers and SLA targets, and 500 deterministic synthetic SYN-* tickets for aggregation examples. No real customer data is used for the synthetic rows. Customer tiers and SLA targets are illustrative, not contract terms. Seeding is idempotent: rows with existing IDs are left unchanged.</w:t>
      </w:r>
    </w:p>
    <w:p>
      <w:pPr>
        <w:pStyle w:val="Heading2"/>
        <w:keepNext/>
        <w:spacing w:before="140" w:after="60"/>
      </w:pPr>
      <w:r>
        <w:rPr>
          <w:rFonts w:ascii="Aptos" w:hAnsi="Aptos"/>
          <w:b/>
          <w:i w:val="0"/>
          <w:color w:val="17324D"/>
          <w:sz w:val="22"/>
        </w:rPr>
        <w:t>Example prompts</w:t>
      </w:r>
    </w:p>
    <w:p>
      <w:pPr>
        <w:pStyle w:val="ListBullet"/>
        <w:spacing w:after="44" w:line="250" w:lineRule="auto"/>
      </w:pPr>
      <w:r>
        <w:rPr>
          <w:rFonts w:ascii="Aptos" w:hAnsi="Aptos"/>
          <w:b w:val="0"/>
          <w:i w:val="0"/>
          <w:color w:val="263746"/>
          <w:sz w:val="19"/>
        </w:rPr>
        <w:t>Show the 10 newest open or pending data-loss tickets with customer tier and priority.</w:t>
      </w:r>
    </w:p>
    <w:p>
      <w:pPr>
        <w:pStyle w:val="ListBullet"/>
        <w:spacing w:after="44" w:line="250" w:lineRule="auto"/>
      </w:pPr>
      <w:r>
        <w:rPr>
          <w:rFonts w:ascii="Aptos" w:hAnsi="Aptos"/>
          <w:b w:val="0"/>
          <w:i w:val="0"/>
          <w:color w:val="263746"/>
          <w:sz w:val="19"/>
        </w:rPr>
        <w:t>Count unresolved tickets by customer tier and priority. Return only the counts.</w:t>
      </w:r>
    </w:p>
    <w:p>
      <w:pPr>
        <w:pStyle w:val="ListBullet"/>
        <w:spacing w:after="44" w:line="250" w:lineRule="auto"/>
      </w:pPr>
      <w:r>
        <w:rPr>
          <w:rFonts w:ascii="Aptos" w:hAnsi="Aptos"/>
          <w:b w:val="0"/>
          <w:i w:val="0"/>
          <w:color w:val="263746"/>
          <w:sz w:val="19"/>
        </w:rPr>
        <w:t>Find the three customers with the most unresolved urgent tickets. Return only customer names and counts.</w:t>
      </w:r>
    </w:p>
    <w:p>
      <w:pPr>
        <w:pStyle w:val="ListBullet"/>
        <w:spacing w:after="44" w:line="250" w:lineRule="auto"/>
      </w:pPr>
      <w:r>
        <w:rPr>
          <w:rFonts w:ascii="Aptos" w:hAnsi="Aptos"/>
          <w:b w:val="0"/>
          <w:i w:val="0"/>
          <w:color w:val="263746"/>
          <w:sz w:val="19"/>
        </w:rPr>
        <w:t>Show unresolved enterprise tickets that have exceeded their response SLA.</w:t>
      </w:r>
    </w:p>
    <w:p>
      <w:pPr>
        <w:keepLines w:val="0"/>
        <w:spacing w:before="0" w:after="100" w:line="259" w:lineRule="auto"/>
      </w:pPr>
      <w:r>
        <w:rPr>
          <w:rFonts w:ascii="Aptos" w:hAnsi="Aptos"/>
          <w:b w:val="0"/>
          <w:i w:val="0"/>
          <w:color w:val="64748B"/>
          <w:sz w:val="18"/>
        </w:rPr>
        <w:t>Aggregation and ranking prompts demonstrate local Code Mode processing better than small ticket-list requests. When only a few rows need inspection, Code Mode's code-generation overhead may cancel out the context reduction.</w:t>
      </w:r>
    </w:p>
    <w:p>
      <w:pPr>
        <w:pStyle w:val="Heading1"/>
        <w:keepNext/>
        <w:spacing w:before="240" w:after="100"/>
      </w:pPr>
      <w:r>
        <w:rPr>
          <w:rFonts w:ascii="Aptos" w:hAnsi="Aptos"/>
          <w:b/>
          <w:i w:val="0"/>
          <w:color w:val="2878C8"/>
          <w:sz w:val="30"/>
        </w:rPr>
        <w:t>6. Project folder structure</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D:\000_MCPvsCodeMode\</w:t>
              <w:br/>
              <w:t>├── streamlit_app.py          # Browser UI and token/result comparison</w:t>
              <w:br/>
              <w:t>├── live_demo.py              # Live Groq + MCP comparison and CLI</w:t>
              <w:br/>
              <w:t>├── mcp_server.py             # FastMCP server and tool definitions</w:t>
              <w:br/>
              <w:t>├── local_code_sandbox.py     # QuickJS child process and restricted RPC</w:t>
              <w:br/>
              <w:t>├── ticket_database.py        # MySQL access, sample data, SQL validation</w:t>
              <w:br/>
              <w:t>├── init_db.py                # Create tables and seed demo data</w:t>
              <w:br/>
              <w:t>├── demo.py                   # Dependency-free illustrative simulation</w:t>
              <w:br/>
              <w:t>├── requirements.txt          # Python package requirements</w:t>
              <w:br/>
              <w:t>├── .env.example              # Template for local configuration</w:t>
              <w:br/>
              <w:t>├── .env                      # Local credentials; keep private</w:t>
              <w:br/>
              <w:t>├── README.md                 # Quick start</w:t>
              <w:br/>
              <w:t>└── PROJECT_DOCUMENTATION.md  # Markdown architecture and setup guide</w:t>
            </w:r>
          </w:p>
        </w:tc>
      </w:tr>
    </w:tbl>
    <w:p>
      <w:pPr>
        <w:spacing w:after="20"/>
      </w:pPr>
    </w:p>
    <w:p>
      <w:pPr>
        <w:keepLines w:val="0"/>
        <w:spacing w:before="0" w:after="100" w:line="259" w:lineRule="auto"/>
      </w:pPr>
      <w:r>
        <w:rPr>
          <w:rFonts w:ascii="Aptos" w:hAnsi="Aptos"/>
          <w:b w:val="0"/>
          <w:i w:val="0"/>
          <w:color w:val="64748B"/>
          <w:sz w:val="18"/>
        </w:rPr>
        <w:t>The .venv/ and __pycache__/ directories are local runtime artifacts and are excluded by .gitignore. The PNG infographics in the project root are optional presentation files and are not needed to run the application.</w:t>
      </w:r>
    </w:p>
    <w:p>
      <w:pPr>
        <w:pStyle w:val="Heading1"/>
        <w:keepNext/>
        <w:spacing w:before="240" w:after="100"/>
      </w:pPr>
      <w:r>
        <w:rPr>
          <w:rFonts w:ascii="Aptos" w:hAnsi="Aptos"/>
          <w:b/>
          <w:i w:val="0"/>
          <w:color w:val="2878C8"/>
          <w:sz w:val="30"/>
        </w:rPr>
        <w:t>7. Code snippets and setup</w:t>
      </w:r>
    </w:p>
    <w:p>
      <w:pPr>
        <w:pStyle w:val="Heading2"/>
        <w:keepNext/>
        <w:spacing w:before="140" w:after="60"/>
      </w:pPr>
      <w:r>
        <w:rPr>
          <w:rFonts w:ascii="Aptos" w:hAnsi="Aptos"/>
          <w:b/>
          <w:i w:val="0"/>
          <w:color w:val="17324D"/>
          <w:sz w:val="22"/>
        </w:rPr>
        <w:t>MCP server tool surface</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@mcp.tool()</w:t>
              <w:br/>
              <w:t>def get_ticket_schema() -&gt; str:</w:t>
              <w:br/>
              <w:t xml:space="preserve">    return TICKET_SCHEMA</w:t>
              <w:br/>
              <w:br/>
              <w:t>@mcp.tool()</w:t>
              <w:br/>
              <w:t>def run_ticket_query(sql: str) -&gt; str:</w:t>
              <w:br/>
              <w:t xml:space="preserve">    return json.dumps(execute_ticket_query(sql), ensure_ascii=False)</w:t>
            </w:r>
          </w:p>
        </w:tc>
      </w:tr>
    </w:tbl>
    <w:p>
      <w:pPr>
        <w:spacing w:after="20"/>
      </w:pPr>
    </w:p>
    <w:p>
      <w:pPr>
        <w:keepLines w:val="0"/>
        <w:spacing w:before="0" w:after="100" w:line="259" w:lineRule="auto"/>
      </w:pPr>
      <w:r>
        <w:rPr>
          <w:rFonts w:ascii="Aptos" w:hAnsi="Aptos"/>
          <w:b w:val="0"/>
          <w:i w:val="0"/>
          <w:color w:val="263746"/>
          <w:sz w:val="20"/>
        </w:rPr>
        <w:t>The database layer parses and validates SQL before execution. It permits one read-only SELECT against tickets, customers, and sla_policies, with a constrained set of joins, columns, and functions. It applies a 1,000-row maximum and executes inside a read-only transaction.</w:t>
      </w:r>
    </w:p>
    <w:p>
      <w:pPr>
        <w:pStyle w:val="Heading2"/>
        <w:keepNext/>
        <w:spacing w:before="140" w:after="60"/>
      </w:pPr>
      <w:r>
        <w:rPr>
          <w:rFonts w:ascii="Aptos" w:hAnsi="Aptos"/>
          <w:b/>
          <w:i w:val="0"/>
          <w:color w:val="17324D"/>
          <w:sz w:val="22"/>
        </w:rPr>
        <w:t>Illustrative Code Mode workflow</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(function () {</w:t>
              <w:br/>
              <w:t xml:space="preserve">  var raw = mcp.call('run_ticket_query', {</w:t>
              <w:br/>
              <w:t xml:space="preserve">    sql: "SELECT ticket_id, customer, priority FROM tickets " +</w:t>
              <w:br/>
              <w:t xml:space="preserve">         "WHERE status IN ('open','pending') AND priority = 'urgent'"</w:t>
              <w:br/>
              <w:t xml:space="preserve">  });</w:t>
              <w:br/>
              <w:t xml:space="preserve">  var rows = JSON.parse(raw);</w:t>
              <w:br/>
              <w:t xml:space="preserve">  var counts = {};</w:t>
              <w:br/>
              <w:br/>
              <w:t xml:space="preserve">  for (var i = 0; i &lt; rows.length; i++) {</w:t>
              <w:br/>
              <w:t xml:space="preserve">    var customer = rows[i].customer;</w:t>
              <w:br/>
              <w:t xml:space="preserve">    counts[customer] = (counts[customer] || 0) + 1;</w:t>
              <w:br/>
              <w:t xml:space="preserve">  }</w:t>
              <w:br/>
              <w:br/>
              <w:t xml:space="preserve">  var ranked = [];</w:t>
              <w:br/>
              <w:t xml:space="preserve">  for (var name in counts) {</w:t>
              <w:br/>
              <w:t xml:space="preserve">    if (Object.prototype.hasOwnProperty.call(counts, name)) {</w:t>
              <w:br/>
              <w:t xml:space="preserve">      ranked.push({ customer: name, urgent_count: counts[name] });</w:t>
              <w:br/>
              <w:t xml:space="preserve">    }</w:t>
              <w:br/>
              <w:t xml:space="preserve">  }</w:t>
              <w:br/>
              <w:t xml:space="preserve">  ranked.sort(function (a, b) { return b.urgent_count - a.urgent_count; });</w:t>
              <w:br/>
              <w:t xml:space="preserve">  return ranked.slice(0, 3);</w:t>
              <w:br/>
              <w:t>})()</w:t>
            </w:r>
          </w:p>
        </w:tc>
      </w:tr>
    </w:tbl>
    <w:p>
      <w:pPr>
        <w:spacing w:after="20"/>
      </w:pPr>
    </w:p>
    <w:p>
      <w:pPr>
        <w:keepLines w:val="0"/>
        <w:spacing w:before="0" w:after="100" w:line="259" w:lineRule="auto"/>
      </w:pPr>
      <w:r>
        <w:rPr>
          <w:rFonts w:ascii="Aptos" w:hAnsi="Aptos"/>
          <w:b w:val="0"/>
          <w:i w:val="0"/>
          <w:color w:val="263746"/>
          <w:sz w:val="20"/>
        </w:rPr>
        <w:t>This is a teaching example, not a hardcoded workflow used for every prompt. Groq generates the JavaScript and SQL from the user's question and the schema. The app and database enforce which MCP tool, tables, columns, SQL forms, and output sizes are allowed.</w:t>
      </w:r>
    </w:p>
    <w:p>
      <w:pPr>
        <w:pStyle w:val="Heading2"/>
        <w:keepNext/>
        <w:spacing w:before="140" w:after="60"/>
      </w:pPr>
      <w:r>
        <w:rPr>
          <w:rFonts w:ascii="Aptos" w:hAnsi="Aptos"/>
          <w:b/>
          <w:i w:val="0"/>
          <w:color w:val="17324D"/>
          <w:sz w:val="22"/>
        </w:rPr>
        <w:t>Configure and install on Windows</w:t>
      </w:r>
    </w:p>
    <w:p>
      <w:pPr>
        <w:keepLines w:val="0"/>
        <w:spacing w:before="0" w:after="100" w:line="259" w:lineRule="auto"/>
      </w:pPr>
      <w:r>
        <w:rPr>
          <w:rFonts w:ascii="Aptos" w:hAnsi="Aptos"/>
          <w:b w:val="0"/>
          <w:i w:val="0"/>
          <w:color w:val="263746"/>
          <w:sz w:val="20"/>
        </w:rPr>
        <w:t>Copy .env.example to .env only if a .env file does not already exist. Set GROQ_API_KEY and the MySQL settings for your machine. The MySQL user needs permission to create the demo database and tables. Keep .env private and out of commits.</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cd D:\000_MCPvsCodeMode</w:t>
              <w:br/>
              <w:t>python -m venv .venv</w:t>
              <w:br/>
              <w:t>.\.venv\Scripts\python.exe -m pip install --upgrade pip</w:t>
              <w:br/>
              <w:t>.\.venv\Scripts\python.exe -m pip install -r requirements.txt</w:t>
              <w:br/>
              <w:t>if (-not (Test-Path .env)) { Copy-Item .env.example .env }</w:t>
              <w:br/>
              <w:t>.\.venv\Scripts\python.exe init_db.py</w:t>
            </w:r>
          </w:p>
        </w:tc>
      </w:tr>
    </w:tbl>
    <w:p>
      <w:pPr>
        <w:spacing w:after="20"/>
      </w:pP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2376"/>
        <w:gridCol w:w="3024"/>
        <w:gridCol w:w="4248"/>
      </w:tblGrid>
      <w:tr>
        <w:trPr>
          <w:tblHeader w:val="true"/>
          <w:cantSplit/>
        </w:trPr>
        <w:tc>
          <w:tcPr>
            <w:tcW w:type="dxa" w:w="2376"/>
            <w:shd w:fill="17324D"/>
            <w:vAlign w:val="center"/>
            <w:tcMar>
              <w:top w:w="90" w:type="dxa"/>
              <w:start w:w="110" w:type="dxa"/>
              <w:bottom w:w="90" w:type="dxa"/>
              <w:end w:w="110" w:type="dxa"/>
            </w:tcMar>
          </w:tcPr>
          <w:p>
            <w:pPr>
              <w:spacing w:after="0" w:before="0"/>
            </w:pPr>
            <w:r/>
            <w:r>
              <w:rPr>
                <w:rFonts w:ascii="Aptos" w:hAnsi="Aptos"/>
                <w:b/>
                <w:i w:val="0"/>
                <w:color w:val="FFFFFF"/>
                <w:sz w:val="17"/>
              </w:rPr>
              <w:t>Setting</w:t>
            </w:r>
          </w:p>
        </w:tc>
        <w:tc>
          <w:tcPr>
            <w:tcW w:type="dxa" w:w="3024"/>
            <w:shd w:fill="17324D"/>
            <w:vAlign w:val="center"/>
            <w:tcMar>
              <w:top w:w="90" w:type="dxa"/>
              <w:start w:w="110" w:type="dxa"/>
              <w:bottom w:w="90" w:type="dxa"/>
              <w:end w:w="110" w:type="dxa"/>
            </w:tcMar>
          </w:tcPr>
          <w:p>
            <w:pPr>
              <w:spacing w:after="0" w:before="0"/>
            </w:pPr>
            <w:r/>
            <w:r>
              <w:rPr>
                <w:rFonts w:ascii="Aptos" w:hAnsi="Aptos"/>
                <w:b/>
                <w:i w:val="0"/>
                <w:color w:val="FFFFFF"/>
                <w:sz w:val="17"/>
              </w:rPr>
              <w:t>Purpose</w:t>
            </w:r>
          </w:p>
        </w:tc>
        <w:tc>
          <w:tcPr>
            <w:tcW w:type="dxa" w:w="4248"/>
            <w:shd w:fill="17324D"/>
            <w:vAlign w:val="center"/>
            <w:tcMar>
              <w:top w:w="90" w:type="dxa"/>
              <w:start w:w="110" w:type="dxa"/>
              <w:bottom w:w="90" w:type="dxa"/>
              <w:end w:w="110" w:type="dxa"/>
            </w:tcMar>
          </w:tcPr>
          <w:p>
            <w:pPr>
              <w:spacing w:after="0" w:before="0"/>
            </w:pPr>
            <w:r/>
            <w:r>
              <w:rPr>
                <w:rFonts w:ascii="Aptos" w:hAnsi="Aptos"/>
                <w:b/>
                <w:i w:val="0"/>
                <w:color w:val="FFFFFF"/>
                <w:sz w:val="17"/>
              </w:rPr>
              <w:t>Default or requirement</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val="0"/>
                <w:i w:val="0"/>
                <w:color w:val="263746"/>
                <w:sz w:val="17"/>
              </w:rPr>
              <w:t>GROQ_API_KEY</w:t>
            </w:r>
          </w:p>
        </w:tc>
        <w:tc>
          <w:tcPr>
            <w:tcW w:type="dxa" w:w="3024"/>
            <w:vAlign w:val="center"/>
            <w:tcMar>
              <w:top w:w="90" w:type="dxa"/>
              <w:start w:w="110" w:type="dxa"/>
              <w:bottom w:w="90" w:type="dxa"/>
              <w:end w:w="110" w:type="dxa"/>
            </w:tcMar>
          </w:tcPr>
          <w:p>
            <w:pPr>
              <w:spacing w:after="0" w:before="0"/>
            </w:pPr>
            <w:r/>
            <w:r>
              <w:rPr>
                <w:rFonts w:ascii="Aptos" w:hAnsi="Aptos"/>
                <w:b w:val="0"/>
                <w:i w:val="0"/>
                <w:color w:val="263746"/>
                <w:sz w:val="17"/>
              </w:rPr>
              <w:t>Groq API authentication</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Required for live requests</w:t>
            </w:r>
          </w:p>
        </w:tc>
      </w:tr>
      <w:tr>
        <w:trPr>
          <w:cantSplit/>
        </w:trPr>
        <w:tc>
          <w:tcPr>
            <w:tcW w:type="dxa" w:w="2376"/>
            <w:shd w:fill="F7FAFC"/>
            <w:vAlign w:val="center"/>
            <w:tcMar>
              <w:top w:w="90" w:type="dxa"/>
              <w:start w:w="110" w:type="dxa"/>
              <w:bottom w:w="90" w:type="dxa"/>
              <w:end w:w="110" w:type="dxa"/>
            </w:tcMar>
          </w:tcPr>
          <w:p>
            <w:pPr>
              <w:spacing w:after="0" w:before="0"/>
            </w:pPr>
            <w:r/>
            <w:r>
              <w:rPr>
                <w:rFonts w:ascii="Aptos" w:hAnsi="Aptos"/>
                <w:b w:val="0"/>
                <w:i w:val="0"/>
                <w:color w:val="263746"/>
                <w:sz w:val="17"/>
              </w:rPr>
              <w:t>GROQ_MODEL</w:t>
            </w:r>
          </w:p>
        </w:tc>
        <w:tc>
          <w:tcPr>
            <w:tcW w:type="dxa" w:w="3024"/>
            <w:shd w:fill="F7FAFC"/>
            <w:vAlign w:val="center"/>
            <w:tcMar>
              <w:top w:w="90" w:type="dxa"/>
              <w:start w:w="110" w:type="dxa"/>
              <w:bottom w:w="90" w:type="dxa"/>
              <w:end w:w="110" w:type="dxa"/>
            </w:tcMar>
          </w:tcPr>
          <w:p>
            <w:pPr>
              <w:spacing w:after="0" w:before="0"/>
            </w:pPr>
            <w:r/>
            <w:r>
              <w:rPr>
                <w:rFonts w:ascii="Aptos" w:hAnsi="Aptos"/>
                <w:b w:val="0"/>
                <w:i w:val="0"/>
                <w:color w:val="263746"/>
                <w:sz w:val="17"/>
              </w:rPr>
              <w:t>Model used for both paths</w:t>
            </w:r>
          </w:p>
        </w:tc>
        <w:tc>
          <w:tcPr>
            <w:tcW w:type="dxa" w:w="4248"/>
            <w:shd w:fill="F7FAFC"/>
            <w:vAlign w:val="center"/>
            <w:tcMar>
              <w:top w:w="90" w:type="dxa"/>
              <w:start w:w="110" w:type="dxa"/>
              <w:bottom w:w="90" w:type="dxa"/>
              <w:end w:w="110" w:type="dxa"/>
            </w:tcMar>
          </w:tcPr>
          <w:p>
            <w:pPr>
              <w:spacing w:after="0" w:before="0"/>
            </w:pPr>
            <w:r/>
            <w:r>
              <w:rPr>
                <w:rFonts w:ascii="Aptos" w:hAnsi="Aptos"/>
                <w:b w:val="0"/>
                <w:i w:val="0"/>
                <w:color w:val="263746"/>
                <w:sz w:val="17"/>
              </w:rPr>
              <w:t>openai/gpt-oss-120b</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val="0"/>
                <w:i w:val="0"/>
                <w:color w:val="263746"/>
                <w:sz w:val="17"/>
              </w:rPr>
              <w:t>MYSQL_HOST / PORT</w:t>
            </w:r>
          </w:p>
        </w:tc>
        <w:tc>
          <w:tcPr>
            <w:tcW w:type="dxa" w:w="3024"/>
            <w:vAlign w:val="center"/>
            <w:tcMar>
              <w:top w:w="90" w:type="dxa"/>
              <w:start w:w="110" w:type="dxa"/>
              <w:bottom w:w="90" w:type="dxa"/>
              <w:end w:w="110" w:type="dxa"/>
            </w:tcMar>
          </w:tcPr>
          <w:p>
            <w:pPr>
              <w:spacing w:after="0" w:before="0"/>
            </w:pPr>
            <w:r/>
            <w:r>
              <w:rPr>
                <w:rFonts w:ascii="Aptos" w:hAnsi="Aptos"/>
                <w:b w:val="0"/>
                <w:i w:val="0"/>
                <w:color w:val="263746"/>
                <w:sz w:val="17"/>
              </w:rPr>
              <w:t>MySQL server address</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127.0.0.1 / 3306</w:t>
            </w:r>
          </w:p>
        </w:tc>
      </w:tr>
      <w:tr>
        <w:trPr>
          <w:cantSplit/>
        </w:trPr>
        <w:tc>
          <w:tcPr>
            <w:tcW w:type="dxa" w:w="2376"/>
            <w:shd w:fill="F7FAFC"/>
            <w:vAlign w:val="center"/>
            <w:tcMar>
              <w:top w:w="90" w:type="dxa"/>
              <w:start w:w="110" w:type="dxa"/>
              <w:bottom w:w="90" w:type="dxa"/>
              <w:end w:w="110" w:type="dxa"/>
            </w:tcMar>
          </w:tcPr>
          <w:p>
            <w:pPr>
              <w:spacing w:after="0" w:before="0"/>
            </w:pPr>
            <w:r/>
            <w:r>
              <w:rPr>
                <w:rFonts w:ascii="Aptos" w:hAnsi="Aptos"/>
                <w:b w:val="0"/>
                <w:i w:val="0"/>
                <w:color w:val="263746"/>
                <w:sz w:val="17"/>
              </w:rPr>
              <w:t>MYSQL_USER / PASSWORD</w:t>
            </w:r>
          </w:p>
        </w:tc>
        <w:tc>
          <w:tcPr>
            <w:tcW w:type="dxa" w:w="3024"/>
            <w:shd w:fill="F7FAFC"/>
            <w:vAlign w:val="center"/>
            <w:tcMar>
              <w:top w:w="90" w:type="dxa"/>
              <w:start w:w="110" w:type="dxa"/>
              <w:bottom w:w="90" w:type="dxa"/>
              <w:end w:w="110" w:type="dxa"/>
            </w:tcMar>
          </w:tcPr>
          <w:p>
            <w:pPr>
              <w:spacing w:after="0" w:before="0"/>
            </w:pPr>
            <w:r/>
            <w:r>
              <w:rPr>
                <w:rFonts w:ascii="Aptos" w:hAnsi="Aptos"/>
                <w:b w:val="0"/>
                <w:i w:val="0"/>
                <w:color w:val="263746"/>
                <w:sz w:val="17"/>
              </w:rPr>
              <w:t>MySQL authentication</w:t>
            </w:r>
          </w:p>
        </w:tc>
        <w:tc>
          <w:tcPr>
            <w:tcW w:type="dxa" w:w="4248"/>
            <w:shd w:fill="F7FAFC"/>
            <w:vAlign w:val="center"/>
            <w:tcMar>
              <w:top w:w="90" w:type="dxa"/>
              <w:start w:w="110" w:type="dxa"/>
              <w:bottom w:w="90" w:type="dxa"/>
              <w:end w:w="110" w:type="dxa"/>
            </w:tcMar>
          </w:tcPr>
          <w:p>
            <w:pPr>
              <w:spacing w:after="0" w:before="0"/>
            </w:pPr>
            <w:r/>
            <w:r>
              <w:rPr>
                <w:rFonts w:ascii="Aptos" w:hAnsi="Aptos"/>
                <w:b w:val="0"/>
                <w:i w:val="0"/>
                <w:color w:val="263746"/>
                <w:sz w:val="17"/>
              </w:rPr>
              <w:t>root / local password</w:t>
            </w:r>
          </w:p>
        </w:tc>
      </w:tr>
      <w:tr>
        <w:trPr>
          <w:cantSplit/>
        </w:trPr>
        <w:tc>
          <w:tcPr>
            <w:tcW w:type="dxa" w:w="2376"/>
            <w:vAlign w:val="center"/>
            <w:tcMar>
              <w:top w:w="90" w:type="dxa"/>
              <w:start w:w="110" w:type="dxa"/>
              <w:bottom w:w="90" w:type="dxa"/>
              <w:end w:w="110" w:type="dxa"/>
            </w:tcMar>
          </w:tcPr>
          <w:p>
            <w:pPr>
              <w:spacing w:after="0" w:before="0"/>
            </w:pPr>
            <w:r/>
            <w:r>
              <w:rPr>
                <w:rFonts w:ascii="Aptos" w:hAnsi="Aptos"/>
                <w:b w:val="0"/>
                <w:i w:val="0"/>
                <w:color w:val="263746"/>
                <w:sz w:val="17"/>
              </w:rPr>
              <w:t>MYSQL_DATABASE</w:t>
            </w:r>
          </w:p>
        </w:tc>
        <w:tc>
          <w:tcPr>
            <w:tcW w:type="dxa" w:w="3024"/>
            <w:vAlign w:val="center"/>
            <w:tcMar>
              <w:top w:w="90" w:type="dxa"/>
              <w:start w:w="110" w:type="dxa"/>
              <w:bottom w:w="90" w:type="dxa"/>
              <w:end w:w="110" w:type="dxa"/>
            </w:tcMar>
          </w:tcPr>
          <w:p>
            <w:pPr>
              <w:spacing w:after="0" w:before="0"/>
            </w:pPr>
            <w:r/>
            <w:r>
              <w:rPr>
                <w:rFonts w:ascii="Aptos" w:hAnsi="Aptos"/>
                <w:b w:val="0"/>
                <w:i w:val="0"/>
                <w:color w:val="263746"/>
                <w:sz w:val="17"/>
              </w:rPr>
              <w:t>Demo database name</w:t>
            </w:r>
          </w:p>
        </w:tc>
        <w:tc>
          <w:tcPr>
            <w:tcW w:type="dxa" w:w="4248"/>
            <w:vAlign w:val="center"/>
            <w:tcMar>
              <w:top w:w="90" w:type="dxa"/>
              <w:start w:w="110" w:type="dxa"/>
              <w:bottom w:w="90" w:type="dxa"/>
              <w:end w:w="110" w:type="dxa"/>
            </w:tcMar>
          </w:tcPr>
          <w:p>
            <w:pPr>
              <w:spacing w:after="0" w:before="0"/>
            </w:pPr>
            <w:r/>
            <w:r>
              <w:rPr>
                <w:rFonts w:ascii="Aptos" w:hAnsi="Aptos"/>
                <w:b w:val="0"/>
                <w:i w:val="0"/>
                <w:color w:val="263746"/>
                <w:sz w:val="17"/>
              </w:rPr>
              <w:t>mcp_codemode_demo</w:t>
            </w:r>
          </w:p>
        </w:tc>
      </w:tr>
    </w:tbl>
    <w:p>
      <w:pPr>
        <w:spacing w:after="20"/>
      </w:pPr>
    </w:p>
    <w:p>
      <w:pPr>
        <w:pStyle w:val="Heading1"/>
        <w:keepNext/>
        <w:spacing w:before="240" w:after="100"/>
      </w:pPr>
      <w:r>
        <w:rPr>
          <w:rFonts w:ascii="Aptos" w:hAnsi="Aptos"/>
          <w:b/>
          <w:i w:val="0"/>
          <w:color w:val="2878C8"/>
          <w:sz w:val="30"/>
        </w:rPr>
        <w:t>8. How to execute and infer results</w:t>
      </w:r>
    </w:p>
    <w:p>
      <w:pPr>
        <w:pStyle w:val="Heading2"/>
        <w:keepNext/>
        <w:spacing w:before="140" w:after="60"/>
      </w:pPr>
      <w:r>
        <w:rPr>
          <w:rFonts w:ascii="Aptos" w:hAnsi="Aptos"/>
          <w:b/>
          <w:i w:val="0"/>
          <w:color w:val="17324D"/>
          <w:sz w:val="22"/>
        </w:rPr>
        <w:t>Run the terminal comparison</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.\.venv\Scripts\python.exe live_demo.py</w:t>
            </w:r>
          </w:p>
        </w:tc>
      </w:tr>
    </w:tbl>
    <w:p>
      <w:pPr>
        <w:spacing w:after="20"/>
      </w:pPr>
    </w:p>
    <w:p>
      <w:pPr>
        <w:keepLines w:val="0"/>
        <w:spacing w:before="0" w:after="100" w:line="259" w:lineRule="auto"/>
      </w:pPr>
      <w:r>
        <w:rPr>
          <w:rFonts w:ascii="Aptos" w:hAnsi="Aptos"/>
          <w:b w:val="0"/>
          <w:i w:val="0"/>
          <w:color w:val="263746"/>
          <w:sz w:val="20"/>
        </w:rPr>
        <w:t>Enter a natural-language ticket question, or press Enter to use the default triage prompt. The CLI prints the MCP tool-call trace, generated JavaScript, answers from both paths, and usage counters.</w:t>
      </w:r>
    </w:p>
    <w:p>
      <w:pPr>
        <w:pStyle w:val="Heading2"/>
        <w:keepNext/>
        <w:spacing w:before="140" w:after="60"/>
      </w:pPr>
      <w:r>
        <w:rPr>
          <w:rFonts w:ascii="Aptos" w:hAnsi="Aptos"/>
          <w:b/>
          <w:i w:val="0"/>
          <w:color w:val="17324D"/>
          <w:sz w:val="22"/>
        </w:rPr>
        <w:t>Run the Streamlit interface</w:t>
      </w:r>
    </w:p>
    <w:tbl>
      <w:tblPr>
        <w:tblW w:type="auto" w:w="0"/>
        <w:tblLook w:firstColumn="1" w:firstRow="1" w:lastColumn="0" w:lastRow="0" w:noHBand="0" w:noVBand="1" w:val="04A0"/>
        <w:tblBorders>
          <w:top w:val="single" w:sz="4" w:space="0" w:color="E1E8EF"/>
          <w:left w:val="single" w:sz="4" w:space="0" w:color="E1E8EF"/>
          <w:bottom w:val="single" w:sz="4" w:space="0" w:color="E1E8EF"/>
          <w:right w:val="single" w:sz="4" w:space="0" w:color="E1E8EF"/>
          <w:insideH w:val="single" w:sz="4" w:space="0" w:color="E1E8EF"/>
          <w:insideV w:val="single" w:sz="4" w:space="0" w:color="E1E8EF"/>
        </w:tblBorders>
      </w:tblPr>
      <w:tblGrid>
        <w:gridCol w:w="9835"/>
      </w:tblGrid>
      <w:tr>
        <w:trPr>
          <w:cantSplit/>
        </w:trPr>
        <w:tc>
          <w:tcPr>
            <w:tcW w:type="dxa" w:w="9835"/>
            <w:shd w:fill="F3F6F9"/>
            <w:tcMar>
              <w:top w:w="115" w:type="dxa"/>
              <w:start w:w="145" w:type="dxa"/>
              <w:bottom w:w="115" w:type="dxa"/>
              <w:end w:w="145" w:type="dxa"/>
            </w:tcMar>
          </w:tcPr>
          <w:p>
            <w:pPr>
              <w:spacing w:after="0" w:line="240" w:lineRule="auto"/>
            </w:pPr>
            <w:r>
              <w:rPr>
                <w:rFonts w:ascii="Cascadia Mono" w:hAnsi="Cascadia Mono"/>
                <w:b w:val="0"/>
                <w:i w:val="0"/>
                <w:color w:val="203A56"/>
                <w:sz w:val="16"/>
              </w:rPr>
              <w:t>.\.venv\Scripts\python.exe -m streamlit run streamlit_app.py</w:t>
            </w:r>
          </w:p>
        </w:tc>
      </w:tr>
    </w:tbl>
    <w:p>
      <w:pPr>
        <w:spacing w:after="20"/>
      </w:pPr>
    </w:p>
    <w:p>
      <w:pPr>
        <w:keepLines w:val="0"/>
        <w:spacing w:before="0" w:after="100" w:line="259" w:lineRule="auto"/>
      </w:pPr>
      <w:r>
        <w:rPr>
          <w:rFonts w:ascii="Aptos" w:hAnsi="Aptos"/>
          <w:b w:val="0"/>
          <w:i w:val="0"/>
          <w:color w:val="263746"/>
          <w:sz w:val="20"/>
        </w:rPr>
        <w:t>Open the local URL printed by Streamlit, submit a question, and compare the answers. Expand Workflow and MCP tool-call trace to inspect actual tool requests, SQL, and generated code. For a setup check that does not call Groq, run live_demo.py --check-mcp.</w:t>
      </w:r>
    </w:p>
    <w:p>
      <w:pPr>
        <w:pStyle w:val="Heading2"/>
        <w:keepNext/>
        <w:spacing w:before="140" w:after="60"/>
      </w:pPr>
      <w:r>
        <w:rPr>
          <w:rFonts w:ascii="Aptos" w:hAnsi="Aptos"/>
          <w:b/>
          <w:i w:val="0"/>
          <w:color w:val="17324D"/>
          <w:sz w:val="22"/>
        </w:rPr>
        <w:t>Interpret the measurements</w:t>
      </w:r>
    </w:p>
    <w:tbl>
      <w:tblPr>
        <w:tblW w:type="dxa" w:w="9648"/>
        <w:jc w:val="left"/>
        <w:tblLayout w:type="fixed"/>
        <w:tblLook w:firstColumn="1" w:firstRow="1" w:lastColumn="0" w:lastRow="0" w:noHBand="0" w:noVBand="1" w:val="04A0"/>
        <w:tblBorders>
          <w:top w:val="single" w:sz="5" w:space="0" w:color="E1E8EF"/>
          <w:left w:val="single" w:sz="5" w:space="0" w:color="E1E8EF"/>
          <w:bottom w:val="single" w:sz="5" w:space="0" w:color="E1E8EF"/>
          <w:right w:val="single" w:sz="5" w:space="0" w:color="E1E8EF"/>
          <w:insideH w:val="single" w:sz="5" w:space="0" w:color="E1E8EF"/>
          <w:insideV w:val="single" w:sz="5" w:space="0" w:color="E1E8EF"/>
        </w:tblBorders>
      </w:tblPr>
      <w:tblGrid>
        <w:gridCol w:w="3096"/>
        <w:gridCol w:w="6552"/>
      </w:tblGrid>
      <w:tr>
        <w:trPr>
          <w:tblHeader w:val="true"/>
          <w:cantSplit/>
        </w:trPr>
        <w:tc>
          <w:tcPr>
            <w:tcW w:type="dxa" w:w="3096"/>
            <w:shd w:fill="17324D"/>
            <w:vAlign w:val="center"/>
            <w:tcMar>
              <w:top w:w="90" w:type="dxa"/>
              <w:start w:w="110" w:type="dxa"/>
              <w:bottom w:w="90" w:type="dxa"/>
              <w:end w:w="110" w:type="dxa"/>
            </w:tcMar>
          </w:tcPr>
          <w:p>
            <w:pPr>
              <w:spacing w:after="0" w:before="0"/>
            </w:pPr>
            <w:r/>
            <w:r>
              <w:rPr>
                <w:rFonts w:ascii="Aptos" w:hAnsi="Aptos"/>
                <w:b/>
                <w:i w:val="0"/>
                <w:color w:val="FFFFFF"/>
                <w:sz w:val="17"/>
              </w:rPr>
              <w:t>Metric</w:t>
            </w:r>
          </w:p>
        </w:tc>
        <w:tc>
          <w:tcPr>
            <w:tcW w:type="dxa" w:w="6552"/>
            <w:shd w:fill="17324D"/>
            <w:vAlign w:val="center"/>
            <w:tcMar>
              <w:top w:w="90" w:type="dxa"/>
              <w:start w:w="110" w:type="dxa"/>
              <w:bottom w:w="90" w:type="dxa"/>
              <w:end w:w="110" w:type="dxa"/>
            </w:tcMar>
          </w:tcPr>
          <w:p>
            <w:pPr>
              <w:spacing w:after="0" w:before="0"/>
            </w:pPr>
            <w:r/>
            <w:r>
              <w:rPr>
                <w:rFonts w:ascii="Aptos" w:hAnsi="Aptos"/>
                <w:b/>
                <w:i w:val="0"/>
                <w:color w:val="FFFFFF"/>
                <w:sz w:val="17"/>
              </w:rPr>
              <w:t>Interpretation</w:t>
            </w:r>
          </w:p>
        </w:tc>
      </w:tr>
      <w:tr>
        <w:trPr>
          <w:cantSplit/>
        </w:trPr>
        <w:tc>
          <w:tcPr>
            <w:tcW w:type="dxa" w:w="3096"/>
            <w:vAlign w:val="center"/>
            <w:tcMar>
              <w:top w:w="90" w:type="dxa"/>
              <w:start w:w="110" w:type="dxa"/>
              <w:bottom w:w="90" w:type="dxa"/>
              <w:end w:w="110" w:type="dxa"/>
            </w:tcMar>
          </w:tcPr>
          <w:p>
            <w:pPr>
              <w:spacing w:after="0" w:before="0"/>
            </w:pPr>
            <w:r/>
            <w:r>
              <w:rPr>
                <w:rFonts w:ascii="Aptos" w:hAnsi="Aptos"/>
                <w:b w:val="0"/>
                <w:i w:val="0"/>
                <w:color w:val="263746"/>
                <w:sz w:val="17"/>
              </w:rPr>
              <w:t>Prompt / completion / total tokens</w:t>
            </w:r>
          </w:p>
        </w:tc>
        <w:tc>
          <w:tcPr>
            <w:tcW w:type="dxa" w:w="6552"/>
            <w:vAlign w:val="center"/>
            <w:tcMar>
              <w:top w:w="90" w:type="dxa"/>
              <w:start w:w="110" w:type="dxa"/>
              <w:bottom w:w="90" w:type="dxa"/>
              <w:end w:w="110" w:type="dxa"/>
            </w:tcMar>
          </w:tcPr>
          <w:p>
            <w:pPr>
              <w:spacing w:after="0" w:before="0"/>
            </w:pPr>
            <w:r/>
            <w:r>
              <w:rPr>
                <w:rFonts w:ascii="Aptos" w:hAnsi="Aptos"/>
                <w:b w:val="0"/>
                <w:i w:val="0"/>
                <w:color w:val="263746"/>
                <w:sz w:val="17"/>
              </w:rPr>
              <w:t>Groq-reported prompt and completion tokens, summed across all requests in that workflow. Total is prompt plus completion.</w:t>
            </w:r>
          </w:p>
        </w:tc>
      </w:tr>
      <w:tr>
        <w:trPr>
          <w:cantSplit/>
        </w:trPr>
        <w:tc>
          <w:tcPr>
            <w:tcW w:type="dxa" w:w="3096"/>
            <w:shd w:fill="F7FAFC"/>
            <w:vAlign w:val="center"/>
            <w:tcMar>
              <w:top w:w="90" w:type="dxa"/>
              <w:start w:w="110" w:type="dxa"/>
              <w:bottom w:w="90" w:type="dxa"/>
              <w:end w:w="110" w:type="dxa"/>
            </w:tcMar>
          </w:tcPr>
          <w:p>
            <w:pPr>
              <w:spacing w:after="0" w:before="0"/>
            </w:pPr>
            <w:r/>
            <w:r>
              <w:rPr>
                <w:rFonts w:ascii="Aptos" w:hAnsi="Aptos"/>
                <w:b w:val="0"/>
                <w:i w:val="0"/>
                <w:color w:val="263746"/>
                <w:sz w:val="17"/>
              </w:rPr>
              <w:t>Groq API requests</w:t>
            </w:r>
          </w:p>
        </w:tc>
        <w:tc>
          <w:tcPr>
            <w:tcW w:type="dxa" w:w="6552"/>
            <w:shd w:fill="F7FAFC"/>
            <w:vAlign w:val="center"/>
            <w:tcMar>
              <w:top w:w="90" w:type="dxa"/>
              <w:start w:w="110" w:type="dxa"/>
              <w:bottom w:w="90" w:type="dxa"/>
              <w:end w:w="110" w:type="dxa"/>
            </w:tcMar>
          </w:tcPr>
          <w:p>
            <w:pPr>
              <w:spacing w:after="0" w:before="0"/>
            </w:pPr>
            <w:r/>
            <w:r>
              <w:rPr>
                <w:rFonts w:ascii="Aptos" w:hAnsi="Aptos"/>
                <w:b w:val="0"/>
                <w:i w:val="0"/>
                <w:color w:val="263746"/>
                <w:sz w:val="17"/>
              </w:rPr>
              <w:t>Includes regeneration or repair calls, not only the first request.</w:t>
            </w:r>
          </w:p>
        </w:tc>
      </w:tr>
      <w:tr>
        <w:trPr>
          <w:cantSplit/>
        </w:trPr>
        <w:tc>
          <w:tcPr>
            <w:tcW w:type="dxa" w:w="3096"/>
            <w:vAlign w:val="center"/>
            <w:tcMar>
              <w:top w:w="90" w:type="dxa"/>
              <w:start w:w="110" w:type="dxa"/>
              <w:bottom w:w="90" w:type="dxa"/>
              <w:end w:w="110" w:type="dxa"/>
            </w:tcMar>
          </w:tcPr>
          <w:p>
            <w:pPr>
              <w:spacing w:after="0" w:before="0"/>
            </w:pPr>
            <w:r/>
            <w:r>
              <w:rPr>
                <w:rFonts w:ascii="Aptos" w:hAnsi="Aptos"/>
                <w:b w:val="0"/>
                <w:i w:val="0"/>
                <w:color w:val="263746"/>
                <w:sz w:val="17"/>
              </w:rPr>
              <w:t>MCP tool calls / SQL queries</w:t>
            </w:r>
          </w:p>
        </w:tc>
        <w:tc>
          <w:tcPr>
            <w:tcW w:type="dxa" w:w="6552"/>
            <w:vAlign w:val="center"/>
            <w:tcMar>
              <w:top w:w="90" w:type="dxa"/>
              <w:start w:w="110" w:type="dxa"/>
              <w:bottom w:w="90" w:type="dxa"/>
              <w:end w:w="110" w:type="dxa"/>
            </w:tcMar>
          </w:tcPr>
          <w:p>
            <w:pPr>
              <w:spacing w:after="0" w:before="0"/>
            </w:pPr>
            <w:r/>
            <w:r>
              <w:rPr>
                <w:rFonts w:ascii="Aptos" w:hAnsi="Aptos"/>
                <w:b w:val="0"/>
                <w:i w:val="0"/>
                <w:color w:val="263746"/>
                <w:sz w:val="17"/>
              </w:rPr>
              <w:t>Tool operations in the path and the subset that execute run_ticket_query.</w:t>
            </w:r>
          </w:p>
        </w:tc>
      </w:tr>
      <w:tr>
        <w:trPr>
          <w:cantSplit/>
        </w:trPr>
        <w:tc>
          <w:tcPr>
            <w:tcW w:type="dxa" w:w="3096"/>
            <w:shd w:fill="F7FAFC"/>
            <w:vAlign w:val="center"/>
            <w:tcMar>
              <w:top w:w="90" w:type="dxa"/>
              <w:start w:w="110" w:type="dxa"/>
              <w:bottom w:w="90" w:type="dxa"/>
              <w:end w:w="110" w:type="dxa"/>
            </w:tcMar>
          </w:tcPr>
          <w:p>
            <w:pPr>
              <w:spacing w:after="0" w:before="0"/>
            </w:pPr>
            <w:r/>
            <w:r>
              <w:rPr>
                <w:rFonts w:ascii="Aptos" w:hAnsi="Aptos"/>
                <w:b w:val="0"/>
                <w:i w:val="0"/>
                <w:color w:val="263746"/>
                <w:sz w:val="17"/>
              </w:rPr>
              <w:t>Query rows fetched</w:t>
            </w:r>
          </w:p>
        </w:tc>
        <w:tc>
          <w:tcPr>
            <w:tcW w:type="dxa" w:w="6552"/>
            <w:shd w:fill="F7FAFC"/>
            <w:vAlign w:val="center"/>
            <w:tcMar>
              <w:top w:w="90" w:type="dxa"/>
              <w:start w:w="110" w:type="dxa"/>
              <w:bottom w:w="90" w:type="dxa"/>
              <w:end w:w="110" w:type="dxa"/>
            </w:tcMar>
          </w:tcPr>
          <w:p>
            <w:pPr>
              <w:spacing w:after="0" w:before="0"/>
            </w:pPr>
            <w:r/>
            <w:r>
              <w:rPr>
                <w:rFonts w:ascii="Aptos" w:hAnsi="Aptos"/>
                <w:b w:val="0"/>
                <w:i w:val="0"/>
                <w:color w:val="263746"/>
                <w:sz w:val="17"/>
              </w:rPr>
              <w:t>Rows returned by the MCP query tool. Code Mode may fetch many rows and reduce them locally.</w:t>
            </w:r>
          </w:p>
        </w:tc>
      </w:tr>
      <w:tr>
        <w:trPr>
          <w:cantSplit/>
        </w:trPr>
        <w:tc>
          <w:tcPr>
            <w:tcW w:type="dxa" w:w="3096"/>
            <w:vAlign w:val="center"/>
            <w:tcMar>
              <w:top w:w="90" w:type="dxa"/>
              <w:start w:w="110" w:type="dxa"/>
              <w:bottom w:w="90" w:type="dxa"/>
              <w:end w:w="110" w:type="dxa"/>
            </w:tcMar>
          </w:tcPr>
          <w:p>
            <w:pPr>
              <w:spacing w:after="0" w:before="0"/>
            </w:pPr>
            <w:r/>
            <w:r>
              <w:rPr>
                <w:rFonts w:ascii="Aptos" w:hAnsi="Aptos"/>
                <w:b w:val="0"/>
                <w:i w:val="0"/>
                <w:color w:val="263746"/>
                <w:sz w:val="17"/>
              </w:rPr>
              <w:t>Query-result characters sent to Groq</w:t>
            </w:r>
          </w:p>
        </w:tc>
        <w:tc>
          <w:tcPr>
            <w:tcW w:type="dxa" w:w="6552"/>
            <w:vAlign w:val="center"/>
            <w:tcMar>
              <w:top w:w="90" w:type="dxa"/>
              <w:start w:w="110" w:type="dxa"/>
              <w:bottom w:w="90" w:type="dxa"/>
              <w:end w:w="110" w:type="dxa"/>
            </w:tcMar>
          </w:tcPr>
          <w:p>
            <w:pPr>
              <w:spacing w:after="0" w:before="0"/>
            </w:pPr>
            <w:r/>
            <w:r>
              <w:rPr>
                <w:rFonts w:ascii="Aptos" w:hAnsi="Aptos"/>
                <w:b w:val="0"/>
                <w:i w:val="0"/>
                <w:color w:val="263746"/>
                <w:sz w:val="17"/>
              </w:rPr>
              <w:t>Payload-size indicator for returned query data included in Groq messages; it is not a token count.</w:t>
            </w:r>
          </w:p>
        </w:tc>
      </w:tr>
    </w:tbl>
    <w:p>
      <w:pPr>
        <w:spacing w:after="20"/>
      </w:pPr>
    </w:p>
    <w:p>
      <w:pPr>
        <w:pStyle w:val="Heading2"/>
        <w:keepNext/>
        <w:spacing w:before="140" w:after="60"/>
      </w:pPr>
      <w:r>
        <w:rPr>
          <w:rFonts w:ascii="Aptos" w:hAnsi="Aptos"/>
          <w:b/>
          <w:i w:val="0"/>
          <w:color w:val="17324D"/>
          <w:sz w:val="22"/>
        </w:rPr>
        <w:t>Make a fair comparison</w:t>
      </w:r>
    </w:p>
    <w:p>
      <w:pPr>
        <w:pStyle w:val="ListNumber"/>
        <w:spacing w:after="60" w:line="252" w:lineRule="auto"/>
      </w:pPr>
      <w:r>
        <w:rPr>
          <w:rFonts w:ascii="Aptos" w:hAnsi="Aptos"/>
          <w:b w:val="0"/>
          <w:i w:val="0"/>
          <w:color w:val="263746"/>
          <w:sz w:val="19"/>
        </w:rPr>
        <w:t>Compare the answers first. Confirm both preserve the user's filters and answer the same question.</w:t>
      </w:r>
    </w:p>
    <w:p>
      <w:pPr>
        <w:pStyle w:val="ListNumber"/>
        <w:spacing w:after="60" w:line="252" w:lineRule="auto"/>
      </w:pPr>
      <w:r>
        <w:rPr>
          <w:rFonts w:ascii="Aptos" w:hAnsi="Aptos"/>
          <w:b w:val="0"/>
          <w:i w:val="0"/>
          <w:color w:val="263746"/>
          <w:sz w:val="19"/>
        </w:rPr>
        <w:t>Inspect the SQL in the trace. The same natural-language prompt does not force both workflows to generate identical SQL.</w:t>
      </w:r>
    </w:p>
    <w:p>
      <w:pPr>
        <w:pStyle w:val="ListNumber"/>
        <w:spacing w:after="60" w:line="252" w:lineRule="auto"/>
      </w:pPr>
      <w:r>
        <w:rPr>
          <w:rFonts w:ascii="Aptos" w:hAnsi="Aptos"/>
          <w:b w:val="0"/>
          <w:i w:val="0"/>
          <w:color w:val="263746"/>
          <w:sz w:val="19"/>
        </w:rPr>
        <w:t>Check row counts and matching result scope. If the fetched rows differ, the token comparison is not like-for-like.</w:t>
      </w:r>
    </w:p>
    <w:p>
      <w:pPr>
        <w:pStyle w:val="ListNumber"/>
        <w:spacing w:after="60" w:line="252" w:lineRule="auto"/>
      </w:pPr>
      <w:r>
        <w:rPr>
          <w:rFonts w:ascii="Aptos" w:hAnsi="Aptos"/>
          <w:b w:val="0"/>
          <w:i w:val="0"/>
          <w:color w:val="263746"/>
          <w:sz w:val="19"/>
        </w:rPr>
        <w:t>For a controlled comparison, repeat a compact summary or ranking query and confirm equivalent outputs before drawing a conclusion.</w:t>
      </w:r>
    </w:p>
    <w:p>
      <w:pPr>
        <w:pStyle w:val="ListNumber"/>
        <w:spacing w:after="60" w:line="252" w:lineRule="auto"/>
      </w:pPr>
      <w:r>
        <w:rPr>
          <w:rFonts w:ascii="Aptos" w:hAnsi="Aptos"/>
          <w:b w:val="0"/>
          <w:i w:val="0"/>
          <w:color w:val="263746"/>
          <w:sz w:val="19"/>
        </w:rPr>
        <w:t>Treat query-result characters as payload size, not tokens. Code Mode still uses tokens for the schema/code request and any final answer or repair calls.</w:t>
      </w:r>
    </w:p>
    <w:tbl>
      <w:tblPr>
        <w:tblW w:type="auto" w:w="0"/>
        <w:jc w:val="center"/>
        <w:tblLook w:firstColumn="1" w:firstRow="1" w:lastColumn="0" w:lastRow="0" w:noHBand="0" w:noVBand="1" w:val="04A0"/>
        <w:tblBorders>
          <w:top w:val="single" w:sz="0" w:space="0" w:color="EDF8F6"/>
          <w:left w:val="single" w:sz="0" w:space="0" w:color="EDF8F6"/>
          <w:bottom w:val="single" w:sz="0" w:space="0" w:color="EDF8F6"/>
          <w:right w:val="single" w:sz="0" w:space="0" w:color="EDF8F6"/>
          <w:insideH w:val="single" w:sz="0" w:space="0" w:color="EDF8F6"/>
          <w:insideV w:val="single" w:sz="0" w:space="0" w:color="EDF8F6"/>
        </w:tblBorders>
      </w:tblPr>
      <w:tblGrid>
        <w:gridCol w:w="9835"/>
      </w:tblGrid>
      <w:tr>
        <w:trPr>
          <w:cantSplit/>
        </w:trPr>
        <w:tc>
          <w:tcPr>
            <w:tcW w:type="dxa" w:w="9835"/>
            <w:shd w:fill="EDF8F6"/>
            <w:tcMar>
              <w:top w:w="130" w:type="dxa"/>
              <w:start w:w="170" w:type="dxa"/>
              <w:bottom w:w="130" w:type="dxa"/>
              <w:end w:w="170" w:type="dxa"/>
            </w:tcMar>
          </w:tcPr>
          <w:p>
            <w:pPr>
              <w:spacing w:after="0"/>
            </w:pPr>
            <w:r>
              <w:rPr>
                <w:rFonts w:ascii="Aptos" w:hAnsi="Aptos"/>
                <w:b/>
                <w:i w:val="0"/>
                <w:color w:val="149A91"/>
                <w:sz w:val="19"/>
              </w:rPr>
              <w:t xml:space="preserve">Conclusion  </w:t>
            </w:r>
            <w:r>
              <w:rPr>
                <w:rFonts w:ascii="Aptos" w:hAnsi="Aptos"/>
                <w:b w:val="0"/>
                <w:i w:val="0"/>
                <w:color w:val="263746"/>
                <w:sz w:val="18"/>
              </w:rPr>
              <w:t>The architectural benefit is that Code Mode can shape data before returning it to the model. Whether that reduces total tokens, latency, or cost depends on the query, data size, model response, and any retries. Do not treat one run as a benchmark.</w:t>
            </w:r>
          </w:p>
        </w:tc>
      </w:tr>
    </w:tbl>
    <w:p>
      <w:pPr>
        <w:spacing w:after="20"/>
      </w:pPr>
    </w:p>
    <w:sectPr w:rsidR="00FC693F" w:rsidRPr="0006063C" w:rsidSect="00034616">
      <w:headerReference w:type="default" r:id="rId9"/>
      <w:footerReference w:type="default" r:id="rId10"/>
      <w:pgSz w:w="11909" w:h="16834"/>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 xml:space="preserve">MCP vs Code Mode  |  </w:t>
    </w:r>
    <w:r>
      <w:rPr>
        <w:rFonts w:ascii="Aptos" w:hAnsi="Aptos"/>
        <w:b w:val="0"/>
        <w:i w:val="0"/>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48B"/>
        <w:sz w:val="15"/>
      </w:rPr>
      <w:t>TECHNICAL GUIDE  ·  MCP AND CODE MODE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878C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9A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log.cloudflare.com/code-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and Code Mode Project Guide</dc:title>
  <dc:subject>Architecture, setup, execution, and result interpretation</dc:subject>
  <dc:creator>python-docx</dc:creator>
  <cp:keywords>MCP, Code Mode, Cloudflare, QuickJS, architecture, support tickets</cp:keywords>
  <dc:description>generated by python-docx</dc:description>
  <cp:lastModifiedBy/>
  <cp:revision>1</cp:revision>
  <dcterms:created xsi:type="dcterms:W3CDTF">2013-12-23T23:15:00Z</dcterms:created>
  <dcterms:modified xsi:type="dcterms:W3CDTF">2013-12-23T23:15:00Z</dcterms:modified>
  <cp:category/>
</cp:coreProperties>
</file>