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Engineering foundation - Q3 Leadership Review Transcript</w:t>
      </w:r>
    </w:p>
    <w:p>
      <w:pPr>
        <w:spacing w:after="220"/>
      </w:pPr>
      <w:r>
        <w:rPr>
          <w:color w:val="53616A"/>
          <w:sz w:val="20"/>
          <w:szCs w:val="20"/>
        </w:rPr>
        <w:t xml:space="preserve">2013-10-15 | Internal</w:t>
      </w:r>
    </w:p>
    <w:p>
      <w:pPr>
        <w:pStyle w:val="Heading1"/>
        <w:keepNext/>
      </w:pPr>
      <w:r>
        <w:t xml:space="preserve">Meeting details and participants</w:t>
      </w:r>
    </w:p>
    <w:p>
      <w:pPr>
        <w:keepLines/>
        <w:spacing w:after="130" w:line="290"/>
      </w:pPr>
      <w:r>
        <w:t xml:space="preserve">Date: 2013-10-15</w:t>
      </w:r>
    </w:p>
    <w:p>
      <w:pPr>
        <w:keepLines/>
        <w:spacing w:after="130" w:line="290"/>
      </w:pPr>
      <w:r>
        <w:t xml:space="preserve">Agenda: Q3 operating results and delivery capacity; mission-analysis feasibility scope and verification; Strategic alternatives and resource allocation; 2032 goal dependencies and action closure</w:t>
      </w:r>
    </w:p>
    <w:p>
      <w:pPr>
        <w:keepLines/>
        <w:spacing w:after="130" w:line="290"/>
      </w:pPr>
      <w:r>
        <w:t xml:space="preserve">Avery Rowan - Chief Executive Officer</w:t>
      </w:r>
    </w:p>
    <w:p>
      <w:pPr>
        <w:keepLines/>
        <w:spacing w:after="130" w:line="290"/>
      </w:pPr>
      <w:r>
        <w:t xml:space="preserve">Morgan Vale - Chief Financial Officer</w:t>
      </w:r>
    </w:p>
    <w:p>
      <w:pPr>
        <w:keepLines/>
        <w:spacing w:after="130" w:line="290"/>
      </w:pPr>
      <w:r>
        <w:t xml:space="preserve">Riley Arden - Chief Technology Officer</w:t>
      </w:r>
    </w:p>
    <w:p>
      <w:pPr>
        <w:keepLines/>
        <w:spacing w:after="130" w:line="290"/>
      </w:pPr>
      <w:r>
        <w:t xml:space="preserve">Quinn Mercer - Director of Mission Systems</w:t>
      </w:r>
    </w:p>
    <w:p>
      <w:pPr>
        <w:keepLines/>
        <w:spacing w:after="130" w:line="290"/>
      </w:pPr>
      <w:r>
        <w:t xml:space="preserve">Sasha Linden - Head of Verification</w:t>
      </w:r>
    </w:p>
    <w:p>
      <w:pPr>
        <w:keepLines/>
        <w:spacing w:after="130" w:line="290"/>
      </w:pPr>
      <w:r>
        <w:t xml:space="preserve">Devon Hale - Director of Program Operations</w:t>
      </w:r>
    </w:p>
    <w:p>
      <w:pPr>
        <w:pStyle w:val="Heading1"/>
        <w:keepNext/>
      </w:pPr>
      <w:r>
        <w:t xml:space="preserve">Discussion</w:t>
      </w:r>
    </w:p>
    <w:p>
      <w:pPr>
        <w:keepLines/>
        <w:spacing w:after="130" w:line="290"/>
      </w:pPr>
      <w:r>
        <w:t xml:space="preserve">[00:00:00] Avery Rowan: Let us start with the operating record rather than the mission ambition. Q3 revenue is $156,000, and the operating result is $-368,680. We need to understand what the current services activity supports and what it does not. I do not want the 2032 objective to turn a development cost into a presumed future sale. What is the cleanest distinction for this review?</w:t>
      </w:r>
    </w:p>
    <w:p>
      <w:pPr>
        <w:keepLines/>
        <w:spacing w:after="130" w:line="290"/>
      </w:pPr>
      <w:r>
        <w:t xml:space="preserve">[00:02:00] Morgan Vale: The recognized revenue comes from engineering services, instrument development, and mission analysis. COGS is $59,280; operating expenses are $465,400. Revenue less those two cost categories gives the reported operating loss. The service activity supports part of the program, but not all of it. We should retain that reconciliation whenever we discuss development capacity. Expected asteroid sales are not included in these results.</w:t>
      </w:r>
    </w:p>
    <w:p>
      <w:pPr>
        <w:keepLines/>
        <w:spacing w:after="130" w:line="290"/>
      </w:pPr>
      <w:r>
        <w:t xml:space="preserve">[00:04:00] Devon Hale: The other distinction is between delivered work and remaining commitments. We completed 9 work packages in the quarter and have $1,248,000 of contracted backlog at period end. That backlog is work still to be performed, not money already collected. If we call the same people available for a development campaign and committed to a service package, we have counted their capacity twice. The schedule needs one resource view.</w:t>
      </w:r>
    </w:p>
    <w:p>
      <w:pPr>
        <w:keepLines/>
        <w:spacing w:after="130" w:line="290"/>
      </w:pPr>
      <w:r>
        <w:t xml:space="preserve">[00:06:00] Quinn Mercer: That is relevant to mission-analysis feasibility. I would like broader functionality, but it would compete with the current campaign and with contracted delivery. The alternative on the table is to expand optional functionality before verification closure. The benefit is more breadth; the problem is that breadth does not resolve the evidence gaps in the reference configuration. I would rather keep the campaign boundary intelligible than make the release appear more mature by adding unfinished scope.</w:t>
      </w:r>
    </w:p>
    <w:p>
      <w:pPr>
        <w:keepLines/>
        <w:spacing w:after="130" w:line="290"/>
      </w:pPr>
      <w:r>
        <w:t xml:space="preserve">[00:08:00] Riley Arden: I agree with keeping a bounded reference configuration, but I want to avoid equating a narrow scope with a completed technical case. The principal risk remains reference-data consistency. We must distinguish what has been tested from what has merely been retained in the design. A service-funded development activity is still a development activity. The release decision authorizes the ground campaign only; it does not authorize a spacecraft, an extraction mission, or a resource claim.</w:t>
      </w:r>
    </w:p>
    <w:p>
      <w:pPr>
        <w:keepLines/>
        <w:spacing w:after="130" w:line="290"/>
      </w:pPr>
      <w:r>
        <w:t xml:space="preserve">[00:10:00] Avery Rowan: Then the finance presentation should show the service contribution and the operating loss together. We can discuss resource allocation without a cash-flow or mining-economics conclusion that the record does not support. I also want the remaining-work snapshot labeled clearly. It is useful for sequencing commitments, but it should not be allowed to answer a different question about liquidity. Does anyone disagree with keeping that boundary explicit in the review?</w:t>
      </w:r>
    </w:p>
    <w:p>
      <w:pPr>
        <w:keepLines/>
        <w:spacing w:after="130" w:line="290"/>
      </w:pPr>
      <w:r>
        <w:t xml:space="preserve">[00:12:00] Morgan Vale: No. The distinction is also important when someone asks whether development is self-financing. A positive gross margin on accepted work is not the same as a positive operating result after research and verification spending. I will keep the expense allocation visible rather than netting it against a prospective mission benefit. The action is to maintain service delivery and report development spending separately from any prospective mining economics.</w:t>
      </w:r>
    </w:p>
    <w:p>
      <w:pPr>
        <w:keepLines/>
        <w:spacing w:after="130" w:line="290"/>
      </w:pPr>
      <w:r>
        <w:t xml:space="preserve">[00:14:00] Sasha Linden: On the evidence side, we recorded 21 accepted reference runs and 5 rejected runs. A rejected run belongs in the record. Removing it would make the campaign look cleaner without changing the underlying result. We should ask whether the discrepancy has an owner and a disposition, not whether it is convenient to include in a readiness discussion. Accepted evidence and unresolved dependencies need separate treatment.</w:t>
      </w:r>
    </w:p>
    <w:p>
      <w:pPr>
        <w:keepLines/>
        <w:spacing w:after="130" w:line="290"/>
      </w:pPr>
      <w:r>
        <w:t xml:space="preserve">[00:16:00] Riley Arden: The current release is RegolithWorks 1.0, and its scope is controlled ground-test use. The workflow starts with registered configuration and inputs, then reference checks, the bounded campaign, and evidence review. The final step is acceptance or a hold on the next configuration. That last distinction is substantive: reaching the review meeting is not itself an acceptance result. A critical discrepancy remains a stop condition even when the next campaign is desirable.</w:t>
      </w:r>
    </w:p>
    <w:p>
      <w:pPr>
        <w:keepLines/>
        <w:spacing w:after="130" w:line="290"/>
      </w:pPr>
      <w:r>
        <w:t xml:space="preserve">[00:18:00] Quinn Mercer: The scope priority should remain mission-analysis feasibility. Establish traceable engineering baselines before committing to hardware. I am not proposing that the reference campaign answer every future mission question. I am proposing that it answer its own question well enough to support the next design decision. That means controlling the inputs and configuration, and identifying which interpretation is justified by the evidence. If we change scope halfway through, we need to explain what comparison is still valid.</w:t>
      </w:r>
    </w:p>
    <w:p>
      <w:pPr>
        <w:keepLines/>
        <w:spacing w:after="130" w:line="290"/>
      </w:pPr>
      <w:r>
        <w:t xml:space="preserve">[00:20:00] Sasha Linden: The acceptance matrix provides that discipline. Each requirement needs a method, a result, an owner, and a disposition. The dependency named with the requirement is part of the verification boundary, not incidental paperwork. If the dependency changes, the reviewer must determine whether the old result still applies. We should not clear a failed criterion by silently changing the criterion after the run. That would erase the reason the hold existed.</w:t>
      </w:r>
    </w:p>
    <w:p>
      <w:pPr>
        <w:keepLines/>
        <w:spacing w:after="130" w:line="290"/>
      </w:pPr>
      <w:r>
        <w:t xml:space="preserve">[00:22:00] Devon Hale: I want to connect that to campaign scheduling. A hold should remain visible in the resource sequence rather than being hidden behind an assumed continuation date. Contracted engineering commitments still need delivery attention while a development discrepancy is being resolved. We can sequence both against the named resources, but we cannot treat the verification work as optional simply because the service schedule is already full. The tradeoff needs an explicit scope decision.</w:t>
      </w:r>
    </w:p>
    <w:p>
      <w:pPr>
        <w:keepLines/>
        <w:spacing w:after="130" w:line="290"/>
      </w:pPr>
      <w:r>
        <w:t xml:space="preserve">[00:24:00] Avery Rowan: The broader-feature alternative is therefore deferred, not quietly carried as additional work. That is a real choice: it limits breadth while protecting reference evidence and contracted delivery. I want the review to say that plainly. We are not deciding that optional capability has no value; we are deciding that its value does not justify advancing it before the current acceptance basis is closed. The bounded campaign remains the development priority.</w:t>
      </w:r>
    </w:p>
    <w:p>
      <w:pPr>
        <w:keepLines/>
        <w:spacing w:after="130" w:line="290"/>
      </w:pPr>
      <w:r>
        <w:t xml:space="preserve">[00:26:00] Riley Arden: The evidence boundary also needs to travel with the release description. No hardware flight heritage exists. No technical communication should imply that a ground development release has established flight qualification. The product configuration can be useful to an engineering team without proving a mission-level outcome. The test criterion, the system boundary, and the remaining dependencies all matter. We should preserve those distinctions when explaining progress to people who were not in the campaign.</w:t>
      </w:r>
    </w:p>
    <w:p>
      <w:pPr>
        <w:keepLines/>
        <w:spacing w:after="130" w:line="290"/>
      </w:pPr>
      <w:r>
        <w:t xml:space="preserve">[00:28:00] Quinn Mercer: For adoption, a team needs an approved input or test-material specification, a named technical reviewer, and a configuration-controlled reference case. Those are not administrative add-ons to the release. They define what the engineering evidence will mean. If a team wants a different campaign question, we should first review the boundary and the acceptance evidence rather than granting access on the assumption that the current configuration answers the new question.</w:t>
      </w:r>
    </w:p>
    <w:p>
      <w:pPr>
        <w:keepLines/>
        <w:spacing w:after="130" w:line="290"/>
      </w:pPr>
      <w:r>
        <w:t xml:space="preserve">[00:30:00] Sasha Linden: I will own closure of critical discrepancies before optional campaign scope expands. The due date in this review is 2013-11-15. Closure means a documented disposition in the verification record, not the disappearance of a failed run from a summary. If evidence still requires a hold, the hold remains. That is the control we need to retain as the configuration moves from reference work into the next bounded campaign.</w:t>
      </w:r>
    </w:p>
    <w:p>
      <w:pPr>
        <w:keepLines/>
        <w:spacing w:after="130" w:line="290"/>
      </w:pPr>
      <w:r>
        <w:t xml:space="preserve">[00:32:00] Avery Rowan: Now let us separate the long-term goal from the actions we can authorize here. The company is pursuing an asteroid resource demonstration by 2032. That objective is contingent on flight validation, funding, launch access, and mission authorization. It is not a recorded approval of those dependencies. I want to keep the goal useful for strategy while preventing it from being interpreted as a promise that the intermediate gates have already been passed.</w:t>
      </w:r>
    </w:p>
    <w:p>
      <w:pPr>
        <w:keepLines/>
        <w:spacing w:after="130" w:line="290"/>
      </w:pPr>
      <w:r>
        <w:t xml:space="preserve">[00:34:00] Riley Arden: The planned 2028 gate is a prospecting spacecraft design review, dependent on verified payload interfaces and approved funding. The planned 2030 gate is direct asteroid characterization, dependent on launch access, mission authorization, and spacecraft performance. The 2032 extraction demonstration is a goal dependent on characterization evidence, extraction readiness, and funded mission operations. Each later gate needs evidence from the preceding work. A date on the sequence cannot substitute for that evidence.</w:t>
      </w:r>
    </w:p>
    <w:p>
      <w:pPr>
        <w:keepLines/>
        <w:spacing w:after="130" w:line="290"/>
      </w:pPr>
      <w:r>
        <w:t xml:space="preserve">[00:36:00] Morgan Vale: That sequence is why I do not want prospective resource economics inserted into the operating record. The current business earns engineering and development revenue. The strategic goal may guide priorities, but it does not create recognized commodity revenue, a cash balance, or a resource valuation. We can compare the current cost allocation and available-quarter results. We cannot derive a full funding plan merely by renaming an operating loss as an investment.</w:t>
      </w:r>
    </w:p>
    <w:p>
      <w:pPr>
        <w:keepLines/>
        <w:spacing w:after="130" w:line="290"/>
      </w:pPr>
      <w:r>
        <w:t xml:space="preserve">[00:38:00] Devon Hale: From operations, the same conditional language needs to appear wherever the mission sequence is discussed. Planned launch access is not booked launch access. A development release is not mission authorization. If a dependency is unresolved, the next commitment must preserve that unresolved state. Otherwise a program schedule can appear internally consistent while depending on a decision no one has made. The action list should therefore name the work we own, not imply external approvals.</w:t>
      </w:r>
    </w:p>
    <w:p>
      <w:pPr>
        <w:keepLines/>
        <w:spacing w:after="130" w:line="290"/>
      </w:pPr>
      <w:r>
        <w:t xml:space="preserve">[00:40:00] Quinn Mercer: For this year, the practical interpretation is establish traceable engineering baselines before committing to hardware. The current campaign can contribute evidence toward that interpretation, but it cannot close all later gates. I am comfortable retaining the 2032 goal while making the product boundary explicit. The scope action I own is to retain mission-analysis feasibility as the development priority. Optional breadth remains deferred until the reference evidence is accepted, and any changed boundary must be reviewed.</w:t>
      </w:r>
    </w:p>
    <w:p>
      <w:pPr>
        <w:keepLines/>
        <w:spacing w:after="130" w:line="290"/>
      </w:pPr>
      <w:r>
        <w:t xml:space="preserve">[00:42:00] Sasha Linden: I would add that an accepted ground result must retain its stated limitations when it is reused in a readiness argument. We should not summarize an accepted trial as though it directly established a resource or flight conclusion. The reference configuration, the evaluated input, and the acceptance method remain part of the evidence. A future reviewer needs enough context to know what was proved and which dependencies still require a different test or decision.</w:t>
      </w:r>
    </w:p>
    <w:p>
      <w:pPr>
        <w:keepLines/>
        <w:spacing w:after="130" w:line="290"/>
      </w:pPr>
      <w:r>
        <w:t xml:space="preserve">[00:44:00] Avery Rowan: Then we have four actions, all due 2013-11-15: retain the scoped development priority, close critical discrepancies before optional expansion, maintain service delivery with distinct development-spending reporting, and retain the conditional demonstration goal. Those actions do not approve a mission. They make the current work accountable. I will own the strategic wording so that the 2032 objective stays connected to evidence and resources rather than becoming a substitute for either.</w:t>
      </w:r>
    </w:p>
    <w:p>
      <w:pPr>
        <w:keepLines/>
        <w:spacing w:after="130" w:line="290"/>
      </w:pPr>
      <w:r>
        <w:t xml:space="preserve">[00:46:00] Morgan Vale: That is a workable resolution. The next review can examine the action dispositions against the same source distinctions: recognized work, delivery costs, operating spending, remaining commitments, and accepted or rejected reference evidence. If one of those records changes, the interpretation should change with it. We should not carry a favorable conclusion forward simply because it appeared in the previous review. The owned actions give us a basis for checking progress without inventing certainty.</w:t>
      </w:r>
    </w:p>
    <w:p>
      <w:pPr>
        <w:pStyle w:val="Heading1"/>
        <w:keepNext/>
      </w:pPr>
      <w:r>
        <w:t xml:space="preserve">Resolutions</w:t>
      </w:r>
    </w:p>
    <w:p>
      <w:pPr>
        <w:keepLines/>
        <w:spacing w:after="130" w:line="290"/>
      </w:pPr>
      <w:r>
        <w:t xml:space="preserve">Scope: Retain mission-analysis feasibility as the current development priority.</w:t>
      </w:r>
    </w:p>
    <w:p>
      <w:pPr>
        <w:keepLines/>
        <w:spacing w:after="130" w:line="290"/>
      </w:pPr>
      <w:r>
        <w:t xml:space="preserve">Verification: Close critical discrepancies before adding optional campaign scope.</w:t>
      </w:r>
    </w:p>
    <w:p>
      <w:pPr>
        <w:keepLines/>
        <w:spacing w:after="130" w:line="290"/>
      </w:pPr>
      <w:r>
        <w:t xml:space="preserve">Finance: Maintain service delivery and report development spending separately from any prospective mining economics.</w:t>
      </w:r>
    </w:p>
    <w:p>
      <w:pPr>
        <w:keepLines/>
        <w:spacing w:after="130" w:line="290"/>
      </w:pPr>
      <w:r>
        <w:t xml:space="preserve">2032 goal: Retain the conditional demonstration goal; do not represent future milestones as approved missions.</w:t>
      </w:r>
    </w:p>
    <w:p>
      <w:pPr>
        <w:pStyle w:val="Heading1"/>
        <w:keepNext/>
      </w:pPr>
      <w:r>
        <w:t xml:space="preserve">Owned actions</w:t>
      </w:r>
    </w:p>
    <w:p>
      <w:pPr>
        <w:keepLines/>
        <w:spacing w:after="130" w:line="290"/>
      </w:pPr>
      <w:r>
        <w:t xml:space="preserve">Quinn Mercer - Retain mission-analysis feasibility as the current development priority. Due: 2013-11-15.</w:t>
      </w:r>
    </w:p>
    <w:p>
      <w:pPr>
        <w:keepLines/>
        <w:spacing w:after="130" w:line="290"/>
      </w:pPr>
      <w:r>
        <w:t xml:space="preserve">Sasha Linden - Close critical discrepancies before adding optional campaign scope. Due: 2013-11-15.</w:t>
      </w:r>
    </w:p>
    <w:p>
      <w:pPr>
        <w:keepLines/>
        <w:spacing w:after="130" w:line="290"/>
      </w:pPr>
      <w:r>
        <w:t xml:space="preserve">Morgan Vale - Maintain service delivery and report development spending separately from any prospective mining economics. Due: 2013-11-15.</w:t>
      </w:r>
    </w:p>
    <w:p>
      <w:pPr>
        <w:keepLines/>
        <w:spacing w:after="130" w:line="290"/>
      </w:pPr>
      <w:r>
        <w:t xml:space="preserve">Avery Rowan - Retain the conditional demonstration goal; do not represent future milestones as approved missions. Due: 2013-11-15.</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Engineering foundation - Q3 Leadership Review Transcript</dc:title>
  <dc:creator>AstroDig LLC</dc:creator>
  <dc:description>AstroDig LLC business document</dc:description>
  <cp:lastModifiedBy>Un-named</cp:lastModifiedBy>
  <cp:revision>1</cp:revision>
  <dcterms:created xsi:type="dcterms:W3CDTF">2026-10-08T21:29:36.866Z</dcterms:created>
  <dcterms:modified xsi:type="dcterms:W3CDTF">2026-10-08T21:29:36.866Z</dcterms:modified>
</cp:coreProperties>
</file>

<file path=docProps/custom.xml><?xml version="1.0" encoding="utf-8"?>
<Properties xmlns="http://schemas.openxmlformats.org/officeDocument/2006/custom-properties" xmlns:vt="http://schemas.openxmlformats.org/officeDocument/2006/docPropsVTypes"/>
</file>