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10.0 - Controlled Test Specification</w:t>
      </w:r>
    </w:p>
    <w:p>
      <w:pPr>
        <w:spacing w:after="220"/>
      </w:pPr>
      <w:r>
        <w:rPr>
          <w:color w:val="53616A"/>
          <w:sz w:val="20"/>
          <w:szCs w:val="20"/>
        </w:rPr>
        <w:t xml:space="preserve">2022-08-15 | Internal</w:t>
      </w:r>
    </w:p>
    <w:p>
      <w:pPr>
        <w:pStyle w:val="Heading1"/>
        <w:keepNext/>
      </w:pPr>
      <w:r>
        <w:t xml:space="preserve">Purpose and controlled scope</w:t>
      </w:r>
    </w:p>
    <w:p>
      <w:pPr>
        <w:keepLines/>
        <w:spacing w:after="130" w:line="290"/>
      </w:pPr>
      <w:r>
        <w:t xml:space="preserve">RegolithWorks 10.0 supports sealed volatile-handling trials. This baseline is limited to controlled ground-test use. Record every custody handoff and chamber condition with the recovered sample.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Ground recovery does not prove in-space storage feasibility.</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sample contamination. Ground recovery does not prove in-space storage feasibility.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10.0 - Controlled Test Specification</dc:title>
  <dc:creator>AstroDig LLC</dc:creator>
  <dc:description>AstroDig LLC business document</dc:description>
  <cp:lastModifiedBy>Un-named</cp:lastModifiedBy>
  <cp:revision>1</cp:revision>
  <dcterms:created xsi:type="dcterms:W3CDTF">2026-10-08T21:29:39.256Z</dcterms:created>
  <dcterms:modified xsi:type="dcterms:W3CDTF">2026-10-08T21:29:39.256Z</dcterms:modified>
</cp:coreProperties>
</file>

<file path=docProps/custom.xml><?xml version="1.0" encoding="utf-8"?>
<Properties xmlns="http://schemas.openxmlformats.org/officeDocument/2006/custom-properties" xmlns:vt="http://schemas.openxmlformats.org/officeDocument/2006/docPropsVTypes"/>
</file>