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83e3b787b3f4490" /><Relationship Type="http://schemas.openxmlformats.org/package/2006/relationships/metadata/core-properties" Target="/docProps/core.xml" Id="R8089bc60d31e4d11" /><Relationship Type="http://schemas.openxmlformats.org/officeDocument/2006/relationships/extended-properties" Target="/docProps/app.xml" Id="R12dc17d76b8c4428" /><Relationship Type="http://schemas.openxmlformats.org/officeDocument/2006/relationships/custom-properties" Target="/docProps/custom.xml" Id="Rbdd9528bdea2415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pPr>
      <w:r>
        <w:rPr>
          <w:rFonts w:ascii="Calibri" w:hAnsi="Calibri" w:eastAsia="Calibri"/>
          <w:b/>
          <w:color w:val="087E8B"/>
          <w:sz w:val="20"/>
        </w:rPr>
        <w:t xml:space="preserve">SUNNYSEMI LLC | INTERNAL</w:t>
      </w:r>
    </w:p>
    <w:p w14:paraId="00100002" w14:textId="00100003">
      <w:pPr>
        <w:pStyle w:val="Title"/>
        <w:spacing w:after="120" w:line="276" w:lineRule="auto"/>
      </w:pPr>
      <w:r>
        <w:rPr>
          <w:rFonts w:ascii="Calibri" w:hAnsi="Calibri" w:eastAsia="Calibri"/>
          <w:b/>
          <w:color w:val="123B4A"/>
          <w:sz w:val="42"/>
        </w:rPr>
        <w:t xml:space="preserve">SunnySemi LLC - SunCore 6.0 Product Specification</w:t>
      </w:r>
    </w:p>
    <w:p w14:paraId="00100004" w14:textId="00100005">
      <w:pPr>
        <w:spacing w:after="120" w:line="276" w:lineRule="auto"/>
      </w:pPr>
      <w:r>
        <w:rPr>
          <w:rFonts w:ascii="Calibri" w:hAnsi="Calibri" w:eastAsia="Calibri"/>
          <w:color w:val="087E8B"/>
          <w:sz w:val="20"/>
        </w:rPr>
        <w:t xml:space="preserve">2025-02-01 | Tampa, Florida</w:t>
      </w:r>
    </w:p>
    <w:p w14:paraId="00100006" w14:textId="00100007">
      <w:pPr>
        <w:pStyle w:val="Heading2"/>
        <w:spacing w:after="120" w:line="276" w:lineRule="auto"/>
      </w:pPr>
      <w:r>
        <w:rPr>
          <w:rFonts w:ascii="Calibri" w:hAnsi="Calibri" w:eastAsia="Calibri"/>
          <w:b/>
          <w:color w:val="123B4A"/>
          <w:sz w:val="28"/>
        </w:rPr>
        <w:t xml:space="preserve">Product scope and release basis</w:t>
      </w:r>
    </w:p>
    <w:p w14:paraId="00100008" w14:textId="00100009">
      <w:pPr>
        <w:spacing w:after="120" w:line="276" w:lineRule="auto"/>
      </w:pPr>
      <w:r>
        <w:rPr>
          <w:rFonts w:ascii="Calibri" w:hAnsi="Calibri" w:eastAsia="Calibri"/>
          <w:color w:val="172F38"/>
          <w:sz w:val="22"/>
        </w:rPr>
        <w:t xml:space="preserve">SunCore 6.0 is a 5 nm inference ASIC with PCIe Gen3 x4 host interface. This specification supports the planned release targeted for 2025-08-15; it is not evidence that production release has already occurred. The design envelope is 256 INT8 TOPS with a 35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pPr>
      <w:r>
        <w:rPr>
          <w:rFonts w:ascii="Calibri" w:hAnsi="Calibri" w:eastAsia="Calibri"/>
          <w:b/>
          <w:color w:val="123B4A"/>
          <w:sz w:val="28"/>
        </w:rPr>
        <w:t xml:space="preserve">Interfaces, dependencies and use boundaries</w:t>
      </w:r>
    </w:p>
    <w:p w14:paraId="0010000C" w14:textId="0010000D">
      <w:pPr>
        <w:spacing w:after="120" w:line="276" w:lineRule="auto"/>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pPr>
      <w:r>
        <w:rPr>
          <w:rFonts w:ascii="Calibri" w:hAnsi="Calibri" w:eastAsia="Calibri"/>
          <w:b/>
          <w:color w:val="123B4A"/>
          <w:sz w:val="28"/>
        </w:rPr>
        <w:t xml:space="preserve">Verification ownership and document navigation</w:t>
      </w:r>
    </w:p>
    <w:p w14:paraId="00100010" w14:textId="00100011">
      <w:pPr>
        <w:spacing w:after="120" w:line="276" w:lineRule="auto"/>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pPr>
      <w:r>
        <w:rPr>
          <w:rFonts w:ascii="Calibri" w:hAnsi="Calibri" w:eastAsia="Calibri"/>
          <w:b/>
          <w:color w:val="123B4A"/>
          <w:sz w:val="30"/>
        </w:rPr>
        <w:t xml:space="preserve">SunnySemi LLC | 01 | Host link</w:t>
      </w:r>
    </w:p>
    <w:p w14:paraId="00100014" w14:textId="00100015">
      <w:pPr>
        <w:spacing w:after="120" w:line="276" w:lineRule="auto"/>
      </w:pPr>
      <w:r>
        <w:rPr>
          <w:rFonts w:ascii="Calibri" w:hAnsi="Calibri" w:eastAsia="Calibri"/>
          <w:color w:val="172F38"/>
          <w:sz w:val="22"/>
        </w:rPr>
        <w:t xml:space="preserve">SC-6-01: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pPr>
      <w:r>
        <w:rPr>
          <w:rFonts w:ascii="Calibri" w:hAnsi="Calibri" w:eastAsia="Calibri"/>
          <w:b/>
          <w:color w:val="123B4A"/>
          <w:sz w:val="28"/>
        </w:rPr>
        <w:t xml:space="preserve">02 | Arithmetic</w:t>
      </w:r>
    </w:p>
    <w:p w14:paraId="00100018" w14:textId="00100019">
      <w:pPr>
        <w:spacing w:after="120" w:line="276" w:lineRule="auto"/>
      </w:pPr>
      <w:r>
        <w:rPr>
          <w:rFonts w:ascii="Calibri" w:hAnsi="Calibri" w:eastAsia="Calibri"/>
          <w:color w:val="172F38"/>
          <w:sz w:val="22"/>
        </w:rPr>
        <w:t xml:space="preserve">SC-6-02: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pPr>
      <w:r>
        <w:rPr>
          <w:rFonts w:ascii="Calibri" w:hAnsi="Calibri" w:eastAsia="Calibri"/>
          <w:b/>
          <w:color w:val="123B4A"/>
          <w:sz w:val="28"/>
        </w:rPr>
        <w:t xml:space="preserve">03 | Peak compute</w:t>
      </w:r>
    </w:p>
    <w:p w14:paraId="0010001C" w14:textId="0010001D">
      <w:pPr>
        <w:spacing w:after="120" w:line="276" w:lineRule="auto"/>
      </w:pPr>
      <w:r>
        <w:rPr>
          <w:rFonts w:ascii="Calibri" w:hAnsi="Calibri" w:eastAsia="Calibri"/>
          <w:color w:val="172F38"/>
          <w:sz w:val="22"/>
        </w:rPr>
        <w:t xml:space="preserve">SC-6-03: Expose a peak of 256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pPr>
      <w:r>
        <w:rPr>
          <w:rFonts w:ascii="Calibri" w:hAnsi="Calibri" w:eastAsia="Calibri"/>
          <w:b/>
          <w:color w:val="123B4A"/>
          <w:sz w:val="28"/>
        </w:rPr>
        <w:t xml:space="preserve">04 | Power envelope</w:t>
      </w:r>
    </w:p>
    <w:p w14:paraId="00100020" w14:textId="00100021">
      <w:pPr>
        <w:spacing w:after="120" w:line="276" w:lineRule="auto"/>
      </w:pPr>
      <w:r>
        <w:rPr>
          <w:rFonts w:ascii="Calibri" w:hAnsi="Calibri" w:eastAsia="Calibri"/>
          <w:color w:val="172F38"/>
          <w:sz w:val="22"/>
        </w:rPr>
        <w:t xml:space="preserve">SC-6-04: Use a 35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pPr>
      <w:r>
        <w:rPr>
          <w:rFonts w:ascii="Calibri" w:hAnsi="Calibri" w:eastAsia="Calibri"/>
          <w:b/>
          <w:color w:val="123B4A"/>
          <w:sz w:val="28"/>
        </w:rPr>
        <w:t xml:space="preserve">05 | Model interface</w:t>
      </w:r>
    </w:p>
    <w:p w14:paraId="00100024" w14:textId="00100025">
      <w:pPr>
        <w:spacing w:after="120" w:line="276" w:lineRule="auto"/>
      </w:pPr>
      <w:r>
        <w:rPr>
          <w:rFonts w:ascii="Calibri" w:hAnsi="Calibri" w:eastAsia="Calibri"/>
          <w:color w:val="172F38"/>
          <w:sz w:val="22"/>
        </w:rPr>
        <w:t xml:space="preserve">SC-6-05: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pPr>
      <w:r>
        <w:rPr>
          <w:rFonts w:ascii="Calibri" w:hAnsi="Calibri" w:eastAsia="Calibri"/>
          <w:b/>
          <w:color w:val="123B4A"/>
          <w:sz w:val="28"/>
        </w:rPr>
        <w:t xml:space="preserve">06 | Unsupported operators</w:t>
      </w:r>
    </w:p>
    <w:p w14:paraId="00100028" w14:textId="00100029">
      <w:pPr>
        <w:spacing w:after="120" w:line="276" w:lineRule="auto"/>
      </w:pPr>
      <w:r>
        <w:rPr>
          <w:rFonts w:ascii="Calibri" w:hAnsi="Calibri" w:eastAsia="Calibri"/>
          <w:color w:val="172F38"/>
          <w:sz w:val="22"/>
        </w:rPr>
        <w:t xml:space="preserve">SC-6-06: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pPr>
      <w:r>
        <w:rPr>
          <w:rFonts w:ascii="Calibri" w:hAnsi="Calibri" w:eastAsia="Calibri"/>
          <w:b/>
          <w:color w:val="123B4A"/>
          <w:sz w:val="30"/>
        </w:rPr>
        <w:t xml:space="preserve">SunnySemi LLC | 07 | Tensor validation</w:t>
      </w:r>
    </w:p>
    <w:p w14:paraId="0010002C" w14:textId="0010002D">
      <w:pPr>
        <w:spacing w:after="120" w:line="276" w:lineRule="auto"/>
      </w:pPr>
      <w:r>
        <w:rPr>
          <w:rFonts w:ascii="Calibri" w:hAnsi="Calibri" w:eastAsia="Calibri"/>
          <w:color w:val="172F38"/>
          <w:sz w:val="22"/>
        </w:rPr>
        <w:t xml:space="preserve">SC-6-07: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pPr>
      <w:r>
        <w:rPr>
          <w:rFonts w:ascii="Calibri" w:hAnsi="Calibri" w:eastAsia="Calibri"/>
          <w:b/>
          <w:color w:val="123B4A"/>
          <w:sz w:val="28"/>
        </w:rPr>
        <w:t xml:space="preserve">08 | DMA protection</w:t>
      </w:r>
    </w:p>
    <w:p w14:paraId="00100030" w14:textId="00100031">
      <w:pPr>
        <w:spacing w:after="120" w:line="276" w:lineRule="auto"/>
      </w:pPr>
      <w:r>
        <w:rPr>
          <w:rFonts w:ascii="Calibri" w:hAnsi="Calibri" w:eastAsia="Calibri"/>
          <w:color w:val="172F38"/>
          <w:sz w:val="22"/>
        </w:rPr>
        <w:t xml:space="preserve">SC-6-08: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pPr>
      <w:r>
        <w:rPr>
          <w:rFonts w:ascii="Calibri" w:hAnsi="Calibri" w:eastAsia="Calibri"/>
          <w:b/>
          <w:color w:val="123B4A"/>
          <w:sz w:val="28"/>
        </w:rPr>
        <w:t xml:space="preserve">09 | Reset recovery</w:t>
      </w:r>
    </w:p>
    <w:p w14:paraId="00100034" w14:textId="00100035">
      <w:pPr>
        <w:spacing w:after="120" w:line="276" w:lineRule="auto"/>
      </w:pPr>
      <w:r>
        <w:rPr>
          <w:rFonts w:ascii="Calibri" w:hAnsi="Calibri" w:eastAsia="Calibri"/>
          <w:color w:val="172F38"/>
          <w:sz w:val="22"/>
        </w:rPr>
        <w:t xml:space="preserve">SC-6-09: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pPr>
      <w:r>
        <w:rPr>
          <w:rFonts w:ascii="Calibri" w:hAnsi="Calibri" w:eastAsia="Calibri"/>
          <w:b/>
          <w:color w:val="123B4A"/>
          <w:sz w:val="28"/>
        </w:rPr>
        <w:t xml:space="preserve">10 | Telemetry</w:t>
      </w:r>
    </w:p>
    <w:p w14:paraId="00100038" w14:textId="00100039">
      <w:pPr>
        <w:spacing w:after="120" w:line="276" w:lineRule="auto"/>
      </w:pPr>
      <w:r>
        <w:rPr>
          <w:rFonts w:ascii="Calibri" w:hAnsi="Calibri" w:eastAsia="Calibri"/>
          <w:color w:val="172F38"/>
          <w:sz w:val="22"/>
        </w:rPr>
        <w:t xml:space="preserve">SC-6-10: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pPr>
      <w:r>
        <w:rPr>
          <w:rFonts w:ascii="Calibri" w:hAnsi="Calibri" w:eastAsia="Calibri"/>
          <w:b/>
          <w:color w:val="123B4A"/>
          <w:sz w:val="28"/>
        </w:rPr>
        <w:t xml:space="preserve">11 | Thermal response</w:t>
      </w:r>
    </w:p>
    <w:p w14:paraId="0010003C" w14:textId="0010003D">
      <w:pPr>
        <w:spacing w:after="120" w:line="276" w:lineRule="auto"/>
      </w:pPr>
      <w:r>
        <w:rPr>
          <w:rFonts w:ascii="Calibri" w:hAnsi="Calibri" w:eastAsia="Calibri"/>
          <w:color w:val="172F38"/>
          <w:sz w:val="22"/>
        </w:rPr>
        <w:t xml:space="preserve">SC-6-11: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pPr>
      <w:r>
        <w:rPr>
          <w:rFonts w:ascii="Calibri" w:hAnsi="Calibri" w:eastAsia="Calibri"/>
          <w:b/>
          <w:color w:val="123B4A"/>
          <w:sz w:val="28"/>
        </w:rPr>
        <w:t xml:space="preserve">12 | Error reporting</w:t>
      </w:r>
    </w:p>
    <w:p w14:paraId="00100040" w14:textId="00100041">
      <w:pPr>
        <w:spacing w:after="120" w:line="276" w:lineRule="auto"/>
      </w:pPr>
      <w:r>
        <w:rPr>
          <w:rFonts w:ascii="Calibri" w:hAnsi="Calibri" w:eastAsia="Calibri"/>
          <w:color w:val="172F38"/>
          <w:sz w:val="22"/>
        </w:rPr>
        <w:t xml:space="preserve">SC-6-12: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pPr>
      <w:r>
        <w:rPr>
          <w:rFonts w:ascii="Calibri" w:hAnsi="Calibri" w:eastAsia="Calibri"/>
          <w:b/>
          <w:color w:val="123B4A"/>
          <w:sz w:val="30"/>
        </w:rPr>
        <w:t xml:space="preserve">SunnySemi LLC | 13 | Driver package</w:t>
      </w:r>
    </w:p>
    <w:p w14:paraId="00100044" w14:textId="00100045">
      <w:pPr>
        <w:spacing w:after="120" w:line="276" w:lineRule="auto"/>
      </w:pPr>
      <w:r>
        <w:rPr>
          <w:rFonts w:ascii="Calibri" w:hAnsi="Calibri" w:eastAsia="Calibri"/>
          <w:color w:val="172F38"/>
          <w:sz w:val="22"/>
        </w:rPr>
        <w:t xml:space="preserve">SC-6-13: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pPr>
      <w:r>
        <w:rPr>
          <w:rFonts w:ascii="Calibri" w:hAnsi="Calibri" w:eastAsia="Calibri"/>
          <w:b/>
          <w:color w:val="123B4A"/>
          <w:sz w:val="28"/>
        </w:rPr>
        <w:t xml:space="preserve">14 | Reproducibility</w:t>
      </w:r>
    </w:p>
    <w:p w14:paraId="00100048" w14:textId="00100049">
      <w:pPr>
        <w:spacing w:after="120" w:line="276" w:lineRule="auto"/>
      </w:pPr>
      <w:r>
        <w:rPr>
          <w:rFonts w:ascii="Calibri" w:hAnsi="Calibri" w:eastAsia="Calibri"/>
          <w:color w:val="172F38"/>
          <w:sz w:val="22"/>
        </w:rPr>
        <w:t xml:space="preserve">SC-6-14: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pPr>
      <w:r>
        <w:rPr>
          <w:rFonts w:ascii="Calibri" w:hAnsi="Calibri" w:eastAsia="Calibri"/>
          <w:b/>
          <w:color w:val="123B4A"/>
          <w:sz w:val="28"/>
        </w:rPr>
        <w:t xml:space="preserve">15 | Release evidence</w:t>
      </w:r>
    </w:p>
    <w:p w14:paraId="0010004C" w14:textId="0010004D">
      <w:pPr>
        <w:spacing w:after="120" w:line="276" w:lineRule="auto"/>
      </w:pPr>
      <w:r>
        <w:rPr>
          <w:rFonts w:ascii="Calibri" w:hAnsi="Calibri" w:eastAsia="Calibri"/>
          <w:color w:val="172F38"/>
          <w:sz w:val="22"/>
        </w:rPr>
        <w:t xml:space="preserve">SC-6-15: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pPr>
      <w:r>
        <w:rPr>
          <w:rFonts w:ascii="Calibri" w:hAnsi="Calibri" w:eastAsia="Calibri"/>
          <w:b/>
          <w:color w:val="123B4A"/>
          <w:sz w:val="28"/>
        </w:rPr>
        <w:t xml:space="preserve">16 | Change control</w:t>
      </w:r>
    </w:p>
    <w:p w14:paraId="00100050" w14:textId="00100051">
      <w:pPr>
        <w:spacing w:after="120" w:line="276" w:lineRule="auto"/>
      </w:pPr>
      <w:r>
        <w:rPr>
          <w:rFonts w:ascii="Calibri" w:hAnsi="Calibri" w:eastAsia="Calibri"/>
          <w:color w:val="172F38"/>
          <w:sz w:val="22"/>
        </w:rPr>
        <w:t xml:space="preserve">SC-6-16: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pPr>
      <w:r>
        <w:rPr>
          <w:rFonts w:ascii="Calibri" w:hAnsi="Calibri" w:eastAsia="Calibri"/>
          <w:b/>
          <w:color w:val="123B4A"/>
          <w:sz w:val="28"/>
        </w:rPr>
        <w:t xml:space="preserve">Release gate and change control</w:t>
      </w:r>
    </w:p>
    <w:p w14:paraId="00100054" w14:textId="00100055">
      <w:pPr>
        <w:spacing w:after="120" w:line="276" w:lineRule="auto"/>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b7dac17b364e4108" /><Relationship Type="http://schemas.openxmlformats.org/officeDocument/2006/relationships/styles" Target="/word/styles.xml" Id="Recaf9cfbe46f4a17" /><Relationship Type="http://schemas.openxmlformats.org/officeDocument/2006/relationships/theme" Target="/word/theme/theme1.xml" Id="R572543a1c19145a2" /><Relationship Type="http://schemas.openxmlformats.org/officeDocument/2006/relationships/numbering" Target="/word/numbering.xml" Id="Raea4de439b6448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2026-10-15T16:46:11.0000000Z</dcterms:created>
  <lastModifiedBy>OfficeCLI</lastModifiedBy>
  <dcterms:modified xsi:type="dcterms:W3CDTF">2026-10-15T16:46:11.0000000Z</dcterms:modified>
  <dc:title>SunnySemi LLC - SunCore 6.0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2026-10-15T16:46:14Z</vt:lpwstr>
  </op:property>
</op:Properties>
</file>