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0b08ff96b6e491b" /><Relationship Type="http://schemas.openxmlformats.org/package/2006/relationships/metadata/core-properties" Target="/docProps/core.xml" Id="Rbd874a1d6b8c40e8" /><Relationship Type="http://schemas.openxmlformats.org/officeDocument/2006/relationships/extended-properties" Target="/docProps/app.xml" Id="Rcd0cd743c5f741cf" /><Relationship Type="http://schemas.openxmlformats.org/officeDocument/2006/relationships/custom-properties" Target="/docProps/custom.xml" Id="R2290c73dac704a6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- 2021 Production Readiness and Allocation discipline</w:t>
      </w:r>
    </w:p>
    <w:p w14:paraId="00100004" w14:textId="00100005">
      <w:pPr>
        <w:spacing w:after="120" w:line="276" w:lineRule="auto"/>
        <w:ind w:firstLine="440"/>
      </w:pPr>
      <w:r>
        <w:rPr>
          <w:rFonts w:ascii="Calibri" w:hAnsi="Calibri" w:eastAsia="Calibri"/>
          <w:color w:val="087E8B"/>
          <w:sz w:val="20"/>
        </w:rPr>
        <w:t xml:space="preserve">2021-07-25 | Tampa, Florida</w:t>
      </w:r>
    </w:p>
    <w:p w14:paraId="00100006" w14:textId="00100007">
      <w:pPr>
        <w:pStyle w:val="Heading2"/>
        <w:spacing w:after="120" w:line="276" w:lineRule="auto"/>
        <w:ind w:firstLine="440"/>
      </w:pPr>
      <w:r>
        <w:rPr>
          <w:rFonts w:ascii="Calibri" w:hAnsi="Calibri" w:eastAsia="Calibri"/>
          <w:b/>
          <w:color w:val="123B4A"/>
          <w:sz w:val="28"/>
        </w:rPr>
        <w:t xml:space="preserve">Meeting record and participants</w:t>
      </w:r>
    </w:p>
    <w:p w14:paraId="00100008" w14:textId="00100009">
      <w:pPr>
        <w:spacing w:after="120" w:line="276" w:lineRule="auto"/>
        <w:ind w:firstLine="440"/>
      </w:pPr>
      <w:r>
        <w:rPr>
          <w:rFonts w:ascii="Calibri" w:hAnsi="Calibri" w:eastAsia="Calibri"/>
          <w:color w:val="172F38"/>
          <w:sz w:val="22"/>
        </w:rPr>
        <w:t xml:space="preserve">2021-07-25 | Tampa, Florida</w:t>
      </w:r>
    </w:p>
    <w:p w14:paraId="0010000A" w14:textId="0010000B">
      <w:pPr>
        <w:spacing w:after="120" w:line="276" w:lineRule="auto"/>
        <w:ind w:firstLine="440"/>
      </w:pPr>
      <w:r>
        <w:rPr>
          <w:rFonts w:ascii="Calibri" w:hAnsi="Calibri" w:eastAsia="Calibri"/>
          <w:color w:val="172F38"/>
          <w:sz w:val="22"/>
        </w:rPr>
        <w:t xml:space="preserve">Avery Rowan, CEO; Riley Arden, VP Engineering; Quinn Mercer, Product Director; Casey Marlow, CFO.</w:t>
      </w:r>
    </w:p>
    <w:p w14:paraId="0010000C" w14:textId="0010000D">
      <w:pPr>
        <w:spacing w:after="120" w:line="276" w:lineRule="auto"/>
        <w:ind w:firstLine="440"/>
      </w:pPr>
      <w:r>
        <w:rPr>
          <w:rFonts w:ascii="Calibri" w:hAnsi="Calibri" w:eastAsia="Calibri"/>
          <w:color w:val="172F38"/>
          <w:sz w:val="22"/>
        </w:rPr>
        <w:t xml:space="preserve">Agenda: Allocation discipline; SunCore release evidence; GulfSwitch adoption; Capacity commitment controls.</w:t>
      </w:r>
    </w:p>
    <w:p w14:paraId="0010000E" w14:textId="0010000F">
      <w:pPr>
        <w:spacing w:after="120" w:line="276" w:lineRule="auto"/>
        <w:ind w:firstLine="440"/>
      </w:pPr>
      <w:r>
        <w:rPr>
          <w:rFonts w:ascii="Calibri" w:hAnsi="Calibri" w:eastAsia="Calibri"/>
          <w:color w:val="172F38"/>
          <w:sz w:val="22"/>
        </w:rPr>
        <w:t xml:space="preserve">Release status: planned; target 2021-08-15.</w:t>
      </w:r>
    </w:p>
    <w:p w14:paraId="00100010" w14:textId="00100011">
      <w:pPr>
        <w:pStyle w:val="Heading1"/>
        <w:pageBreakBefore/>
        <w:spacing w:after="120" w:line="276" w:lineRule="auto"/>
        <w:ind w:firstLine="440"/>
      </w:pPr>
      <w:r>
        <w:rPr>
          <w:rFonts w:ascii="Calibri" w:hAnsi="Calibri" w:eastAsia="Calibri"/>
          <w:b/>
          <w:color w:val="123B4A"/>
          <w:sz w:val="30"/>
        </w:rPr>
        <w:t xml:space="preserve">SunnySemi LLC | Discussion | 01</w:t>
      </w:r>
    </w:p>
    <w:p w14:paraId="00100012" w14:textId="00100013">
      <w:pPr>
        <w:spacing w:after="120" w:line="276" w:lineRule="auto"/>
        <w:ind w:firstLine="440"/>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Allocation discipline. A growing business can create pressure to treat preparation as approval. What exactly do we need to preserve as we move toward the release gate?</w:t>
      </w:r>
    </w:p>
    <w:p w14:paraId="00100014" w14:textId="00100015">
      <w:pPr>
        <w:spacing w:after="120" w:line="276" w:lineRule="auto"/>
        <w:ind w:firstLine="440"/>
      </w:pPr>
      <w:r>
        <w:rPr>
          <w:rFonts w:ascii="Calibri" w:hAnsi="Calibri" w:eastAsia="Calibri"/>
          <w:color w:val="172F38"/>
          <w:sz w:val="22"/>
        </w:rPr>
        <w:t xml:space="preserve"/>
      </w:r>
    </w:p>
    <w:p w14:paraId="00100016" w14:textId="00100017">
      <w:pPr>
        <w:spacing w:after="120" w:line="276" w:lineRule="auto"/>
        <w:ind w:firstLine="440"/>
      </w:pPr>
      <w:r>
        <w:rPr>
          <w:rFonts w:ascii="Calibri" w:hAnsi="Calibri" w:eastAsia="Calibri"/>
          <w:color w:val="172F38"/>
          <w:sz w:val="22"/>
        </w:rPr>
        <w:t xml:space="preserve">09:02 | Riley Arden: The engineering position is simple: Do not substitute peak specifications for application qualification. For SunCore we are working against 24 INT8 TOPS and 15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ind w:firstLine="440"/>
      </w:pPr>
      <w:r>
        <w:rPr>
          <w:rFonts w:ascii="Calibri" w:hAnsi="Calibri" w:eastAsia="Calibri"/>
          <w:b/>
          <w:color w:val="123B4A"/>
          <w:sz w:val="28"/>
        </w:rPr>
        <w:t xml:space="preserve">Discussion | 02</w:t>
      </w:r>
    </w:p>
    <w:p w14:paraId="0010001A" w14:textId="0010001B">
      <w:pPr>
        <w:spacing w:after="120" w:line="276" w:lineRule="auto"/>
        <w:ind w:firstLine="440"/>
      </w:pPr>
      <w:r>
        <w:rPr>
          <w:rFonts w:ascii="Calibri" w:hAnsi="Calibri" w:eastAsia="Calibri"/>
          <w:color w:val="172F38"/>
          <w:sz w:val="22"/>
        </w:rPr>
        <w:t xml:space="preserve">09:04 | Quinn Mercer: That distinction matters for warehouse automation. Our support emphasis is schedule-backed allocation and repeatable factory test.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ind w:firstLine="440"/>
      </w:pPr>
      <w:r>
        <w:rPr>
          <w:rFonts w:ascii="Calibri" w:hAnsi="Calibri" w:eastAsia="Calibri"/>
          <w:color w:val="172F38"/>
          <w:sz w:val="22"/>
        </w:rPr>
        <w:t xml:space="preserve"/>
      </w:r>
    </w:p>
    <w:p w14:paraId="0010001E" w14:textId="0010001F">
      <w:pPr>
        <w:spacing w:after="120" w:line="276" w:lineRule="auto"/>
        <w:ind w:firstLine="440"/>
      </w:pPr>
      <w:r>
        <w:rPr>
          <w:rFonts w:ascii="Calibri" w:hAnsi="Calibri" w:eastAsia="Calibri"/>
          <w:color w:val="172F38"/>
          <w:sz w:val="22"/>
        </w:rPr>
        <w:t xml:space="preserve">09:06 | Casey Marlow: Q2 recognized revenue was $552.0 million, with operating income of $160.1 million. Those are strong actuals, but they are not cash balances or a forecast. My concern is long wafer-start commitments. Before we commit to a faster ramp, we should understand whether accepted schedules and release evidence support the manufacturing exposure.</w:t>
      </w:r>
    </w:p>
    <w:p w14:paraId="00100020" w14:textId="00100021">
      <w:pPr>
        <w:pStyle w:val="Heading2"/>
        <w:spacing w:after="120" w:line="276" w:lineRule="auto"/>
        <w:ind w:firstLine="440"/>
      </w:pPr>
      <w:r>
        <w:rPr>
          <w:rFonts w:ascii="Calibri" w:hAnsi="Calibri" w:eastAsia="Calibri"/>
          <w:b/>
          <w:color w:val="123B4A"/>
          <w:sz w:val="28"/>
        </w:rPr>
        <w:t xml:space="preserve">Discussion | 03</w:t>
      </w:r>
    </w:p>
    <w:p w14:paraId="00100022" w14:textId="00100023">
      <w:pPr>
        <w:spacing w:after="120" w:line="276" w:lineRule="auto"/>
        <w:ind w:firstLine="440"/>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ind w:firstLine="440"/>
      </w:pPr>
      <w:r>
        <w:rPr>
          <w:rFonts w:ascii="Calibri" w:hAnsi="Calibri" w:eastAsia="Calibri"/>
          <w:color w:val="172F38"/>
          <w:sz w:val="22"/>
        </w:rPr>
        <w:t xml:space="preserve"/>
      </w:r>
    </w:p>
    <w:p w14:paraId="00100026" w14:textId="00100027">
      <w:pPr>
        <w:spacing w:after="120" w:line="276" w:lineRule="auto"/>
        <w:ind w:firstLine="440"/>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ind w:firstLine="440"/>
      </w:pPr>
      <w:r>
        <w:rPr>
          <w:rFonts w:ascii="Calibri" w:hAnsi="Calibri" w:eastAsia="Calibri"/>
          <w:b/>
          <w:color w:val="123B4A"/>
          <w:sz w:val="30"/>
        </w:rPr>
        <w:t xml:space="preserve">SunnySemi LLC | Discussion | 04</w:t>
      </w:r>
    </w:p>
    <w:p w14:paraId="0010002A" w14:textId="0010002B">
      <w:pPr>
        <w:spacing w:after="120" w:line="276" w:lineRule="auto"/>
        <w:ind w:firstLine="440"/>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ind w:firstLine="440"/>
      </w:pPr>
      <w:r>
        <w:rPr>
          <w:rFonts w:ascii="Calibri" w:hAnsi="Calibri" w:eastAsia="Calibri"/>
          <w:color w:val="172F38"/>
          <w:sz w:val="22"/>
        </w:rPr>
        <w:t xml:space="preserve"/>
      </w:r>
    </w:p>
    <w:p w14:paraId="0010002E" w14:textId="0010002F">
      <w:pPr>
        <w:spacing w:after="120" w:line="276" w:lineRule="auto"/>
        <w:ind w:firstLine="440"/>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match wafer reservations to accepted customer schedules. That keeps the capacity discussion tied to evidence rather than enthusiasm about demand.</w:t>
      </w:r>
    </w:p>
    <w:p w14:paraId="00100030" w14:textId="00100031">
      <w:pPr>
        <w:pStyle w:val="Heading2"/>
        <w:spacing w:after="120" w:line="276" w:lineRule="auto"/>
        <w:ind w:firstLine="440"/>
      </w:pPr>
      <w:r>
        <w:rPr>
          <w:rFonts w:ascii="Calibri" w:hAnsi="Calibri" w:eastAsia="Calibri"/>
          <w:b/>
          <w:color w:val="123B4A"/>
          <w:sz w:val="28"/>
        </w:rPr>
        <w:t xml:space="preserve">Discussion | 05</w:t>
      </w:r>
    </w:p>
    <w:p w14:paraId="00100032" w14:textId="00100033">
      <w:pPr>
        <w:spacing w:after="120" w:line="276" w:lineRule="auto"/>
        <w:ind w:firstLine="440"/>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ind w:firstLine="440"/>
      </w:pPr>
      <w:r>
        <w:rPr>
          <w:rFonts w:ascii="Calibri" w:hAnsi="Calibri" w:eastAsia="Calibri"/>
          <w:color w:val="172F38"/>
          <w:sz w:val="22"/>
        </w:rPr>
        <w:t xml:space="preserve"/>
      </w:r>
    </w:p>
    <w:p w14:paraId="00100036" w14:textId="00100037">
      <w:pPr>
        <w:spacing w:after="120" w:line="276" w:lineRule="auto"/>
        <w:ind w:firstLine="440"/>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ind w:firstLine="440"/>
      </w:pPr>
      <w:r>
        <w:rPr>
          <w:rFonts w:ascii="Calibri" w:hAnsi="Calibri" w:eastAsia="Calibri"/>
          <w:b/>
          <w:color w:val="123B4A"/>
          <w:sz w:val="28"/>
        </w:rPr>
        <w:t xml:space="preserve">Discussion | 06</w:t>
      </w:r>
    </w:p>
    <w:p w14:paraId="0010003A" w14:textId="0010003B">
      <w:pPr>
        <w:spacing w:after="120" w:line="276" w:lineRule="auto"/>
        <w:ind w:firstLine="440"/>
      </w:pPr>
      <w:r>
        <w:rPr>
          <w:rFonts w:ascii="Calibri" w:hAnsi="Calibri" w:eastAsia="Calibri"/>
          <w:color w:val="172F38"/>
          <w:sz w:val="22"/>
        </w:rPr>
        <w:t xml:space="preserve">09:20 | Quinn Mercer: For GulfSwitch the same principle appears in a different form. The reference boundary is 48 V maximum rated input with 12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ind w:firstLine="440"/>
      </w:pPr>
      <w:r>
        <w:rPr>
          <w:rFonts w:ascii="Calibri" w:hAnsi="Calibri" w:eastAsia="Calibri"/>
          <w:color w:val="172F38"/>
          <w:sz w:val="22"/>
        </w:rPr>
        <w:t xml:space="preserve"/>
      </w:r>
    </w:p>
    <w:p w14:paraId="0010003E" w14:textId="0010003F">
      <w:pPr>
        <w:spacing w:after="120" w:line="276" w:lineRule="auto"/>
        <w:ind w:firstLine="440"/>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ind w:firstLine="440"/>
      </w:pPr>
      <w:r>
        <w:rPr>
          <w:rFonts w:ascii="Calibri" w:hAnsi="Calibri" w:eastAsia="Calibri"/>
          <w:b/>
          <w:color w:val="123B4A"/>
          <w:sz w:val="30"/>
        </w:rPr>
        <w:t xml:space="preserve">SunnySemi LLC | Discussion | 07</w:t>
      </w:r>
    </w:p>
    <w:p w14:paraId="00100042" w14:textId="00100043">
      <w:pPr>
        <w:spacing w:after="120" w:line="276" w:lineRule="auto"/>
        <w:ind w:firstLine="440"/>
      </w:pPr>
      <w:r>
        <w:rPr>
          <w:rFonts w:ascii="Calibri" w:hAnsi="Calibri" w:eastAsia="Calibri"/>
          <w:color w:val="172F38"/>
          <w:sz w:val="22"/>
        </w:rPr>
        <w:t xml:space="preserve">09:24 | Avery Rowan: Let us test the proposal against this year's operating issue. The risk is long wafer-start commitments. If we describe the mitigation as match wafer reservations to accepted customer schedules, what should the review actually ask for? I am not asking for a new numerical hurdle today. I am asking how the existing evidence and accepted schedules reach the same decision.</w:t>
      </w:r>
    </w:p>
    <w:p w14:paraId="00100044" w14:textId="00100045">
      <w:pPr>
        <w:spacing w:after="120" w:line="276" w:lineRule="auto"/>
        <w:ind w:firstLine="440"/>
      </w:pPr>
      <w:r>
        <w:rPr>
          <w:rFonts w:ascii="Calibri" w:hAnsi="Calibri" w:eastAsia="Calibri"/>
          <w:color w:val="172F38"/>
          <w:sz w:val="22"/>
        </w:rPr>
        <w:t xml:space="preserve"/>
      </w:r>
    </w:p>
    <w:p w14:paraId="00100046" w14:textId="00100047">
      <w:pPr>
        <w:spacing w:after="120" w:line="276" w:lineRule="auto"/>
        <w:ind w:firstLine="440"/>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ind w:firstLine="440"/>
      </w:pPr>
      <w:r>
        <w:rPr>
          <w:rFonts w:ascii="Calibri" w:hAnsi="Calibri" w:eastAsia="Calibri"/>
          <w:b/>
          <w:color w:val="123B4A"/>
          <w:sz w:val="28"/>
        </w:rPr>
        <w:t xml:space="preserve">Discussion | 08</w:t>
      </w:r>
    </w:p>
    <w:p w14:paraId="0010004A" w14:textId="0010004B">
      <w:pPr>
        <w:spacing w:after="120" w:line="276" w:lineRule="auto"/>
        <w:ind w:firstLine="440"/>
      </w:pPr>
      <w:r>
        <w:rPr>
          <w:rFonts w:ascii="Calibri" w:hAnsi="Calibri" w:eastAsia="Calibri"/>
          <w:color w:val="172F38"/>
          <w:sz w:val="22"/>
        </w:rPr>
        <w:t xml:space="preserve">09:28 | Quinn Mercer: Then the customer side should show the agreed evaluation boundary and the qualification work still open. For warehouse automation, the support emphasis remains schedule-backed allocation and repeatable factory test.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ind w:firstLine="440"/>
      </w:pPr>
      <w:r>
        <w:rPr>
          <w:rFonts w:ascii="Calibri" w:hAnsi="Calibri" w:eastAsia="Calibri"/>
          <w:color w:val="172F38"/>
          <w:sz w:val="22"/>
        </w:rPr>
        <w:t xml:space="preserve"/>
      </w:r>
    </w:p>
    <w:p w14:paraId="0010004E" w14:textId="0010004F">
      <w:pPr>
        <w:spacing w:after="120" w:line="276" w:lineRule="auto"/>
        <w:ind w:firstLine="440"/>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ind w:firstLine="440"/>
      </w:pPr>
      <w:r>
        <w:rPr>
          <w:rFonts w:ascii="Calibri" w:hAnsi="Calibri" w:eastAsia="Calibri"/>
          <w:b/>
          <w:color w:val="123B4A"/>
          <w:sz w:val="28"/>
        </w:rPr>
        <w:t xml:space="preserve">Discussion | 09</w:t>
      </w:r>
    </w:p>
    <w:p w14:paraId="00100052" w14:textId="00100053">
      <w:pPr>
        <w:spacing w:after="120" w:line="276" w:lineRule="auto"/>
        <w:ind w:firstLine="440"/>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ind w:firstLine="440"/>
      </w:pPr>
      <w:r>
        <w:rPr>
          <w:rFonts w:ascii="Calibri" w:hAnsi="Calibri" w:eastAsia="Calibri"/>
          <w:color w:val="172F38"/>
          <w:sz w:val="22"/>
        </w:rPr>
        <w:t xml:space="preserve"/>
      </w:r>
    </w:p>
    <w:p w14:paraId="00100056" w14:textId="00100057">
      <w:pPr>
        <w:spacing w:after="120" w:line="276" w:lineRule="auto"/>
        <w:ind w:firstLine="440"/>
      </w:pPr>
      <w:r>
        <w:rPr>
          <w:rFonts w:ascii="Calibri" w:hAnsi="Calibri" w:eastAsia="Calibri"/>
          <w:color w:val="172F38"/>
          <w:sz w:val="22"/>
        </w:rPr>
        <w:t xml:space="preserve">09:34 | Riley Arden: Engineering's assigned task is Complete version-matched acceptance evidence, due 2021-08-05.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ind w:firstLine="440"/>
      </w:pPr>
      <w:r>
        <w:rPr>
          <w:rFonts w:ascii="Calibri" w:hAnsi="Calibri" w:eastAsia="Calibri"/>
          <w:b/>
          <w:color w:val="123B4A"/>
          <w:sz w:val="30"/>
        </w:rPr>
        <w:t xml:space="preserve">SunnySemi LLC | Discussion | 10</w:t>
      </w:r>
    </w:p>
    <w:p w14:paraId="0010005A" w14:textId="0010005B">
      <w:pPr>
        <w:spacing w:after="120" w:line="276" w:lineRule="auto"/>
        <w:ind w:firstLine="440"/>
      </w:pPr>
      <w:r>
        <w:rPr>
          <w:rFonts w:ascii="Calibri" w:hAnsi="Calibri" w:eastAsia="Calibri"/>
          <w:color w:val="172F38"/>
          <w:sz w:val="22"/>
        </w:rPr>
        <w:t xml:space="preserve">09:36 | Quinn Mercer: Product's assigned task is Confirm customer evaluation and qualification plans, due 2021-08-08.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ind w:firstLine="440"/>
      </w:pPr>
      <w:r>
        <w:rPr>
          <w:rFonts w:ascii="Calibri" w:hAnsi="Calibri" w:eastAsia="Calibri"/>
          <w:color w:val="172F38"/>
          <w:sz w:val="22"/>
        </w:rPr>
        <w:t xml:space="preserve"/>
      </w:r>
    </w:p>
    <w:p w14:paraId="0010005E" w14:textId="0010005F">
      <w:pPr>
        <w:spacing w:after="120" w:line="276" w:lineRule="auto"/>
        <w:ind w:firstLine="440"/>
      </w:pPr>
      <w:r>
        <w:rPr>
          <w:rFonts w:ascii="Calibri" w:hAnsi="Calibri" w:eastAsia="Calibri"/>
          <w:color w:val="172F38"/>
          <w:sz w:val="22"/>
        </w:rPr>
        <w:t xml:space="preserve">09:38 | Casey Marlow: Finance's assigned task is Review staged manufacturing commitments against accepted schedules, due 2021-08-10.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ind w:firstLine="440"/>
      </w:pPr>
      <w:r>
        <w:rPr>
          <w:rFonts w:ascii="Calibri" w:hAnsi="Calibri" w:eastAsia="Calibri"/>
          <w:b/>
          <w:color w:val="123B4A"/>
          <w:sz w:val="28"/>
        </w:rPr>
        <w:t xml:space="preserve">Discussion | 11</w:t>
      </w:r>
    </w:p>
    <w:p w14:paraId="00100062" w14:textId="00100063">
      <w:pPr>
        <w:spacing w:after="120" w:line="276" w:lineRule="auto"/>
        <w:ind w:firstLine="440"/>
      </w:pPr>
      <w:r>
        <w:rPr>
          <w:rFonts w:ascii="Calibri" w:hAnsi="Calibri" w:eastAsia="Calibri"/>
          <w:color w:val="172F38"/>
          <w:sz w:val="22"/>
        </w:rPr>
        <w:t xml:space="preserve">09:40 | Avery Rowan: Before we record the decision, I want to return to customer communication. The operating principle is to allocate constrained starts to qualified designs rather than unverified demand.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ind w:firstLine="440"/>
      </w:pPr>
      <w:r>
        <w:rPr>
          <w:rFonts w:ascii="Calibri" w:hAnsi="Calibri" w:eastAsia="Calibri"/>
          <w:color w:val="172F38"/>
          <w:sz w:val="22"/>
        </w:rPr>
        <w:t xml:space="preserve"/>
      </w:r>
    </w:p>
    <w:p w14:paraId="00100066" w14:textId="00100067">
      <w:pPr>
        <w:spacing w:after="120" w:line="276" w:lineRule="auto"/>
        <w:ind w:firstLine="440"/>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ind w:firstLine="440"/>
      </w:pPr>
      <w:r>
        <w:rPr>
          <w:rFonts w:ascii="Calibri" w:hAnsi="Calibri" w:eastAsia="Calibri"/>
          <w:b/>
          <w:color w:val="123B4A"/>
          <w:sz w:val="28"/>
        </w:rPr>
        <w:t xml:space="preserve">Discussion | 12</w:t>
      </w:r>
    </w:p>
    <w:p w14:paraId="0010006A" w14:textId="0010006B">
      <w:pPr>
        <w:spacing w:after="120" w:line="276" w:lineRule="auto"/>
        <w:ind w:firstLine="440"/>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ind w:firstLine="440"/>
      </w:pPr>
      <w:r>
        <w:rPr>
          <w:rFonts w:ascii="Calibri" w:hAnsi="Calibri" w:eastAsia="Calibri"/>
          <w:color w:val="172F38"/>
          <w:sz w:val="22"/>
        </w:rPr>
        <w:t xml:space="preserve"/>
      </w:r>
    </w:p>
    <w:p w14:paraId="0010006E" w14:textId="0010006F">
      <w:pPr>
        <w:spacing w:after="120" w:line="276" w:lineRule="auto"/>
        <w:ind w:firstLine="440"/>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ind w:firstLine="440"/>
      </w:pPr>
      <w:r>
        <w:rPr>
          <w:rFonts w:ascii="Calibri" w:hAnsi="Calibri" w:eastAsia="Calibri"/>
          <w:b/>
          <w:color w:val="123B4A"/>
          <w:sz w:val="30"/>
        </w:rPr>
        <w:t xml:space="preserve">SunnySemi LLC | Discussion | 13</w:t>
      </w:r>
    </w:p>
    <w:p w14:paraId="00100072" w14:textId="00100073">
      <w:pPr>
        <w:spacing w:after="120" w:line="276" w:lineRule="auto"/>
        <w:ind w:firstLine="440"/>
      </w:pPr>
      <w:r>
        <w:rPr>
          <w:rFonts w:ascii="Calibri" w:hAnsi="Calibri" w:eastAsia="Calibri"/>
          <w:color w:val="172F38"/>
          <w:sz w:val="22"/>
        </w:rPr>
        <w:t xml:space="preserve">09:48 | Avery Rowan: The decision is Proceed toward the August release subject to evidence gates; match wafer reservations to accepted customer schedules.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ind w:firstLine="440"/>
      </w:pPr>
      <w:r>
        <w:rPr>
          <w:rFonts w:ascii="Calibri" w:hAnsi="Calibri" w:eastAsia="Calibri"/>
          <w:color w:val="172F38"/>
          <w:sz w:val="22"/>
        </w:rPr>
        <w:t xml:space="preserve"/>
      </w:r>
    </w:p>
    <w:p w14:paraId="00100076" w14:textId="00100077">
      <w:pPr>
        <w:spacing w:after="120" w:line="276" w:lineRule="auto"/>
        <w:ind w:firstLine="440"/>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ind w:firstLine="440"/>
      </w:pPr>
      <w:r>
        <w:rPr>
          <w:rFonts w:ascii="Calibri" w:hAnsi="Calibri" w:eastAsia="Calibri"/>
          <w:b/>
          <w:color w:val="123B4A"/>
          <w:sz w:val="28"/>
        </w:rPr>
        <w:t xml:space="preserve">Discussion | 14</w:t>
      </w:r>
    </w:p>
    <w:p w14:paraId="0010007A" w14:textId="0010007B">
      <w:pPr>
        <w:spacing w:after="120" w:line="276" w:lineRule="auto"/>
        <w:ind w:firstLine="440"/>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ind w:firstLine="440"/>
      </w:pPr>
      <w:r>
        <w:rPr>
          <w:rFonts w:ascii="Calibri" w:hAnsi="Calibri" w:eastAsia="Calibri"/>
          <w:color w:val="172F38"/>
          <w:sz w:val="22"/>
        </w:rPr>
        <w:t xml:space="preserve"/>
      </w:r>
    </w:p>
    <w:p w14:paraId="0010007E" w14:textId="0010007F">
      <w:pPr>
        <w:spacing w:after="120" w:line="276" w:lineRule="auto"/>
        <w:ind w:firstLine="440"/>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ind w:firstLine="440"/>
      </w:pPr>
      <w:r>
        <w:rPr>
          <w:rFonts w:ascii="Calibri" w:hAnsi="Calibri" w:eastAsia="Calibri"/>
          <w:b/>
          <w:color w:val="123B4A"/>
          <w:sz w:val="28"/>
        </w:rPr>
        <w:t xml:space="preserve">Decision and authority boundary</w:t>
      </w:r>
    </w:p>
    <w:p w14:paraId="00100082" w14:textId="00100083">
      <w:pPr>
        <w:spacing w:after="120" w:line="276" w:lineRule="auto"/>
        <w:ind w:firstLine="440"/>
      </w:pPr>
      <w:r>
        <w:rPr>
          <w:rFonts w:ascii="Calibri" w:hAnsi="Calibri" w:eastAsia="Calibri"/>
          <w:color w:val="172F38"/>
          <w:sz w:val="22"/>
        </w:rPr>
        <w:t xml:space="preserve">Proceed toward the August release subject to evidence gates; match wafer reservations to accepted customer schedules.</w:t>
      </w:r>
    </w:p>
    <w:p w14:paraId="00100084" w14:textId="00100085">
      <w:pPr>
        <w:spacing w:after="120" w:line="276" w:lineRule="auto"/>
        <w:ind w:firstLine="440"/>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ind w:firstLine="440"/>
      </w:pPr>
      <w:r>
        <w:rPr>
          <w:rFonts w:ascii="Calibri" w:hAnsi="Calibri" w:eastAsia="Calibri"/>
          <w:b/>
          <w:color w:val="123B4A"/>
          <w:sz w:val="28"/>
        </w:rPr>
        <w:t xml:space="preserve">Owned follow-through</w:t>
      </w:r>
    </w:p>
    <w:p w14:paraId="00100088" w14:textId="00100089">
      <w:pPr>
        <w:spacing w:after="120" w:line="276" w:lineRule="auto"/>
        <w:ind w:firstLine="440"/>
      </w:pPr>
      <w:r>
        <w:rPr>
          <w:rFonts w:ascii="Calibri" w:hAnsi="Calibri" w:eastAsia="Calibri"/>
          <w:color w:val="172F38"/>
          <w:sz w:val="22"/>
        </w:rPr>
        <w:t xml:space="preserve">Riley Arden: Complete version-matched acceptance evidence - due 2021-08-05.</w:t>
      </w:r>
    </w:p>
    <w:p w14:paraId="0010008A" w14:textId="0010008B">
      <w:pPr>
        <w:spacing w:after="120" w:line="276" w:lineRule="auto"/>
        <w:ind w:firstLine="440"/>
      </w:pPr>
      <w:r>
        <w:rPr>
          <w:rFonts w:ascii="Calibri" w:hAnsi="Calibri" w:eastAsia="Calibri"/>
          <w:color w:val="172F38"/>
          <w:sz w:val="22"/>
        </w:rPr>
        <w:t xml:space="preserve">Quinn Mercer: Confirm customer evaluation and qualification plans - due 2021-08-08.</w:t>
      </w:r>
    </w:p>
    <w:p w14:paraId="0010008C" w14:textId="0010008D">
      <w:pPr>
        <w:spacing w:after="120" w:line="276" w:lineRule="auto"/>
        <w:ind w:firstLine="440"/>
      </w:pPr>
      <w:r>
        <w:rPr>
          <w:rFonts w:ascii="Calibri" w:hAnsi="Calibri" w:eastAsia="Calibri"/>
          <w:color w:val="172F38"/>
          <w:sz w:val="22"/>
        </w:rPr>
        <w:t xml:space="preserve">Casey Marlow: Review staged manufacturing commitments against accepted schedules - due 2021-08-10.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bce1229872b544ec" /><Relationship Type="http://schemas.openxmlformats.org/officeDocument/2006/relationships/styles" Target="/word/styles.xml" Id="R6a643db7a36f4f42" /><Relationship Type="http://schemas.openxmlformats.org/officeDocument/2006/relationships/theme" Target="/word/theme/theme1.xml" Id="R0ca99da48bae4dcb" /><Relationship Type="http://schemas.openxmlformats.org/officeDocument/2006/relationships/numbering" Target="/word/numbering.xml" Id="Rf38f224f446548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2026-10-15T17:18:46.0000000Z</dcterms:created>
  <lastModifiedBy>OfficeCLI</lastModifiedBy>
  <dcterms:modified xsi:type="dcterms:W3CDTF">2026-10-15T17:18:46.0000000Z</dcterms:modified>
  <dc:title>SunnySemi LLC - 2021 Production Readiness and Allocation discipline</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2026-10-15T17:18:49Z</vt:lpwstr>
  </op:property>
</op:Properties>
</file>