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20be706404e45a0" /><Relationship Type="http://schemas.openxmlformats.org/package/2006/relationships/metadata/core-properties" Target="/docProps/core.xml" Id="R5866763a22b74a49" /><Relationship Type="http://schemas.openxmlformats.org/officeDocument/2006/relationships/extended-properties" Target="/docProps/app.xml" Id="Rd7081a3c99564445" /><Relationship Type="http://schemas.openxmlformats.org/officeDocument/2006/relationships/custom-properties" Target="/docProps/custom.xml" Id="R7a4b50a9b923404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SunCore 4.0 for Machine-Vision Equipment</w:t>
      </w:r>
    </w:p>
    <w:p w14:paraId="00100004" w14:textId="00100005">
      <w:pPr>
        <w:spacing w:after="120" w:line="276" w:lineRule="auto"/>
        <w:ind w:firstLine="440"/>
      </w:pPr>
      <w:r>
        <w:rPr>
          <w:rFonts w:ascii="Calibri" w:hAnsi="Calibri" w:eastAsia="Calibri"/>
          <w:color w:val="087E8B"/>
          <w:sz w:val="20"/>
        </w:rPr>
        <w:t xml:space="preserve">2023-08-15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SunCore 4.0 has launched, effective 2023-08-15, expanding its component portfolio for machine-vision equipment.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SunCore 4.0 combines 7 nm inference ASIC with PCIe Gen3 x4 host interface with 96 INT8 TOPS and a 22 W board design budget. Peak INT8 throughput is not sustained application throughput. Customers must validate their model, host bandwidth and thermal design.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SunCore 4.0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machine-vision equipment, local equipment anomaly detection and on-device visual inspection. The reference workflow is straightforward: Capture frames on the host, prepare tensors, submit inference over PCIe, and return results to the host application. SunnySemi's adoption support emphasizes model-porting support and reproducible application validation.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26c0faf7496a4646" /><Relationship Type="http://schemas.openxmlformats.org/officeDocument/2006/relationships/styles" Target="/word/styles.xml" Id="Rc7dd1eb5ef6c44eb" /><Relationship Type="http://schemas.openxmlformats.org/officeDocument/2006/relationships/theme" Target="/word/theme/theme1.xml" Id="R806d4380bc7045c8" /><Relationship Type="http://schemas.openxmlformats.org/officeDocument/2006/relationships/numbering" Target="/word/numbering.xml" Id="R3a2ab10ca0cf48b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2026-10-15T17:20:05.0000000Z</dcterms:created>
  <lastModifiedBy>OfficeCLI</lastModifiedBy>
  <dcterms:modified xsi:type="dcterms:W3CDTF">2026-10-15T17:20:05.0000000Z</dcterms:modified>
  <dc:title>SunnySemi LLC Launches SunCore 4.0 for Machine-Vision Equipment</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2026-10-15T17:20:07Z</vt:lpwstr>
  </op:property>
</op:Properties>
</file>