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0f55a0360f54093" /><Relationship Type="http://schemas.openxmlformats.org/package/2006/relationships/metadata/core-properties" Target="/docProps/core.xml" Id="R73bc5a70366b4503" /><Relationship Type="http://schemas.openxmlformats.org/officeDocument/2006/relationships/extended-properties" Target="/docProps/app.xml" Id="Rc04e0be30d614e72" /><Relationship Type="http://schemas.openxmlformats.org/officeDocument/2006/relationships/custom-properties" Target="/docProps/custom.xml" Id="Rf0a7cc3679d04d1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- 2024 Production Readiness and Thermal accountability</w:t>
      </w:r>
    </w:p>
    <w:p w14:paraId="00100004" w14:textId="00100005">
      <w:pPr>
        <w:spacing w:after="120" w:line="276" w:lineRule="auto"/>
        <w:ind w:firstLine="440"/>
      </w:pPr>
      <w:r>
        <w:rPr>
          <w:rFonts w:ascii="Calibri" w:hAnsi="Calibri" w:eastAsia="Calibri"/>
          <w:color w:val="087E8B"/>
          <w:sz w:val="20"/>
        </w:rPr>
        <w:t xml:space="preserve">2024-07-25 | Tampa, Florida</w:t>
      </w:r>
    </w:p>
    <w:p w14:paraId="00100006" w14:textId="00100007">
      <w:pPr>
        <w:pStyle w:val="Heading2"/>
        <w:spacing w:after="120" w:line="276" w:lineRule="auto"/>
        <w:ind w:firstLine="440"/>
      </w:pPr>
      <w:r>
        <w:rPr>
          <w:rFonts w:ascii="Calibri" w:hAnsi="Calibri" w:eastAsia="Calibri"/>
          <w:b/>
          <w:color w:val="123B4A"/>
          <w:sz w:val="28"/>
        </w:rPr>
        <w:t xml:space="preserve">Meeting record and participants</w:t>
      </w:r>
    </w:p>
    <w:p w14:paraId="00100008" w14:textId="00100009">
      <w:pPr>
        <w:spacing w:after="120" w:line="276" w:lineRule="auto"/>
        <w:ind w:firstLine="440"/>
      </w:pPr>
      <w:r>
        <w:rPr>
          <w:rFonts w:ascii="Calibri" w:hAnsi="Calibri" w:eastAsia="Calibri"/>
          <w:color w:val="172F38"/>
          <w:sz w:val="22"/>
        </w:rPr>
        <w:t xml:space="preserve">2024-07-25 | Tampa, Florida</w:t>
      </w:r>
    </w:p>
    <w:p w14:paraId="0010000A" w14:textId="0010000B">
      <w:pPr>
        <w:spacing w:after="120" w:line="276" w:lineRule="auto"/>
        <w:ind w:firstLine="440"/>
      </w:pPr>
      <w:r>
        <w:rPr>
          <w:rFonts w:ascii="Calibri" w:hAnsi="Calibri" w:eastAsia="Calibri"/>
          <w:color w:val="172F38"/>
          <w:sz w:val="22"/>
        </w:rPr>
        <w:t xml:space="preserve">Avery Rowan, CEO; Riley Arden, VP Engineering; Quinn Mercer, Product Director; Casey Marlow, CFO.</w:t>
      </w:r>
    </w:p>
    <w:p w14:paraId="0010000C" w14:textId="0010000D">
      <w:pPr>
        <w:spacing w:after="120" w:line="276" w:lineRule="auto"/>
        <w:ind w:firstLine="440"/>
      </w:pPr>
      <w:r>
        <w:rPr>
          <w:rFonts w:ascii="Calibri" w:hAnsi="Calibri" w:eastAsia="Calibri"/>
          <w:color w:val="172F38"/>
          <w:sz w:val="22"/>
        </w:rPr>
        <w:t xml:space="preserve">Agenda: Thermal accountability; SunCore release evidence; GulfSwitch adoption; Capacity commitment controls.</w:t>
      </w:r>
    </w:p>
    <w:p w14:paraId="0010000E" w14:textId="0010000F">
      <w:pPr>
        <w:spacing w:after="120" w:line="276" w:lineRule="auto"/>
        <w:ind w:firstLine="440"/>
      </w:pPr>
      <w:r>
        <w:rPr>
          <w:rFonts w:ascii="Calibri" w:hAnsi="Calibri" w:eastAsia="Calibri"/>
          <w:color w:val="172F38"/>
          <w:sz w:val="22"/>
        </w:rPr>
        <w:t xml:space="preserve">Release status: planned; target 2024-08-15.</w:t>
      </w:r>
    </w:p>
    <w:p w14:paraId="00100010" w14:textId="00100011">
      <w:pPr>
        <w:pStyle w:val="Heading1"/>
        <w:pageBreakBefore/>
        <w:spacing w:after="120" w:line="276" w:lineRule="auto"/>
        <w:ind w:firstLine="440"/>
      </w:pPr>
      <w:r>
        <w:rPr>
          <w:rFonts w:ascii="Calibri" w:hAnsi="Calibri" w:eastAsia="Calibri"/>
          <w:b/>
          <w:color w:val="123B4A"/>
          <w:sz w:val="30"/>
        </w:rPr>
        <w:t xml:space="preserve">SunnySemi LLC | Discussion | 01</w:t>
      </w:r>
    </w:p>
    <w:p w14:paraId="00100012" w14:textId="00100013">
      <w:pPr>
        <w:spacing w:after="120" w:line="276" w:lineRule="auto"/>
        <w:ind w:firstLine="440"/>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Thermal accountability. A growing business can create pressure to treat preparation as approval. What exactly do we need to preserve as we move toward the release gate?</w:t>
      </w:r>
    </w:p>
    <w:p w14:paraId="00100014" w14:textId="00100015">
      <w:pPr>
        <w:spacing w:after="120" w:line="276" w:lineRule="auto"/>
        <w:ind w:firstLine="440"/>
      </w:pPr>
      <w:r>
        <w:rPr>
          <w:rFonts w:ascii="Calibri" w:hAnsi="Calibri" w:eastAsia="Calibri"/>
          <w:color w:val="172F38"/>
          <w:sz w:val="22"/>
        </w:rPr>
        <w:t xml:space="preserve"/>
      </w:r>
    </w:p>
    <w:p w14:paraId="00100016" w14:textId="00100017">
      <w:pPr>
        <w:spacing w:after="120" w:line="276" w:lineRule="auto"/>
        <w:ind w:firstLine="440"/>
      </w:pPr>
      <w:r>
        <w:rPr>
          <w:rFonts w:ascii="Calibri" w:hAnsi="Calibri" w:eastAsia="Calibri"/>
          <w:color w:val="172F38"/>
          <w:sz w:val="22"/>
        </w:rPr>
        <w:t xml:space="preserve">09:02 | Riley Arden: The engineering position is simple: Do not substitute peak specifications for application qualification. For SunCore we are working against 160 INT8 TOPS and 28 W board design budget. Those boundaries help us define verification, but they do not tell us how every customer model will behave. I would not present a peak hardware number as a guaranteed application result.</w:t>
      </w:r>
    </w:p>
    <w:p w14:paraId="00100018" w14:textId="00100019">
      <w:pPr>
        <w:pStyle w:val="Heading2"/>
        <w:spacing w:after="120" w:line="276" w:lineRule="auto"/>
        <w:ind w:firstLine="440"/>
      </w:pPr>
      <w:r>
        <w:rPr>
          <w:rFonts w:ascii="Calibri" w:hAnsi="Calibri" w:eastAsia="Calibri"/>
          <w:b/>
          <w:color w:val="123B4A"/>
          <w:sz w:val="28"/>
        </w:rPr>
        <w:t xml:space="preserve">Discussion | 02</w:t>
      </w:r>
    </w:p>
    <w:p w14:paraId="0010001A" w14:textId="0010001B">
      <w:pPr>
        <w:spacing w:after="120" w:line="276" w:lineRule="auto"/>
        <w:ind w:firstLine="440"/>
      </w:pPr>
      <w:r>
        <w:rPr>
          <w:rFonts w:ascii="Calibri" w:hAnsi="Calibri" w:eastAsia="Calibri"/>
          <w:color w:val="172F38"/>
          <w:sz w:val="22"/>
        </w:rPr>
        <w:t xml:space="preserve">09:04 | Quinn Mercer: That distinction matters for embedded industrial computing. Our support emphasis is customer thermal reviews and power-aware deployment. I want the customer conversation to start with the intended workload, the host interface and the thermal boundary. If those remain open, a kit shipment is useful evaluation activity, but it is not a completed production qualification.</w:t>
      </w:r>
    </w:p>
    <w:p w14:paraId="0010001C" w14:textId="0010001D">
      <w:pPr>
        <w:spacing w:after="120" w:line="276" w:lineRule="auto"/>
        <w:ind w:firstLine="440"/>
      </w:pPr>
      <w:r>
        <w:rPr>
          <w:rFonts w:ascii="Calibri" w:hAnsi="Calibri" w:eastAsia="Calibri"/>
          <w:color w:val="172F38"/>
          <w:sz w:val="22"/>
        </w:rPr>
        <w:t xml:space="preserve"/>
      </w:r>
    </w:p>
    <w:p w14:paraId="0010001E" w14:textId="0010001F">
      <w:pPr>
        <w:spacing w:after="120" w:line="276" w:lineRule="auto"/>
        <w:ind w:firstLine="440"/>
      </w:pPr>
      <w:r>
        <w:rPr>
          <w:rFonts w:ascii="Calibri" w:hAnsi="Calibri" w:eastAsia="Calibri"/>
          <w:color w:val="172F38"/>
          <w:sz w:val="22"/>
        </w:rPr>
        <w:t xml:space="preserve">09:06 | Casey Marlow: Q2 recognized revenue was $3220.0 million, with operating income of $1223.6 million. Those are strong actuals, but they are not cash balances or a forecast. My concern is customer enclosures with inadequate thermal headroom. Before we commit to a faster ramp, we should understand whether accepted schedules and release evidence support the manufacturing exposure.</w:t>
      </w:r>
    </w:p>
    <w:p w14:paraId="00100020" w14:textId="00100021">
      <w:pPr>
        <w:pStyle w:val="Heading2"/>
        <w:spacing w:after="120" w:line="276" w:lineRule="auto"/>
        <w:ind w:firstLine="440"/>
      </w:pPr>
      <w:r>
        <w:rPr>
          <w:rFonts w:ascii="Calibri" w:hAnsi="Calibri" w:eastAsia="Calibri"/>
          <w:b/>
          <w:color w:val="123B4A"/>
          <w:sz w:val="28"/>
        </w:rPr>
        <w:t xml:space="preserve">Discussion | 03</w:t>
      </w:r>
    </w:p>
    <w:p w14:paraId="00100022" w14:textId="00100023">
      <w:pPr>
        <w:spacing w:after="120" w:line="276" w:lineRule="auto"/>
        <w:ind w:firstLine="440"/>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25">
      <w:pPr>
        <w:spacing w:after="120" w:line="276" w:lineRule="auto"/>
        <w:ind w:firstLine="440"/>
      </w:pPr>
      <w:r>
        <w:rPr>
          <w:rFonts w:ascii="Calibri" w:hAnsi="Calibri" w:eastAsia="Calibri"/>
          <w:color w:val="172F38"/>
          <w:sz w:val="22"/>
        </w:rPr>
        <w:t xml:space="preserve"/>
      </w:r>
    </w:p>
    <w:p w14:paraId="00100026" w14:textId="00100027">
      <w:pPr>
        <w:spacing w:after="120" w:line="276" w:lineRule="auto"/>
        <w:ind w:firstLine="440"/>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29">
      <w:pPr>
        <w:pStyle w:val="Heading1"/>
        <w:pageBreakBefore/>
        <w:spacing w:after="120" w:line="276" w:lineRule="auto"/>
        <w:ind w:firstLine="440"/>
      </w:pPr>
      <w:r>
        <w:rPr>
          <w:rFonts w:ascii="Calibri" w:hAnsi="Calibri" w:eastAsia="Calibri"/>
          <w:b/>
          <w:color w:val="123B4A"/>
          <w:sz w:val="30"/>
        </w:rPr>
        <w:t xml:space="preserve">SunnySemi LLC | Discussion | 04</w:t>
      </w:r>
    </w:p>
    <w:p w14:paraId="0010002A" w14:textId="0010002B">
      <w:pPr>
        <w:spacing w:after="120" w:line="276" w:lineRule="auto"/>
        <w:ind w:firstLine="440"/>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2D">
      <w:pPr>
        <w:spacing w:after="120" w:line="276" w:lineRule="auto"/>
        <w:ind w:firstLine="440"/>
      </w:pPr>
      <w:r>
        <w:rPr>
          <w:rFonts w:ascii="Calibri" w:hAnsi="Calibri" w:eastAsia="Calibri"/>
          <w:color w:val="172F38"/>
          <w:sz w:val="22"/>
        </w:rPr>
        <w:t xml:space="preserve"/>
      </w:r>
    </w:p>
    <w:p w14:paraId="0010002E" w14:textId="0010002F">
      <w:pPr>
        <w:spacing w:after="120" w:line="276" w:lineRule="auto"/>
        <w:ind w:firstLine="440"/>
      </w:pPr>
      <w:r>
        <w:rPr>
          <w:rFonts w:ascii="Calibri" w:hAnsi="Calibri" w:eastAsia="Calibri"/>
          <w:color w:val="172F38"/>
          <w:sz w:val="22"/>
        </w:rPr>
        <w:t xml:space="preserve">09:14 | Casey Marlow: The financial distinction is similar. Revenue is recognized revenue, not an order-book proxy, and operating income is not liquidity. We can assess the reported economics without pretending we have a full funding model here. My recommendation is to require board-level thermal evidence before ramp approval. That keeps the capacity discussion tied to evidence rather than enthusiasm about demand.</w:t>
      </w:r>
    </w:p>
    <w:p w14:paraId="00100030" w14:textId="00100031">
      <w:pPr>
        <w:pStyle w:val="Heading2"/>
        <w:spacing w:after="120" w:line="276" w:lineRule="auto"/>
        <w:ind w:firstLine="440"/>
      </w:pPr>
      <w:r>
        <w:rPr>
          <w:rFonts w:ascii="Calibri" w:hAnsi="Calibri" w:eastAsia="Calibri"/>
          <w:b/>
          <w:color w:val="123B4A"/>
          <w:sz w:val="28"/>
        </w:rPr>
        <w:t xml:space="preserve">Discussion | 05</w:t>
      </w:r>
    </w:p>
    <w:p w14:paraId="00100032" w14:textId="00100033">
      <w:pPr>
        <w:spacing w:after="120" w:line="276" w:lineRule="auto"/>
        <w:ind w:firstLine="440"/>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35">
      <w:pPr>
        <w:spacing w:after="120" w:line="276" w:lineRule="auto"/>
        <w:ind w:firstLine="440"/>
      </w:pPr>
      <w:r>
        <w:rPr>
          <w:rFonts w:ascii="Calibri" w:hAnsi="Calibri" w:eastAsia="Calibri"/>
          <w:color w:val="172F38"/>
          <w:sz w:val="22"/>
        </w:rPr>
        <w:t xml:space="preserve"/>
      </w:r>
    </w:p>
    <w:p w14:paraId="00100036" w14:textId="00100037">
      <w:pPr>
        <w:spacing w:after="120" w:line="276" w:lineRule="auto"/>
        <w:ind w:firstLine="440"/>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39">
      <w:pPr>
        <w:pStyle w:val="Heading2"/>
        <w:spacing w:after="120" w:line="276" w:lineRule="auto"/>
        <w:ind w:firstLine="440"/>
      </w:pPr>
      <w:r>
        <w:rPr>
          <w:rFonts w:ascii="Calibri" w:hAnsi="Calibri" w:eastAsia="Calibri"/>
          <w:b/>
          <w:color w:val="123B4A"/>
          <w:sz w:val="28"/>
        </w:rPr>
        <w:t xml:space="preserve">Discussion | 06</w:t>
      </w:r>
    </w:p>
    <w:p w14:paraId="0010003A" w14:textId="0010003B">
      <w:pPr>
        <w:spacing w:after="120" w:line="276" w:lineRule="auto"/>
        <w:ind w:firstLine="440"/>
      </w:pPr>
      <w:r>
        <w:rPr>
          <w:rFonts w:ascii="Calibri" w:hAnsi="Calibri" w:eastAsia="Calibri"/>
          <w:color w:val="172F38"/>
          <w:sz w:val="22"/>
        </w:rPr>
        <w:t xml:space="preserve">09:20 | Quinn Mercer: For GulfSwitch the same principle appears in a different form. The reference boundary is 80 V maximum rated input with 20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3D">
      <w:pPr>
        <w:spacing w:after="120" w:line="276" w:lineRule="auto"/>
        <w:ind w:firstLine="440"/>
      </w:pPr>
      <w:r>
        <w:rPr>
          <w:rFonts w:ascii="Calibri" w:hAnsi="Calibri" w:eastAsia="Calibri"/>
          <w:color w:val="172F38"/>
          <w:sz w:val="22"/>
        </w:rPr>
        <w:t xml:space="preserve"/>
      </w:r>
    </w:p>
    <w:p w14:paraId="0010003E" w14:textId="0010003F">
      <w:pPr>
        <w:spacing w:after="120" w:line="276" w:lineRule="auto"/>
        <w:ind w:firstLine="440"/>
      </w:pPr>
      <w:r>
        <w:rPr>
          <w:rFonts w:ascii="Calibri" w:hAnsi="Calibri" w:eastAsia="Calibri"/>
          <w:color w:val="172F38"/>
          <w:sz w:val="22"/>
        </w:rPr>
        <w:t xml:space="preserve">09:22 | Casey Marlow: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41">
      <w:pPr>
        <w:pStyle w:val="Heading1"/>
        <w:pageBreakBefore/>
        <w:spacing w:after="120" w:line="276" w:lineRule="auto"/>
        <w:ind w:firstLine="440"/>
      </w:pPr>
      <w:r>
        <w:rPr>
          <w:rFonts w:ascii="Calibri" w:hAnsi="Calibri" w:eastAsia="Calibri"/>
          <w:b/>
          <w:color w:val="123B4A"/>
          <w:sz w:val="30"/>
        </w:rPr>
        <w:t xml:space="preserve">SunnySemi LLC | Discussion | 07</w:t>
      </w:r>
    </w:p>
    <w:p w14:paraId="00100042" w14:textId="00100043">
      <w:pPr>
        <w:spacing w:after="120" w:line="276" w:lineRule="auto"/>
        <w:ind w:firstLine="440"/>
      </w:pPr>
      <w:r>
        <w:rPr>
          <w:rFonts w:ascii="Calibri" w:hAnsi="Calibri" w:eastAsia="Calibri"/>
          <w:color w:val="172F38"/>
          <w:sz w:val="22"/>
        </w:rPr>
        <w:t xml:space="preserve">09:24 | Avery Rowan: Let us test the proposal against this year's operating issue. The risk is customer enclosures with inadequate thermal headroom. If we describe the mitigation as require board-level thermal evidence before ramp approval, what should the review actually ask for? I am not asking for a new numerical hurdle today. I am asking how the existing evidence and accepted schedules reach the same decision.</w:t>
      </w:r>
    </w:p>
    <w:p w14:paraId="00100044" w14:textId="00100045">
      <w:pPr>
        <w:spacing w:after="120" w:line="276" w:lineRule="auto"/>
        <w:ind w:firstLine="440"/>
      </w:pPr>
      <w:r>
        <w:rPr>
          <w:rFonts w:ascii="Calibri" w:hAnsi="Calibri" w:eastAsia="Calibri"/>
          <w:color w:val="172F38"/>
          <w:sz w:val="22"/>
        </w:rPr>
        <w:t xml:space="preserve"/>
      </w:r>
    </w:p>
    <w:p w14:paraId="00100046" w14:textId="00100047">
      <w:pPr>
        <w:spacing w:after="120" w:line="276" w:lineRule="auto"/>
        <w:ind w:firstLine="440"/>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49">
      <w:pPr>
        <w:pStyle w:val="Heading2"/>
        <w:spacing w:after="120" w:line="276" w:lineRule="auto"/>
        <w:ind w:firstLine="440"/>
      </w:pPr>
      <w:r>
        <w:rPr>
          <w:rFonts w:ascii="Calibri" w:hAnsi="Calibri" w:eastAsia="Calibri"/>
          <w:b/>
          <w:color w:val="123B4A"/>
          <w:sz w:val="28"/>
        </w:rPr>
        <w:t xml:space="preserve">Discussion | 08</w:t>
      </w:r>
    </w:p>
    <w:p w14:paraId="0010004A" w14:textId="0010004B">
      <w:pPr>
        <w:spacing w:after="120" w:line="276" w:lineRule="auto"/>
        <w:ind w:firstLine="440"/>
      </w:pPr>
      <w:r>
        <w:rPr>
          <w:rFonts w:ascii="Calibri" w:hAnsi="Calibri" w:eastAsia="Calibri"/>
          <w:color w:val="172F38"/>
          <w:sz w:val="22"/>
        </w:rPr>
        <w:t xml:space="preserve">09:28 | Quinn Mercer: Then the customer side should show the agreed evaluation boundary and the qualification work still open. For embedded industrial computing, the support emphasis remains customer thermal reviews and power-aware deployment. I would rather communicate an explicit dependency than imply an adoption date that has not been accepted. That gives applications support a concrete conversation instead of a generic promise to accelerate.</w:t>
      </w:r>
    </w:p>
    <w:p w14:paraId="0010004C" w14:textId="0010004D">
      <w:pPr>
        <w:spacing w:after="120" w:line="276" w:lineRule="auto"/>
        <w:ind w:firstLine="440"/>
      </w:pPr>
      <w:r>
        <w:rPr>
          <w:rFonts w:ascii="Calibri" w:hAnsi="Calibri" w:eastAsia="Calibri"/>
          <w:color w:val="172F38"/>
          <w:sz w:val="22"/>
        </w:rPr>
        <w:t xml:space="preserve"/>
      </w:r>
    </w:p>
    <w:p w14:paraId="0010004E" w14:textId="0010004F">
      <w:pPr>
        <w:spacing w:after="120" w:line="276" w:lineRule="auto"/>
        <w:ind w:firstLine="440"/>
      </w:pPr>
      <w:r>
        <w:rPr>
          <w:rFonts w:ascii="Calibri" w:hAnsi="Calibri" w:eastAsia="Calibri"/>
          <w:color w:val="172F38"/>
          <w:sz w:val="22"/>
        </w:rPr>
        <w:t xml:space="preserve">09:30 | Casey Marlow: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51">
      <w:pPr>
        <w:pStyle w:val="Heading2"/>
        <w:spacing w:after="120" w:line="276" w:lineRule="auto"/>
        <w:ind w:firstLine="440"/>
      </w:pPr>
      <w:r>
        <w:rPr>
          <w:rFonts w:ascii="Calibri" w:hAnsi="Calibri" w:eastAsia="Calibri"/>
          <w:b/>
          <w:color w:val="123B4A"/>
          <w:sz w:val="28"/>
        </w:rPr>
        <w:t xml:space="preserve">Discussion | 09</w:t>
      </w:r>
    </w:p>
    <w:p w14:paraId="00100052" w14:textId="00100053">
      <w:pPr>
        <w:spacing w:after="120" w:line="276" w:lineRule="auto"/>
        <w:ind w:firstLine="440"/>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55">
      <w:pPr>
        <w:spacing w:after="120" w:line="276" w:lineRule="auto"/>
        <w:ind w:firstLine="440"/>
      </w:pPr>
      <w:r>
        <w:rPr>
          <w:rFonts w:ascii="Calibri" w:hAnsi="Calibri" w:eastAsia="Calibri"/>
          <w:color w:val="172F38"/>
          <w:sz w:val="22"/>
        </w:rPr>
        <w:t xml:space="preserve"/>
      </w:r>
    </w:p>
    <w:p w14:paraId="00100056" w14:textId="00100057">
      <w:pPr>
        <w:spacing w:after="120" w:line="276" w:lineRule="auto"/>
        <w:ind w:firstLine="440"/>
      </w:pPr>
      <w:r>
        <w:rPr>
          <w:rFonts w:ascii="Calibri" w:hAnsi="Calibri" w:eastAsia="Calibri"/>
          <w:color w:val="172F38"/>
          <w:sz w:val="22"/>
        </w:rPr>
        <w:t xml:space="preserve">09:34 | Riley Arden: Engineering's assigned task is Complete version-matched acceptance evidence, due 2024-08-05.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59">
      <w:pPr>
        <w:pStyle w:val="Heading1"/>
        <w:pageBreakBefore/>
        <w:spacing w:after="120" w:line="276" w:lineRule="auto"/>
        <w:ind w:firstLine="440"/>
      </w:pPr>
      <w:r>
        <w:rPr>
          <w:rFonts w:ascii="Calibri" w:hAnsi="Calibri" w:eastAsia="Calibri"/>
          <w:b/>
          <w:color w:val="123B4A"/>
          <w:sz w:val="30"/>
        </w:rPr>
        <w:t xml:space="preserve">SunnySemi LLC | Discussion | 10</w:t>
      </w:r>
    </w:p>
    <w:p w14:paraId="0010005A" w14:textId="0010005B">
      <w:pPr>
        <w:spacing w:after="120" w:line="276" w:lineRule="auto"/>
        <w:ind w:firstLine="440"/>
      </w:pPr>
      <w:r>
        <w:rPr>
          <w:rFonts w:ascii="Calibri" w:hAnsi="Calibri" w:eastAsia="Calibri"/>
          <w:color w:val="172F38"/>
          <w:sz w:val="22"/>
        </w:rPr>
        <w:t xml:space="preserve">09:36 | Quinn Mercer: Product's assigned task is Confirm customer evaluation and qualification plans, due 2024-08-08.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5D">
      <w:pPr>
        <w:spacing w:after="120" w:line="276" w:lineRule="auto"/>
        <w:ind w:firstLine="440"/>
      </w:pPr>
      <w:r>
        <w:rPr>
          <w:rFonts w:ascii="Calibri" w:hAnsi="Calibri" w:eastAsia="Calibri"/>
          <w:color w:val="172F38"/>
          <w:sz w:val="22"/>
        </w:rPr>
        <w:t xml:space="preserve"/>
      </w:r>
    </w:p>
    <w:p w14:paraId="0010005E" w14:textId="0010005F">
      <w:pPr>
        <w:spacing w:after="120" w:line="276" w:lineRule="auto"/>
        <w:ind w:firstLine="440"/>
      </w:pPr>
      <w:r>
        <w:rPr>
          <w:rFonts w:ascii="Calibri" w:hAnsi="Calibri" w:eastAsia="Calibri"/>
          <w:color w:val="172F38"/>
          <w:sz w:val="22"/>
        </w:rPr>
        <w:t xml:space="preserve">09:38 | Casey Marlow: Finance's assigned task is Review staged manufacturing commitments against accepted schedules, due 2024-08-10.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61">
      <w:pPr>
        <w:pStyle w:val="Heading2"/>
        <w:spacing w:after="120" w:line="276" w:lineRule="auto"/>
        <w:ind w:firstLine="440"/>
      </w:pPr>
      <w:r>
        <w:rPr>
          <w:rFonts w:ascii="Calibri" w:hAnsi="Calibri" w:eastAsia="Calibri"/>
          <w:b/>
          <w:color w:val="123B4A"/>
          <w:sz w:val="28"/>
        </w:rPr>
        <w:t xml:space="preserve">Discussion | 11</w:t>
      </w:r>
    </w:p>
    <w:p w14:paraId="00100062" w14:textId="00100063">
      <w:pPr>
        <w:spacing w:after="120" w:line="276" w:lineRule="auto"/>
        <w:ind w:firstLine="440"/>
      </w:pPr>
      <w:r>
        <w:rPr>
          <w:rFonts w:ascii="Calibri" w:hAnsi="Calibri" w:eastAsia="Calibri"/>
          <w:color w:val="172F38"/>
          <w:sz w:val="22"/>
        </w:rPr>
        <w:t xml:space="preserve">09:40 | Avery Rowan: Before we record the decision, I want to return to customer communication. The operating principle is to prefer a verified operating point to an unsupported peak-performance claim.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65">
      <w:pPr>
        <w:spacing w:after="120" w:line="276" w:lineRule="auto"/>
        <w:ind w:firstLine="440"/>
      </w:pPr>
      <w:r>
        <w:rPr>
          <w:rFonts w:ascii="Calibri" w:hAnsi="Calibri" w:eastAsia="Calibri"/>
          <w:color w:val="172F38"/>
          <w:sz w:val="22"/>
        </w:rPr>
        <w:t xml:space="preserve"/>
      </w:r>
    </w:p>
    <w:p w14:paraId="00100066" w14:textId="00100067">
      <w:pPr>
        <w:spacing w:after="120" w:line="276" w:lineRule="auto"/>
        <w:ind w:firstLine="440"/>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69">
      <w:pPr>
        <w:pStyle w:val="Heading2"/>
        <w:spacing w:after="120" w:line="276" w:lineRule="auto"/>
        <w:ind w:firstLine="440"/>
      </w:pPr>
      <w:r>
        <w:rPr>
          <w:rFonts w:ascii="Calibri" w:hAnsi="Calibri" w:eastAsia="Calibri"/>
          <w:b/>
          <w:color w:val="123B4A"/>
          <w:sz w:val="28"/>
        </w:rPr>
        <w:t xml:space="preserve">Discussion | 12</w:t>
      </w:r>
    </w:p>
    <w:p w14:paraId="0010006A" w14:textId="0010006B">
      <w:pPr>
        <w:spacing w:after="120" w:line="276" w:lineRule="auto"/>
        <w:ind w:firstLine="440"/>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6D">
      <w:pPr>
        <w:spacing w:after="120" w:line="276" w:lineRule="auto"/>
        <w:ind w:firstLine="440"/>
      </w:pPr>
      <w:r>
        <w:rPr>
          <w:rFonts w:ascii="Calibri" w:hAnsi="Calibri" w:eastAsia="Calibri"/>
          <w:color w:val="172F38"/>
          <w:sz w:val="22"/>
        </w:rPr>
        <w:t xml:space="preserve"/>
      </w:r>
    </w:p>
    <w:p w14:paraId="0010006E" w14:textId="0010006F">
      <w:pPr>
        <w:spacing w:after="120" w:line="276" w:lineRule="auto"/>
        <w:ind w:firstLine="440"/>
      </w:pPr>
      <w:r>
        <w:rPr>
          <w:rFonts w:ascii="Calibri" w:hAnsi="Calibri" w:eastAsia="Calibri"/>
          <w:color w:val="172F38"/>
          <w:sz w:val="22"/>
        </w:rPr>
        <w:t xml:space="preserve">09:46 | Casey Marlow: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71">
      <w:pPr>
        <w:pStyle w:val="Heading1"/>
        <w:pageBreakBefore/>
        <w:spacing w:after="120" w:line="276" w:lineRule="auto"/>
        <w:ind w:firstLine="440"/>
      </w:pPr>
      <w:r>
        <w:rPr>
          <w:rFonts w:ascii="Calibri" w:hAnsi="Calibri" w:eastAsia="Calibri"/>
          <w:b/>
          <w:color w:val="123B4A"/>
          <w:sz w:val="30"/>
        </w:rPr>
        <w:t xml:space="preserve">SunnySemi LLC | Discussion | 13</w:t>
      </w:r>
    </w:p>
    <w:p w14:paraId="00100072" w14:textId="00100073">
      <w:pPr>
        <w:spacing w:after="120" w:line="276" w:lineRule="auto"/>
        <w:ind w:firstLine="440"/>
      </w:pPr>
      <w:r>
        <w:rPr>
          <w:rFonts w:ascii="Calibri" w:hAnsi="Calibri" w:eastAsia="Calibri"/>
          <w:color w:val="172F38"/>
          <w:sz w:val="22"/>
        </w:rPr>
        <w:t xml:space="preserve">09:48 | Avery Rowan: The decision is Proceed toward the August release subject to evidence gates; require board-level thermal evidence before ramp approval.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75">
      <w:pPr>
        <w:spacing w:after="120" w:line="276" w:lineRule="auto"/>
        <w:ind w:firstLine="440"/>
      </w:pPr>
      <w:r>
        <w:rPr>
          <w:rFonts w:ascii="Calibri" w:hAnsi="Calibri" w:eastAsia="Calibri"/>
          <w:color w:val="172F38"/>
          <w:sz w:val="22"/>
        </w:rPr>
        <w:t xml:space="preserve"/>
      </w:r>
    </w:p>
    <w:p w14:paraId="00100076" w14:textId="00100077">
      <w:pPr>
        <w:spacing w:after="120" w:line="276" w:lineRule="auto"/>
        <w:ind w:firstLine="440"/>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79">
      <w:pPr>
        <w:pStyle w:val="Heading2"/>
        <w:spacing w:after="120" w:line="276" w:lineRule="auto"/>
        <w:ind w:firstLine="440"/>
      </w:pPr>
      <w:r>
        <w:rPr>
          <w:rFonts w:ascii="Calibri" w:hAnsi="Calibri" w:eastAsia="Calibri"/>
          <w:b/>
          <w:color w:val="123B4A"/>
          <w:sz w:val="28"/>
        </w:rPr>
        <w:t xml:space="preserve">Discussion | 14</w:t>
      </w:r>
    </w:p>
    <w:p w14:paraId="0010007A" w14:textId="0010007B">
      <w:pPr>
        <w:spacing w:after="120" w:line="276" w:lineRule="auto"/>
        <w:ind w:firstLine="440"/>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7D">
      <w:pPr>
        <w:spacing w:after="120" w:line="276" w:lineRule="auto"/>
        <w:ind w:firstLine="440"/>
      </w:pPr>
      <w:r>
        <w:rPr>
          <w:rFonts w:ascii="Calibri" w:hAnsi="Calibri" w:eastAsia="Calibri"/>
          <w:color w:val="172F38"/>
          <w:sz w:val="22"/>
        </w:rPr>
        <w:t xml:space="preserve"/>
      </w:r>
    </w:p>
    <w:p w14:paraId="0010007E" w14:textId="0010007F">
      <w:pPr>
        <w:spacing w:after="120" w:line="276" w:lineRule="auto"/>
        <w:ind w:firstLine="440"/>
      </w:pPr>
      <w:r>
        <w:rPr>
          <w:rFonts w:ascii="Calibri" w:hAnsi="Calibri" w:eastAsia="Calibri"/>
          <w:color w:val="172F38"/>
          <w:sz w:val="22"/>
        </w:rPr>
        <w:t xml:space="preserve">09:54 | Casey Marlow: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81">
      <w:pPr>
        <w:pStyle w:val="Heading2"/>
        <w:spacing w:after="120" w:line="276" w:lineRule="auto"/>
        <w:ind w:firstLine="440"/>
      </w:pPr>
      <w:r>
        <w:rPr>
          <w:rFonts w:ascii="Calibri" w:hAnsi="Calibri" w:eastAsia="Calibri"/>
          <w:b/>
          <w:color w:val="123B4A"/>
          <w:sz w:val="28"/>
        </w:rPr>
        <w:t xml:space="preserve">Decision and authority boundary</w:t>
      </w:r>
    </w:p>
    <w:p w14:paraId="00100082" w14:textId="00100083">
      <w:pPr>
        <w:spacing w:after="120" w:line="276" w:lineRule="auto"/>
        <w:ind w:firstLine="440"/>
      </w:pPr>
      <w:r>
        <w:rPr>
          <w:rFonts w:ascii="Calibri" w:hAnsi="Calibri" w:eastAsia="Calibri"/>
          <w:color w:val="172F38"/>
          <w:sz w:val="22"/>
        </w:rPr>
        <w:t xml:space="preserve">Proceed toward the August release subject to evidence gates; require board-level thermal evidence before ramp approval.</w:t>
      </w:r>
    </w:p>
    <w:p w14:paraId="00100084" w14:textId="00100085">
      <w:pPr>
        <w:spacing w:after="120" w:line="276" w:lineRule="auto"/>
        <w:ind w:firstLine="440"/>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87">
      <w:pPr>
        <w:pStyle w:val="Heading2"/>
        <w:spacing w:after="120" w:line="276" w:lineRule="auto"/>
        <w:ind w:firstLine="440"/>
      </w:pPr>
      <w:r>
        <w:rPr>
          <w:rFonts w:ascii="Calibri" w:hAnsi="Calibri" w:eastAsia="Calibri"/>
          <w:b/>
          <w:color w:val="123B4A"/>
          <w:sz w:val="28"/>
        </w:rPr>
        <w:t xml:space="preserve">Owned follow-through</w:t>
      </w:r>
    </w:p>
    <w:p w14:paraId="00100088" w14:textId="00100089">
      <w:pPr>
        <w:spacing w:after="120" w:line="276" w:lineRule="auto"/>
        <w:ind w:firstLine="440"/>
      </w:pPr>
      <w:r>
        <w:rPr>
          <w:rFonts w:ascii="Calibri" w:hAnsi="Calibri" w:eastAsia="Calibri"/>
          <w:color w:val="172F38"/>
          <w:sz w:val="22"/>
        </w:rPr>
        <w:t xml:space="preserve">Riley Arden: Complete version-matched acceptance evidence - due 2024-08-05.</w:t>
      </w:r>
    </w:p>
    <w:p w14:paraId="0010008A" w14:textId="0010008B">
      <w:pPr>
        <w:spacing w:after="120" w:line="276" w:lineRule="auto"/>
        <w:ind w:firstLine="440"/>
      </w:pPr>
      <w:r>
        <w:rPr>
          <w:rFonts w:ascii="Calibri" w:hAnsi="Calibri" w:eastAsia="Calibri"/>
          <w:color w:val="172F38"/>
          <w:sz w:val="22"/>
        </w:rPr>
        <w:t xml:space="preserve">Quinn Mercer: Confirm customer evaluation and qualification plans - due 2024-08-08.</w:t>
      </w:r>
    </w:p>
    <w:p w14:paraId="0010008C" w14:textId="0010008D">
      <w:pPr>
        <w:spacing w:after="120" w:line="276" w:lineRule="auto"/>
        <w:ind w:firstLine="440"/>
      </w:pPr>
      <w:r>
        <w:rPr>
          <w:rFonts w:ascii="Calibri" w:hAnsi="Calibri" w:eastAsia="Calibri"/>
          <w:color w:val="172F38"/>
          <w:sz w:val="22"/>
        </w:rPr>
        <w:t xml:space="preserve">Casey Marlow: Review staged manufacturing commitments against accepted schedules - due 2024-08-10.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10ddc26f9602442d" /><Relationship Type="http://schemas.openxmlformats.org/officeDocument/2006/relationships/styles" Target="/word/styles.xml" Id="R69c11c59f2c54daa" /><Relationship Type="http://schemas.openxmlformats.org/officeDocument/2006/relationships/theme" Target="/word/theme/theme1.xml" Id="Rcdc520c26d154f29" /><Relationship Type="http://schemas.openxmlformats.org/officeDocument/2006/relationships/numbering" Target="/word/numbering.xml" Id="R21065b40941c4d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2026-10-15T17:20:32.0000000Z</dcterms:created>
  <lastModifiedBy>OfficeCLI</lastModifiedBy>
  <dcterms:modified xsi:type="dcterms:W3CDTF">2026-10-15T17:20:32.0000000Z</dcterms:modified>
  <dc:title>SunnySemi LLC - 2024 Production Readiness and Thermal accountability</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2026-10-15T17:20:36Z</vt:lpwstr>
  </op:property>
</op:Properties>
</file>