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0dba6712f4c402e" /><Relationship Type="http://schemas.openxmlformats.org/package/2006/relationships/metadata/core-properties" Target="/docProps/core.xml" Id="R5674a5c6bdf043b5" /><Relationship Type="http://schemas.openxmlformats.org/officeDocument/2006/relationships/extended-properties" Target="/docProps/app.xml" Id="R34cf3a5fd6bd41a8" /><Relationship Type="http://schemas.openxmlformats.org/officeDocument/2006/relationships/custom-properties" Target="/docProps/custom.xml" Id="R861734839ee9436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SunCore 6.0 for High-Density Edge Systems</w:t>
      </w:r>
    </w:p>
    <w:p w14:paraId="00100004" w14:textId="00100005">
      <w:pPr>
        <w:spacing w:after="120" w:line="276" w:lineRule="auto"/>
        <w:ind w:firstLine="440"/>
      </w:pPr>
      <w:r>
        <w:rPr>
          <w:rFonts w:ascii="Calibri" w:hAnsi="Calibri" w:eastAsia="Calibri"/>
          <w:color w:val="087E8B"/>
          <w:sz w:val="20"/>
        </w:rPr>
        <w:t xml:space="preserve">2025-08-15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SunCore 6.0 has launched, effective 2025-08-15, expanding its component portfolio for high-density edge systems.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SunCore 6.0 combines 5 nm inference ASIC with PCIe Gen3 x4 host interface with 256 INT8 TOPS and a 35 W board design budget. Peak INT8 throughput is not sustained application throughput. Customers must validate their model, host bandwidth and thermal design.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SunCore 6.0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high-density edge systems, local equipment anomaly detection and on-device visual inspection. The reference workflow is straightforward: Capture frames on the host, prepare tensors, submit inference over PCIe, and return results to the host application. SunnySemi's adoption support emphasizes release-controlled adoption and milestone-based production support.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6ae2f5f830404148" /><Relationship Type="http://schemas.openxmlformats.org/officeDocument/2006/relationships/styles" Target="/word/styles.xml" Id="R1d958b699a9f4f37" /><Relationship Type="http://schemas.openxmlformats.org/officeDocument/2006/relationships/theme" Target="/word/theme/theme1.xml" Id="Rc8ec41ecb6f44f36" /><Relationship Type="http://schemas.openxmlformats.org/officeDocument/2006/relationships/numbering" Target="/word/numbering.xml" Id="Rf5564687c44d41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2026-10-15T17:21:07.0000000Z</dcterms:created>
  <lastModifiedBy>OfficeCLI</lastModifiedBy>
  <dcterms:modified xsi:type="dcterms:W3CDTF">2026-10-15T17:21:07.0000000Z</dcterms:modified>
  <dc:title>SunnySemi LLC Launches SunCore 6.0 for High-Density Edge Systems</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2026-10-15T17:21:10Z</vt:lpwstr>
  </op:property>
</op:Properties>
</file>