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8F0D" w14:textId="56A9C1B1" w:rsidR="009758AF" w:rsidRDefault="008B528B" w:rsidP="008B528B">
      <w:pPr>
        <w:pStyle w:val="Heading1"/>
        <w:rPr>
          <w:lang w:val="en-US"/>
        </w:rPr>
      </w:pPr>
      <w:r>
        <w:rPr>
          <w:lang w:val="en-US"/>
        </w:rPr>
        <w:t>INM431 Machine Learning Coursework Supplementary Material</w:t>
      </w:r>
    </w:p>
    <w:p w14:paraId="4978756C" w14:textId="6258669C" w:rsidR="008B528B" w:rsidRDefault="008B528B" w:rsidP="008B528B">
      <w:pPr>
        <w:rPr>
          <w:lang w:val="en-US"/>
        </w:rPr>
      </w:pPr>
      <w:r>
        <w:rPr>
          <w:lang w:val="en-US"/>
        </w:rPr>
        <w:t>By J. Leplat, December 2020</w:t>
      </w:r>
    </w:p>
    <w:p w14:paraId="2D59C767" w14:textId="7465571E" w:rsidR="008B528B" w:rsidRDefault="008B528B" w:rsidP="008B528B">
      <w:pPr>
        <w:pStyle w:val="Heading2"/>
        <w:rPr>
          <w:lang w:val="en-US"/>
        </w:rPr>
      </w:pPr>
      <w:r>
        <w:rPr>
          <w:lang w:val="en-US"/>
        </w:rPr>
        <w:t>Introduction</w:t>
      </w:r>
    </w:p>
    <w:p w14:paraId="6ECC220A" w14:textId="7175B036" w:rsidR="008B528B" w:rsidRDefault="008B528B" w:rsidP="008B528B">
      <w:pPr>
        <w:rPr>
          <w:lang w:val="en-US"/>
        </w:rPr>
      </w:pPr>
      <w:r>
        <w:rPr>
          <w:lang w:val="en-US"/>
        </w:rPr>
        <w:t xml:space="preserve">The coursework’s main goal is to compare, contrast and critically evaluate two ML models. The final two models selected for comparison are </w:t>
      </w:r>
      <w:r w:rsidRPr="008B528B">
        <w:rPr>
          <w:lang w:val="en-US"/>
        </w:rPr>
        <w:t>Naïve</w:t>
      </w:r>
      <w:r>
        <w:rPr>
          <w:lang w:val="en-US"/>
        </w:rPr>
        <w:t xml:space="preserve"> Bayes and Random Forest. These two methods address the problem of machine learning in different ways, hence the comparison should provide some interesting insights.</w:t>
      </w:r>
    </w:p>
    <w:p w14:paraId="4AF60D70" w14:textId="2AD55265" w:rsidR="008B528B" w:rsidRDefault="008B528B" w:rsidP="008B528B">
      <w:pPr>
        <w:rPr>
          <w:lang w:val="en-US"/>
        </w:rPr>
      </w:pPr>
      <w:r>
        <w:rPr>
          <w:lang w:val="en-US"/>
        </w:rPr>
        <w:t>When comparing methods it is interesting to find out how</w:t>
      </w:r>
      <w:r w:rsidR="009C1D29">
        <w:rPr>
          <w:lang w:val="en-US"/>
        </w:rPr>
        <w:t xml:space="preserve"> the performance varies, as parameters are gradually changed. In this way it is possible to find the optimal parameter values, and have a reasonable confidence that the parameters do not overfit the training data.</w:t>
      </w:r>
    </w:p>
    <w:p w14:paraId="68848388" w14:textId="4F35BE02" w:rsidR="00B650D8" w:rsidRDefault="00B650D8" w:rsidP="00B650D8">
      <w:pPr>
        <w:widowControl w:val="0"/>
        <w:rPr>
          <w:lang w:val="en-US"/>
        </w:rPr>
      </w:pPr>
      <w:r>
        <w:rPr>
          <w:lang w:val="en-US"/>
        </w:rPr>
        <w:t xml:space="preserve">The approach taken is iterative. The plan was to compare decision trees to </w:t>
      </w:r>
      <w:r w:rsidRPr="008B528B">
        <w:rPr>
          <w:lang w:val="en-US"/>
        </w:rPr>
        <w:t>Naïve</w:t>
      </w:r>
      <w:r>
        <w:rPr>
          <w:lang w:val="en-US"/>
        </w:rPr>
        <w:t xml:space="preserve"> Bayes, time allowed the random forest method to be attempted also. The poster makes no reference to the decision tree results. The comparison of </w:t>
      </w:r>
      <w:r w:rsidRPr="008B528B">
        <w:rPr>
          <w:lang w:val="en-US"/>
        </w:rPr>
        <w:t>Naïve</w:t>
      </w:r>
      <w:r>
        <w:rPr>
          <w:lang w:val="en-US"/>
        </w:rPr>
        <w:t xml:space="preserve"> Bayes and random forest is more interesting</w:t>
      </w:r>
      <w:r w:rsidR="00082AAB">
        <w:rPr>
          <w:lang w:val="en-US"/>
        </w:rPr>
        <w:t xml:space="preserve">: </w:t>
      </w:r>
      <w:r>
        <w:rPr>
          <w:lang w:val="en-US"/>
        </w:rPr>
        <w:t xml:space="preserve"> </w:t>
      </w:r>
      <w:r w:rsidRPr="008B528B">
        <w:rPr>
          <w:lang w:val="en-US"/>
        </w:rPr>
        <w:t>Naïve</w:t>
      </w:r>
      <w:r>
        <w:rPr>
          <w:lang w:val="en-US"/>
        </w:rPr>
        <w:t xml:space="preserve"> Bayes</w:t>
      </w:r>
      <w:r w:rsidR="00082AAB">
        <w:rPr>
          <w:lang w:val="en-US"/>
        </w:rPr>
        <w:t xml:space="preserve"> and Decision Trees are</w:t>
      </w:r>
      <w:r>
        <w:rPr>
          <w:lang w:val="en-US"/>
        </w:rPr>
        <w:t xml:space="preserve"> a white box model, Random Forest is a black box model</w:t>
      </w:r>
      <w:r w:rsidR="00082AAB">
        <w:rPr>
          <w:lang w:val="en-US"/>
        </w:rPr>
        <w:t xml:space="preserve"> </w:t>
      </w:r>
      <w:r w:rsidR="00082AAB">
        <w:rPr>
          <w:lang w:val="en-US"/>
        </w:rPr>
        <w:fldChar w:fldCharType="begin"/>
      </w:r>
      <w:r w:rsidR="00082AAB">
        <w:rPr>
          <w:lang w:val="en-US"/>
        </w:rPr>
        <w:instrText xml:space="preserve"> ADDIN ZOTERO_ITEM CSL_CITATION {"citationID":"O9aJOaEU","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082AAB">
        <w:rPr>
          <w:lang w:val="en-US"/>
        </w:rPr>
        <w:fldChar w:fldCharType="separate"/>
      </w:r>
      <w:r w:rsidR="00082AAB" w:rsidRPr="00082AAB">
        <w:rPr>
          <w:rFonts w:ascii="Calibri" w:hAnsi="Calibri" w:cs="Calibri"/>
        </w:rPr>
        <w:t>[1]</w:t>
      </w:r>
      <w:r w:rsidR="00082AAB">
        <w:rPr>
          <w:lang w:val="en-US"/>
        </w:rPr>
        <w:fldChar w:fldCharType="end"/>
      </w:r>
      <w:r w:rsidR="00082AAB">
        <w:rPr>
          <w:lang w:val="en-US"/>
        </w:rPr>
        <w:t xml:space="preserve">, but decision trees and random forest methods have much more common than </w:t>
      </w:r>
      <w:r w:rsidR="00082AAB" w:rsidRPr="008B528B">
        <w:rPr>
          <w:lang w:val="en-US"/>
        </w:rPr>
        <w:t>Naïve</w:t>
      </w:r>
      <w:r w:rsidR="00082AAB">
        <w:rPr>
          <w:lang w:val="en-US"/>
        </w:rPr>
        <w:t xml:space="preserve"> Bayes in terms of </w:t>
      </w:r>
      <w:r w:rsidR="009E769E">
        <w:rPr>
          <w:lang w:val="en-US"/>
        </w:rPr>
        <w:t>its probabilistic</w:t>
      </w:r>
      <w:r w:rsidR="00082AAB">
        <w:rPr>
          <w:lang w:val="en-US"/>
        </w:rPr>
        <w:t xml:space="preserve"> approach to classification</w:t>
      </w:r>
      <w:r>
        <w:rPr>
          <w:lang w:val="en-US"/>
        </w:rPr>
        <w:t>.</w:t>
      </w:r>
    </w:p>
    <w:p w14:paraId="56E37348" w14:textId="790878FA" w:rsidR="008B528B" w:rsidRDefault="00B650D8" w:rsidP="00B650D8">
      <w:pPr>
        <w:pStyle w:val="Heading2"/>
        <w:rPr>
          <w:lang w:val="en-US"/>
        </w:rPr>
      </w:pPr>
      <w:r>
        <w:rPr>
          <w:lang w:val="en-US"/>
        </w:rPr>
        <w:t>Approach</w:t>
      </w:r>
    </w:p>
    <w:p w14:paraId="1A797021" w14:textId="7235BC48" w:rsidR="00E21D95" w:rsidRDefault="00B650D8" w:rsidP="00E21D95">
      <w:pPr>
        <w:rPr>
          <w:lang w:val="en-US"/>
        </w:rPr>
      </w:pPr>
      <w:r>
        <w:rPr>
          <w:lang w:val="en-US"/>
        </w:rPr>
        <w:t>The dataset is split into</w:t>
      </w:r>
      <w:r w:rsidR="00C45E3C">
        <w:rPr>
          <w:lang w:val="en-US"/>
        </w:rPr>
        <w:t xml:space="preserve"> a training set and test set. The test set is kept aside for the final test. In this way it is possible to evaluate how good the trained model is at generalization.</w:t>
      </w:r>
      <w:r w:rsidR="00E21D95">
        <w:rPr>
          <w:lang w:val="en-US"/>
        </w:rPr>
        <w:t xml:space="preserve"> The dataset was normalized in the range 0 to 1, this did not make any difference in the performance. Using the z-score standardization </w:t>
      </w:r>
      <w:r w:rsidR="00E21D95">
        <w:rPr>
          <w:lang w:val="en-US"/>
        </w:rPr>
        <w:fldChar w:fldCharType="begin"/>
      </w:r>
      <w:r w:rsidR="00082AAB">
        <w:rPr>
          <w:lang w:val="en-US"/>
        </w:rPr>
        <w:instrText xml:space="preserve"> ADDIN ZOTERO_ITEM CSL_CITATION {"citationID":"lVqHX9bn","properties":{"formattedCitation":"[2]","plainCitation":"[2]","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rsidR="00E21D95">
        <w:rPr>
          <w:lang w:val="en-US"/>
        </w:rPr>
        <w:fldChar w:fldCharType="separate"/>
      </w:r>
      <w:r w:rsidR="00082AAB" w:rsidRPr="00082AAB">
        <w:rPr>
          <w:rFonts w:ascii="Calibri" w:hAnsi="Calibri" w:cs="Calibri"/>
        </w:rPr>
        <w:t>[2]</w:t>
      </w:r>
      <w:r w:rsidR="00E21D95">
        <w:rPr>
          <w:lang w:val="en-US"/>
        </w:rPr>
        <w:fldChar w:fldCharType="end"/>
      </w:r>
      <w:r w:rsidR="00E21D95">
        <w:rPr>
          <w:lang w:val="en-US"/>
        </w:rPr>
        <w:t xml:space="preserve"> </w:t>
      </w:r>
      <w:r w:rsidR="00E21D95" w:rsidRPr="008B528B">
        <w:rPr>
          <w:lang w:val="en-US"/>
        </w:rPr>
        <w:t>Naïve</w:t>
      </w:r>
      <w:r w:rsidR="00E21D95">
        <w:rPr>
          <w:lang w:val="en-US"/>
        </w:rPr>
        <w:t xml:space="preserve"> Bayes was found to train in a shorter time</w:t>
      </w:r>
      <w:r w:rsidR="00E21BD8">
        <w:rPr>
          <w:lang w:val="en-US"/>
        </w:rPr>
        <w:t>, this is</w:t>
      </w:r>
      <w:r w:rsidR="00F14DC9">
        <w:rPr>
          <w:lang w:val="en-US"/>
        </w:rPr>
        <w:t xml:space="preserve"> different normalization algorithms have a strong effect on the sensitivity of the classification </w:t>
      </w:r>
      <w:r w:rsidR="00F14DC9">
        <w:rPr>
          <w:lang w:val="en-US"/>
        </w:rPr>
        <w:fldChar w:fldCharType="begin"/>
      </w:r>
      <w:r w:rsidR="00082AAB">
        <w:rPr>
          <w:lang w:val="en-US"/>
        </w:rPr>
        <w:instrText xml:space="preserve"> ADDIN ZOTERO_ITEM CSL_CITATION {"citationID":"Pkp8JIo0","properties":{"formattedCitation":"[2]","plainCitation":"[2]","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rsidR="00F14DC9">
        <w:rPr>
          <w:lang w:val="en-US"/>
        </w:rPr>
        <w:fldChar w:fldCharType="separate"/>
      </w:r>
      <w:r w:rsidR="00082AAB" w:rsidRPr="00082AAB">
        <w:rPr>
          <w:rFonts w:ascii="Calibri" w:hAnsi="Calibri" w:cs="Calibri"/>
        </w:rPr>
        <w:t>[2]</w:t>
      </w:r>
      <w:r w:rsidR="00F14DC9">
        <w:rPr>
          <w:lang w:val="en-US"/>
        </w:rPr>
        <w:fldChar w:fldCharType="end"/>
      </w:r>
      <w:r w:rsidR="00E21D95">
        <w:rPr>
          <w:lang w:val="en-US"/>
        </w:rPr>
        <w:t>.</w:t>
      </w:r>
    </w:p>
    <w:p w14:paraId="25F04D09" w14:textId="68B7934F" w:rsidR="00D309AE" w:rsidRDefault="00D309AE" w:rsidP="00D309AE">
      <w:pPr>
        <w:pStyle w:val="Heading3"/>
        <w:rPr>
          <w:lang w:val="en-US"/>
        </w:rPr>
      </w:pPr>
      <w:r>
        <w:rPr>
          <w:lang w:val="en-US"/>
        </w:rPr>
        <w:t>Bootstrapping</w:t>
      </w:r>
    </w:p>
    <w:p w14:paraId="4BF270B4" w14:textId="1D03DC99" w:rsidR="0052332A" w:rsidRDefault="00CA5312" w:rsidP="00B650D8">
      <w:pPr>
        <w:rPr>
          <w:lang w:val="en-US"/>
        </w:rPr>
      </w:pPr>
      <w:r>
        <w:rPr>
          <w:lang w:val="en-US"/>
        </w:rPr>
        <w:t>Bootstrapping</w:t>
      </w:r>
      <w:r w:rsidR="0052332A">
        <w:rPr>
          <w:lang w:val="en-US"/>
        </w:rPr>
        <w:t xml:space="preserve"> is used</w:t>
      </w:r>
      <w:r>
        <w:rPr>
          <w:lang w:val="en-US"/>
        </w:rPr>
        <w:t>,</w:t>
      </w:r>
      <w:r w:rsidR="0052332A">
        <w:rPr>
          <w:lang w:val="en-US"/>
        </w:rPr>
        <w:t xml:space="preserve"> </w:t>
      </w:r>
      <w:r>
        <w:rPr>
          <w:lang w:val="en-US"/>
        </w:rPr>
        <w:t xml:space="preserve">this is recommended for large datasets </w:t>
      </w:r>
      <w:r>
        <w:rPr>
          <w:lang w:val="en-US"/>
        </w:rPr>
        <w:fldChar w:fldCharType="begin"/>
      </w:r>
      <w:r w:rsidR="00082AAB">
        <w:rPr>
          <w:lang w:val="en-US"/>
        </w:rPr>
        <w:instrText xml:space="preserve"> ADDIN ZOTERO_ITEM CSL_CITATION {"citationID":"TkeYy2aD","properties":{"formattedCitation":"[3]","plainCitation":"[3]","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rPr>
          <w:lang w:val="en-US"/>
        </w:rPr>
        <w:fldChar w:fldCharType="separate"/>
      </w:r>
      <w:r w:rsidR="00082AAB" w:rsidRPr="00082AAB">
        <w:rPr>
          <w:rFonts w:ascii="Calibri" w:hAnsi="Calibri" w:cs="Calibri"/>
        </w:rPr>
        <w:t>[3]</w:t>
      </w:r>
      <w:r>
        <w:rPr>
          <w:lang w:val="en-US"/>
        </w:rPr>
        <w:fldChar w:fldCharType="end"/>
      </w:r>
      <w:r>
        <w:rPr>
          <w:lang w:val="en-US"/>
        </w:rPr>
        <w:t>.</w:t>
      </w:r>
      <w:r w:rsidR="004F2603">
        <w:rPr>
          <w:lang w:val="en-US"/>
        </w:rPr>
        <w:t xml:space="preserve"> </w:t>
      </w:r>
      <w:r w:rsidR="00D309AE">
        <w:rPr>
          <w:lang w:val="en-US"/>
        </w:rPr>
        <w:t>When bootstrapping, careful consideration was given as to how the tree is created anew on each fold iteration: a separate random number generator is used to the one used for taking a random train and test set. In this way, for 5 folds, as an example, the model is created using the same random seed in order to ensure that it is the data that changes and not the model.</w:t>
      </w:r>
      <w:r w:rsidR="007014DD">
        <w:rPr>
          <w:lang w:val="en-US"/>
        </w:rPr>
        <w:t xml:space="preserve"> Bootstrapping </w:t>
      </w:r>
      <w:r w:rsidR="00B04820">
        <w:rPr>
          <w:lang w:val="en-US"/>
        </w:rPr>
        <w:t>is</w:t>
      </w:r>
      <w:r w:rsidR="007014DD">
        <w:rPr>
          <w:lang w:val="en-US"/>
        </w:rPr>
        <w:t xml:space="preserve"> a method that is used to reduce the variance for ensemble methods </w:t>
      </w:r>
      <w:r w:rsidR="007014DD">
        <w:rPr>
          <w:lang w:val="en-US"/>
        </w:rPr>
        <w:fldChar w:fldCharType="begin"/>
      </w:r>
      <w:r w:rsidR="00082AAB">
        <w:rPr>
          <w:lang w:val="en-US"/>
        </w:rPr>
        <w:instrText xml:space="preserve"> ADDIN ZOTERO_ITEM CSL_CITATION {"citationID":"m8mthtRh","properties":{"formattedCitation":"[4]","plainCitation":"[4]","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014DD">
        <w:rPr>
          <w:lang w:val="en-US"/>
        </w:rPr>
        <w:fldChar w:fldCharType="separate"/>
      </w:r>
      <w:r w:rsidR="00082AAB" w:rsidRPr="00082AAB">
        <w:rPr>
          <w:rFonts w:ascii="Calibri" w:hAnsi="Calibri" w:cs="Calibri"/>
        </w:rPr>
        <w:t>[4]</w:t>
      </w:r>
      <w:r w:rsidR="007014DD">
        <w:rPr>
          <w:lang w:val="en-US"/>
        </w:rPr>
        <w:fldChar w:fldCharType="end"/>
      </w:r>
      <w:r w:rsidR="007014DD">
        <w:rPr>
          <w:lang w:val="en-US"/>
        </w:rPr>
        <w:t>.</w:t>
      </w:r>
    </w:p>
    <w:p w14:paraId="0D46F3C0" w14:textId="0F9B2675" w:rsidR="00D309AE" w:rsidRDefault="00D309AE" w:rsidP="00D309AE">
      <w:pPr>
        <w:pStyle w:val="Heading3"/>
        <w:rPr>
          <w:lang w:val="en-US"/>
        </w:rPr>
      </w:pPr>
      <w:r>
        <w:rPr>
          <w:lang w:val="en-US"/>
        </w:rPr>
        <w:t>Grid Search</w:t>
      </w:r>
    </w:p>
    <w:p w14:paraId="3F73AB5B" w14:textId="4E1F04E2" w:rsidR="00CA5312" w:rsidRDefault="00CA5312" w:rsidP="00B650D8">
      <w:pPr>
        <w:rPr>
          <w:lang w:val="en-US"/>
        </w:rPr>
      </w:pPr>
      <w:r>
        <w:rPr>
          <w:lang w:val="en-US"/>
        </w:rPr>
        <w:t xml:space="preserve">The model selection process uses a hyperparameter search. The results for different parameter configurations are </w:t>
      </w:r>
      <w:r w:rsidR="004F2603">
        <w:rPr>
          <w:lang w:val="en-US"/>
        </w:rPr>
        <w:t>gathered</w:t>
      </w:r>
      <w:r>
        <w:rPr>
          <w:lang w:val="en-US"/>
        </w:rPr>
        <w:t xml:space="preserve"> in a csv file, and plotted. In this way it is possible to visually identify results that are good candidates for the final model. The visually identified results are looked up in the result</w:t>
      </w:r>
      <w:r w:rsidR="00F4302C">
        <w:rPr>
          <w:lang w:val="en-US"/>
        </w:rPr>
        <w:t>s</w:t>
      </w:r>
      <w:r>
        <w:rPr>
          <w:lang w:val="en-US"/>
        </w:rPr>
        <w:t xml:space="preserve"> csv file to gain a better understanding of the performance</w:t>
      </w:r>
      <w:r w:rsidR="004F2603">
        <w:rPr>
          <w:lang w:val="en-US"/>
        </w:rPr>
        <w:t xml:space="preserve">, </w:t>
      </w:r>
      <w:r>
        <w:rPr>
          <w:lang w:val="en-US"/>
        </w:rPr>
        <w:t>hyperparameter values used</w:t>
      </w:r>
      <w:r w:rsidR="004F2603">
        <w:rPr>
          <w:lang w:val="en-US"/>
        </w:rPr>
        <w:t xml:space="preserve"> and why the performance is either better or worse than other readings</w:t>
      </w:r>
      <w:r>
        <w:rPr>
          <w:lang w:val="en-US"/>
        </w:rPr>
        <w:t>.</w:t>
      </w:r>
    </w:p>
    <w:p w14:paraId="170B3CA7" w14:textId="2A082522" w:rsidR="00D309AE" w:rsidRDefault="00D309AE" w:rsidP="00D309AE">
      <w:pPr>
        <w:pStyle w:val="Heading3"/>
        <w:rPr>
          <w:lang w:val="en-US"/>
        </w:rPr>
      </w:pPr>
      <w:r>
        <w:rPr>
          <w:lang w:val="en-US"/>
        </w:rPr>
        <w:t>Stopping Criteria</w:t>
      </w:r>
    </w:p>
    <w:p w14:paraId="19EF11AE" w14:textId="2D369A04" w:rsidR="004216C8" w:rsidRDefault="004216C8" w:rsidP="00B650D8">
      <w:pPr>
        <w:rPr>
          <w:lang w:val="en-US"/>
        </w:rPr>
      </w:pPr>
      <w:r>
        <w:rPr>
          <w:lang w:val="en-US"/>
        </w:rPr>
        <w:t>The stopping criteria selected is to stop when the performance results degrade noticeably. In this way it is possible to gain an understanding of how sensitive the model is to small changes in the hyperparameter values.</w:t>
      </w:r>
    </w:p>
    <w:p w14:paraId="22BF54A9" w14:textId="4A1E5152" w:rsidR="000F65E4" w:rsidRDefault="000F65E4" w:rsidP="000F65E4">
      <w:pPr>
        <w:pStyle w:val="Heading3"/>
        <w:rPr>
          <w:lang w:val="en-US"/>
        </w:rPr>
      </w:pPr>
      <w:r>
        <w:rPr>
          <w:lang w:val="en-US"/>
        </w:rPr>
        <w:t>Performance Metrics</w:t>
      </w:r>
    </w:p>
    <w:p w14:paraId="08228C96" w14:textId="756C812C" w:rsidR="00112BB4" w:rsidRDefault="00112BB4" w:rsidP="00112BB4">
      <w:pPr>
        <w:rPr>
          <w:lang w:val="en-US"/>
        </w:rPr>
      </w:pPr>
      <w:r>
        <w:rPr>
          <w:lang w:val="en-US"/>
        </w:rPr>
        <w:t>The metrics used to evaluate the performance are train loss, test loss, accuracy, precision, recall, F1</w:t>
      </w:r>
      <w:r w:rsidR="007441E3">
        <w:rPr>
          <w:lang w:val="en-US"/>
        </w:rPr>
        <w:t xml:space="preserve"> </w:t>
      </w:r>
      <w:r w:rsidR="007441E3">
        <w:rPr>
          <w:lang w:val="en-US"/>
        </w:rPr>
        <w:fldChar w:fldCharType="begin"/>
      </w:r>
      <w:r w:rsidR="00082AAB">
        <w:rPr>
          <w:lang w:val="en-US"/>
        </w:rPr>
        <w:instrText xml:space="preserve"> ADDIN ZOTERO_ITEM CSL_CITATION {"citationID":"Pet00QPo","properties":{"formattedCitation":"[5], [6]","plainCitation":"[5], [6]","noteIndex":0},"citationItems":[{"id":44,"uris":["http://zotero.org/users/6937485/items/NA8Q8USR"],"uri":["http://zotero.org/users/6937485/items/NA8Q8USR"],"itemData":{"id":44,"type":"post-weblog","title":"Multi-Class Metrics Made Simple, Part I: Precision and Recall","URL":"https://towardsdatascience.com/multi-class-metrics-made-simple-part-i-precision-and-recall-9250280bddc2","author":[{"family":"Shmueli","given":"Boaz"}],"issued":{"date-parts":[["2019",7,2]]}}},{"id":45,"uris":["http://zotero.org/users/6937485/items/7J9AF3K7"],"uri":["http://zotero.org/users/6937485/items/7J9AF3K7"],"itemData":{"id":45,"type":"post-weblog","container-title":"Multi-Class Metrics Made Simple, Part II: the F1-score","title":"Multi-Class Metrics Made Simple, Part II: the F1-score","author":[{"family":"Shmueli","given":"Boaz"}]}}],"schema":"https://github.com/citation-style-language/schema/raw/master/csl-citation.json"} </w:instrText>
      </w:r>
      <w:r w:rsidR="007441E3">
        <w:rPr>
          <w:lang w:val="en-US"/>
        </w:rPr>
        <w:fldChar w:fldCharType="separate"/>
      </w:r>
      <w:r w:rsidR="00082AAB" w:rsidRPr="00082AAB">
        <w:rPr>
          <w:rFonts w:ascii="Calibri" w:hAnsi="Calibri" w:cs="Calibri"/>
        </w:rPr>
        <w:t>[5], [6]</w:t>
      </w:r>
      <w:r w:rsidR="007441E3">
        <w:rPr>
          <w:lang w:val="en-US"/>
        </w:rPr>
        <w:fldChar w:fldCharType="end"/>
      </w:r>
      <w:r w:rsidR="007441E3">
        <w:rPr>
          <w:lang w:val="en-US"/>
        </w:rPr>
        <w:t xml:space="preserve"> </w:t>
      </w:r>
      <w:r>
        <w:rPr>
          <w:lang w:val="en-US"/>
        </w:rPr>
        <w:t>time to train and predict, time to predict. For all the methods and models, it was found that accuracy, precision, recall, and F1 tend to move together for different hyperparameter values. Accuracy is 1 – training loss, both are kept as they are arrived at separately, in this way it is possible to confirm that there is no error in the calculations.</w:t>
      </w:r>
    </w:p>
    <w:tbl>
      <w:tblPr>
        <w:tblStyle w:val="TableGrid"/>
        <w:tblW w:w="0" w:type="auto"/>
        <w:tblLook w:val="04A0" w:firstRow="1" w:lastRow="0" w:firstColumn="1" w:lastColumn="0" w:noHBand="0" w:noVBand="1"/>
      </w:tblPr>
      <w:tblGrid>
        <w:gridCol w:w="6336"/>
        <w:gridCol w:w="90"/>
        <w:gridCol w:w="150"/>
        <w:gridCol w:w="3880"/>
      </w:tblGrid>
      <w:tr w:rsidR="006D20D2" w14:paraId="2403F1BF" w14:textId="77777777" w:rsidTr="006D20D2">
        <w:tc>
          <w:tcPr>
            <w:tcW w:w="6576" w:type="dxa"/>
            <w:gridSpan w:val="3"/>
          </w:tcPr>
          <w:p w14:paraId="0C43267B" w14:textId="163625B5" w:rsidR="006D20D2" w:rsidRDefault="006D20D2" w:rsidP="00112BB4">
            <w:pPr>
              <w:rPr>
                <w:lang w:val="en-US"/>
              </w:rPr>
            </w:pPr>
            <w:r>
              <w:rPr>
                <w:noProof/>
                <w:lang w:val="en-US"/>
              </w:rPr>
              <w:lastRenderedPageBreak/>
              <w:drawing>
                <wp:inline distT="0" distB="0" distL="0" distR="0" wp14:anchorId="365156D0" wp14:editId="697C3D08">
                  <wp:extent cx="4038600" cy="2468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9390" cy="2548729"/>
                          </a:xfrm>
                          <a:prstGeom prst="rect">
                            <a:avLst/>
                          </a:prstGeom>
                          <a:noFill/>
                          <a:ln>
                            <a:noFill/>
                          </a:ln>
                        </pic:spPr>
                      </pic:pic>
                    </a:graphicData>
                  </a:graphic>
                </wp:inline>
              </w:drawing>
            </w:r>
          </w:p>
        </w:tc>
        <w:tc>
          <w:tcPr>
            <w:tcW w:w="3880" w:type="dxa"/>
          </w:tcPr>
          <w:p w14:paraId="43BC70A2" w14:textId="77777777" w:rsidR="00483D7A" w:rsidRDefault="00483D7A" w:rsidP="00483D7A">
            <w:pPr>
              <w:pStyle w:val="Caption"/>
            </w:pPr>
            <w:r>
              <w:t xml:space="preserve">Figure </w:t>
            </w:r>
            <w:fldSimple w:instr=" SEQ Figure \* ARABIC ">
              <w:r>
                <w:rPr>
                  <w:noProof/>
                </w:rPr>
                <w:t>1</w:t>
              </w:r>
            </w:fldSimple>
            <w:r>
              <w:t>Train/Test Loss Split Criteria</w:t>
            </w:r>
          </w:p>
          <w:p w14:paraId="0727FC3A" w14:textId="092E25A4" w:rsidR="006D20D2" w:rsidRPr="00483D7A" w:rsidRDefault="007441E3" w:rsidP="00112BB4">
            <w:r>
              <w:t>Split criteria comparison. Deviance can be seen to consistently have a slightly lower loss than the other criteria.</w:t>
            </w:r>
          </w:p>
        </w:tc>
      </w:tr>
      <w:tr w:rsidR="006D20D2" w14:paraId="4003B118" w14:textId="77777777" w:rsidTr="00E21D95">
        <w:tc>
          <w:tcPr>
            <w:tcW w:w="6336" w:type="dxa"/>
          </w:tcPr>
          <w:p w14:paraId="0C22D965" w14:textId="46F654E9" w:rsidR="006D20D2" w:rsidRDefault="00483D7A" w:rsidP="00112BB4">
            <w:pPr>
              <w:pStyle w:val="Heading3"/>
              <w:outlineLvl w:val="2"/>
              <w:rPr>
                <w:lang w:val="en-US"/>
              </w:rPr>
            </w:pPr>
            <w:r>
              <w:rPr>
                <w:noProof/>
                <w:lang w:val="en-US"/>
              </w:rPr>
              <w:drawing>
                <wp:inline distT="0" distB="0" distL="0" distR="0" wp14:anchorId="732459CA" wp14:editId="549590D8">
                  <wp:extent cx="3877555" cy="27355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7328" cy="2827134"/>
                          </a:xfrm>
                          <a:prstGeom prst="rect">
                            <a:avLst/>
                          </a:prstGeom>
                          <a:noFill/>
                          <a:ln>
                            <a:noFill/>
                          </a:ln>
                        </pic:spPr>
                      </pic:pic>
                    </a:graphicData>
                  </a:graphic>
                </wp:inline>
              </w:drawing>
            </w:r>
          </w:p>
        </w:tc>
        <w:tc>
          <w:tcPr>
            <w:tcW w:w="4120" w:type="dxa"/>
            <w:gridSpan w:val="3"/>
          </w:tcPr>
          <w:p w14:paraId="7696C4BB" w14:textId="77777777" w:rsidR="00483D7A" w:rsidRDefault="00483D7A" w:rsidP="00483D7A">
            <w:pPr>
              <w:pStyle w:val="Caption"/>
              <w:rPr>
                <w:lang w:val="en-US"/>
              </w:rPr>
            </w:pPr>
            <w:r>
              <w:t xml:space="preserve">Figure </w:t>
            </w:r>
            <w:fldSimple w:instr=" SEQ Figure \* ARABIC ">
              <w:r>
                <w:rPr>
                  <w:noProof/>
                </w:rPr>
                <w:t>2</w:t>
              </w:r>
            </w:fldSimple>
            <w:r>
              <w:t>Train/Test Loss by row number in results table</w:t>
            </w:r>
          </w:p>
          <w:p w14:paraId="2FFAB522" w14:textId="668C844E" w:rsidR="006D20D2" w:rsidRDefault="007441E3" w:rsidP="00B04820">
            <w:pPr>
              <w:rPr>
                <w:lang w:val="en-US"/>
              </w:rPr>
            </w:pPr>
            <w:r>
              <w:rPr>
                <w:lang w:val="en-US"/>
              </w:rPr>
              <w:t>The plot shows that training and test loss tend to move together. The results with lower loss are identified and can be looked up in the results table.</w:t>
            </w:r>
          </w:p>
        </w:tc>
      </w:tr>
      <w:tr w:rsidR="00483D7A" w14:paraId="43379337" w14:textId="77777777" w:rsidTr="00E21D95">
        <w:tc>
          <w:tcPr>
            <w:tcW w:w="6426" w:type="dxa"/>
            <w:gridSpan w:val="2"/>
          </w:tcPr>
          <w:p w14:paraId="1235481A" w14:textId="4CC85E97" w:rsidR="00483D7A" w:rsidRDefault="00483D7A" w:rsidP="00112BB4">
            <w:pPr>
              <w:pStyle w:val="Heading3"/>
              <w:outlineLvl w:val="2"/>
              <w:rPr>
                <w:lang w:val="en-US"/>
              </w:rPr>
            </w:pPr>
            <w:r>
              <w:rPr>
                <w:noProof/>
                <w:lang w:val="en-US"/>
              </w:rPr>
              <w:drawing>
                <wp:inline distT="0" distB="0" distL="0" distR="0" wp14:anchorId="3DE1A4F7" wp14:editId="09709039">
                  <wp:extent cx="3943350" cy="26835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991" cy="2834412"/>
                          </a:xfrm>
                          <a:prstGeom prst="rect">
                            <a:avLst/>
                          </a:prstGeom>
                          <a:noFill/>
                          <a:ln>
                            <a:noFill/>
                          </a:ln>
                        </pic:spPr>
                      </pic:pic>
                    </a:graphicData>
                  </a:graphic>
                </wp:inline>
              </w:drawing>
            </w:r>
          </w:p>
        </w:tc>
        <w:tc>
          <w:tcPr>
            <w:tcW w:w="4030" w:type="dxa"/>
            <w:gridSpan w:val="2"/>
          </w:tcPr>
          <w:p w14:paraId="57D44AA2" w14:textId="77777777" w:rsidR="00483D7A" w:rsidRDefault="00483D7A" w:rsidP="00483D7A">
            <w:pPr>
              <w:pStyle w:val="Caption"/>
              <w:rPr>
                <w:lang w:val="en-US"/>
              </w:rPr>
            </w:pPr>
            <w:r>
              <w:t xml:space="preserve">Figure </w:t>
            </w:r>
            <w:fldSimple w:instr=" SEQ Figure \* ARABIC ">
              <w:r>
                <w:rPr>
                  <w:noProof/>
                </w:rPr>
                <w:t>3</w:t>
              </w:r>
            </w:fldSimple>
            <w:r>
              <w:t>Result Metrics by results table row number</w:t>
            </w:r>
          </w:p>
          <w:p w14:paraId="211BD142" w14:textId="79417574" w:rsidR="00483D7A" w:rsidRDefault="007441E3" w:rsidP="00B04820">
            <w:pPr>
              <w:rPr>
                <w:lang w:val="en-US"/>
              </w:rPr>
            </w:pPr>
            <w:r>
              <w:rPr>
                <w:lang w:val="en-US"/>
              </w:rPr>
              <w:t>The plot shows that accuracy, precision, recall and F1 tend to be grouped together. The results with the highest metric values are identified and looked up in the results table.</w:t>
            </w:r>
          </w:p>
        </w:tc>
      </w:tr>
    </w:tbl>
    <w:p w14:paraId="3308CF78" w14:textId="592E8962" w:rsidR="00483D7A" w:rsidRDefault="00483D7A" w:rsidP="00112BB4">
      <w:pPr>
        <w:pStyle w:val="Heading3"/>
        <w:rPr>
          <w:lang w:val="en-US"/>
        </w:rPr>
      </w:pPr>
    </w:p>
    <w:p w14:paraId="6D728DBD" w14:textId="50D8EB17" w:rsidR="00CA5312" w:rsidRDefault="00F4302C" w:rsidP="00B650D8">
      <w:pPr>
        <w:rPr>
          <w:lang w:val="en-US"/>
        </w:rPr>
      </w:pPr>
      <w:r>
        <w:rPr>
          <w:lang w:val="en-US"/>
        </w:rPr>
        <w:t xml:space="preserve">By looking at the plots, the best performing rows of the results table are identified, and </w:t>
      </w:r>
      <w:r w:rsidR="00D723EE">
        <w:rPr>
          <w:lang w:val="en-US"/>
        </w:rPr>
        <w:t>analyzed</w:t>
      </w:r>
      <w:r w:rsidR="00771E0C">
        <w:rPr>
          <w:lang w:val="en-US"/>
        </w:rPr>
        <w:t>, to per</w:t>
      </w:r>
      <w:r w:rsidR="00E21D95">
        <w:rPr>
          <w:lang w:val="en-US"/>
        </w:rPr>
        <w:t>f</w:t>
      </w:r>
      <w:r w:rsidR="00771E0C">
        <w:rPr>
          <w:lang w:val="en-US"/>
        </w:rPr>
        <w:t>orm a grid search</w:t>
      </w:r>
      <w:r>
        <w:rPr>
          <w:lang w:val="en-US"/>
        </w:rPr>
        <w:t xml:space="preserve">: </w:t>
      </w:r>
      <w:proofErr w:type="spellStart"/>
      <w:r w:rsidRPr="00F4302C">
        <w:rPr>
          <w:lang w:val="en-US"/>
        </w:rPr>
        <w:t>disp</w:t>
      </w:r>
      <w:proofErr w:type="spellEnd"/>
      <w:r w:rsidRPr="00F4302C">
        <w:rPr>
          <w:lang w:val="en-US"/>
        </w:rPr>
        <w:t>(</w:t>
      </w:r>
      <w:proofErr w:type="spellStart"/>
      <w:r w:rsidRPr="00F4302C">
        <w:rPr>
          <w:lang w:val="en-US"/>
        </w:rPr>
        <w:t>treeSelectedFeatureResultsNormalised.resultsTable</w:t>
      </w:r>
      <w:proofErr w:type="spellEnd"/>
      <w:r w:rsidRPr="00F4302C">
        <w:rPr>
          <w:lang w:val="en-US"/>
        </w:rPr>
        <w:t>([55, 110, 164, 166, 192, 199],:));</w:t>
      </w:r>
    </w:p>
    <w:tbl>
      <w:tblPr>
        <w:tblStyle w:val="TableGrid"/>
        <w:tblW w:w="0" w:type="auto"/>
        <w:tblLook w:val="04A0" w:firstRow="1" w:lastRow="0" w:firstColumn="1" w:lastColumn="0" w:noHBand="0" w:noVBand="1"/>
      </w:tblPr>
      <w:tblGrid>
        <w:gridCol w:w="10456"/>
      </w:tblGrid>
      <w:tr w:rsidR="00D723EE" w14:paraId="4DFED988" w14:textId="77777777" w:rsidTr="00D723EE">
        <w:tc>
          <w:tcPr>
            <w:tcW w:w="10456" w:type="dxa"/>
          </w:tcPr>
          <w:tbl>
            <w:tblPr>
              <w:tblW w:w="9500" w:type="dxa"/>
              <w:tblLook w:val="04A0" w:firstRow="1" w:lastRow="0" w:firstColumn="1" w:lastColumn="0" w:noHBand="0" w:noVBand="1"/>
            </w:tblPr>
            <w:tblGrid>
              <w:gridCol w:w="1580"/>
              <w:gridCol w:w="1240"/>
              <w:gridCol w:w="1480"/>
              <w:gridCol w:w="1380"/>
              <w:gridCol w:w="1340"/>
              <w:gridCol w:w="1280"/>
              <w:gridCol w:w="1200"/>
            </w:tblGrid>
            <w:tr w:rsidR="00D723EE" w:rsidRPr="00D723EE" w14:paraId="130CE7C3" w14:textId="77777777" w:rsidTr="00D723EE">
              <w:trPr>
                <w:trHeight w:val="300"/>
              </w:trPr>
              <w:tc>
                <w:tcPr>
                  <w:tcW w:w="1580" w:type="dxa"/>
                  <w:tcBorders>
                    <w:top w:val="nil"/>
                    <w:left w:val="nil"/>
                    <w:bottom w:val="nil"/>
                    <w:right w:val="nil"/>
                  </w:tcBorders>
                  <w:shd w:val="clear" w:color="auto" w:fill="auto"/>
                  <w:noWrap/>
                  <w:vAlign w:val="bottom"/>
                  <w:hideMark/>
                </w:tcPr>
                <w:p w14:paraId="08647FBD"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numberOfFolds</w:t>
                  </w:r>
                  <w:proofErr w:type="spellEnd"/>
                </w:p>
              </w:tc>
              <w:tc>
                <w:tcPr>
                  <w:tcW w:w="1240" w:type="dxa"/>
                  <w:tcBorders>
                    <w:top w:val="nil"/>
                    <w:left w:val="nil"/>
                    <w:bottom w:val="nil"/>
                    <w:right w:val="nil"/>
                  </w:tcBorders>
                  <w:shd w:val="clear" w:color="auto" w:fill="auto"/>
                  <w:noWrap/>
                  <w:vAlign w:val="bottom"/>
                  <w:hideMark/>
                </w:tcPr>
                <w:p w14:paraId="12853E0B"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minLeafSize</w:t>
                  </w:r>
                  <w:proofErr w:type="spellEnd"/>
                </w:p>
              </w:tc>
              <w:tc>
                <w:tcPr>
                  <w:tcW w:w="1480" w:type="dxa"/>
                  <w:tcBorders>
                    <w:top w:val="nil"/>
                    <w:left w:val="nil"/>
                    <w:bottom w:val="nil"/>
                    <w:right w:val="nil"/>
                  </w:tcBorders>
                  <w:shd w:val="clear" w:color="auto" w:fill="auto"/>
                  <w:noWrap/>
                  <w:vAlign w:val="bottom"/>
                  <w:hideMark/>
                </w:tcPr>
                <w:p w14:paraId="1CA9F14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minParentSize</w:t>
                  </w:r>
                  <w:proofErr w:type="spellEnd"/>
                </w:p>
              </w:tc>
              <w:tc>
                <w:tcPr>
                  <w:tcW w:w="1380" w:type="dxa"/>
                  <w:tcBorders>
                    <w:top w:val="nil"/>
                    <w:left w:val="nil"/>
                    <w:bottom w:val="nil"/>
                    <w:right w:val="nil"/>
                  </w:tcBorders>
                  <w:shd w:val="clear" w:color="auto" w:fill="auto"/>
                  <w:noWrap/>
                  <w:vAlign w:val="bottom"/>
                  <w:hideMark/>
                </w:tcPr>
                <w:p w14:paraId="3E9B17D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maxNumSplit</w:t>
                  </w:r>
                  <w:proofErr w:type="spellEnd"/>
                </w:p>
              </w:tc>
              <w:tc>
                <w:tcPr>
                  <w:tcW w:w="1340" w:type="dxa"/>
                  <w:tcBorders>
                    <w:top w:val="nil"/>
                    <w:left w:val="nil"/>
                    <w:bottom w:val="nil"/>
                    <w:right w:val="nil"/>
                  </w:tcBorders>
                  <w:shd w:val="clear" w:color="auto" w:fill="auto"/>
                  <w:noWrap/>
                  <w:vAlign w:val="bottom"/>
                  <w:hideMark/>
                </w:tcPr>
                <w:p w14:paraId="5EEEC9DB"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splitCriterion</w:t>
                  </w:r>
                  <w:proofErr w:type="spellEnd"/>
                </w:p>
              </w:tc>
              <w:tc>
                <w:tcPr>
                  <w:tcW w:w="1280" w:type="dxa"/>
                  <w:tcBorders>
                    <w:top w:val="nil"/>
                    <w:left w:val="nil"/>
                    <w:bottom w:val="nil"/>
                    <w:right w:val="nil"/>
                  </w:tcBorders>
                  <w:shd w:val="clear" w:color="auto" w:fill="auto"/>
                  <w:noWrap/>
                  <w:vAlign w:val="bottom"/>
                  <w:hideMark/>
                </w:tcPr>
                <w:p w14:paraId="09C2B13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avgTrainLoss</w:t>
                  </w:r>
                  <w:proofErr w:type="spellEnd"/>
                </w:p>
              </w:tc>
              <w:tc>
                <w:tcPr>
                  <w:tcW w:w="1200" w:type="dxa"/>
                  <w:tcBorders>
                    <w:top w:val="nil"/>
                    <w:left w:val="nil"/>
                    <w:bottom w:val="nil"/>
                    <w:right w:val="nil"/>
                  </w:tcBorders>
                  <w:shd w:val="clear" w:color="auto" w:fill="auto"/>
                  <w:noWrap/>
                  <w:vAlign w:val="bottom"/>
                  <w:hideMark/>
                </w:tcPr>
                <w:p w14:paraId="0D15A94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avgTestLoss</w:t>
                  </w:r>
                  <w:proofErr w:type="spellEnd"/>
                </w:p>
              </w:tc>
            </w:tr>
            <w:tr w:rsidR="00D723EE" w:rsidRPr="00D723EE" w14:paraId="117FCF8E" w14:textId="77777777" w:rsidTr="00D723EE">
              <w:trPr>
                <w:trHeight w:val="300"/>
              </w:trPr>
              <w:tc>
                <w:tcPr>
                  <w:tcW w:w="1580" w:type="dxa"/>
                  <w:tcBorders>
                    <w:top w:val="nil"/>
                    <w:left w:val="nil"/>
                    <w:bottom w:val="nil"/>
                    <w:right w:val="nil"/>
                  </w:tcBorders>
                  <w:shd w:val="clear" w:color="auto" w:fill="auto"/>
                  <w:noWrap/>
                  <w:vAlign w:val="bottom"/>
                  <w:hideMark/>
                </w:tcPr>
                <w:p w14:paraId="7123CFD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05E89D0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480" w:type="dxa"/>
                  <w:tcBorders>
                    <w:top w:val="nil"/>
                    <w:left w:val="nil"/>
                    <w:bottom w:val="nil"/>
                    <w:right w:val="nil"/>
                  </w:tcBorders>
                  <w:shd w:val="clear" w:color="auto" w:fill="auto"/>
                  <w:noWrap/>
                  <w:vAlign w:val="bottom"/>
                  <w:hideMark/>
                </w:tcPr>
                <w:p w14:paraId="47DD0B8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w:t>
                  </w:r>
                </w:p>
              </w:tc>
              <w:tc>
                <w:tcPr>
                  <w:tcW w:w="1380" w:type="dxa"/>
                  <w:tcBorders>
                    <w:top w:val="nil"/>
                    <w:left w:val="nil"/>
                    <w:bottom w:val="nil"/>
                    <w:right w:val="nil"/>
                  </w:tcBorders>
                  <w:shd w:val="clear" w:color="auto" w:fill="auto"/>
                  <w:noWrap/>
                  <w:vAlign w:val="bottom"/>
                  <w:hideMark/>
                </w:tcPr>
                <w:p w14:paraId="061123A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5A9161B5"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gdi</w:t>
                  </w:r>
                  <w:proofErr w:type="spellEnd"/>
                </w:p>
              </w:tc>
              <w:tc>
                <w:tcPr>
                  <w:tcW w:w="1280" w:type="dxa"/>
                  <w:tcBorders>
                    <w:top w:val="nil"/>
                    <w:left w:val="nil"/>
                    <w:bottom w:val="nil"/>
                    <w:right w:val="nil"/>
                  </w:tcBorders>
                  <w:shd w:val="clear" w:color="auto" w:fill="auto"/>
                  <w:noWrap/>
                  <w:vAlign w:val="bottom"/>
                  <w:hideMark/>
                </w:tcPr>
                <w:p w14:paraId="165E44C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0.1021</w:t>
                  </w:r>
                </w:p>
              </w:tc>
              <w:tc>
                <w:tcPr>
                  <w:tcW w:w="1200" w:type="dxa"/>
                  <w:tcBorders>
                    <w:top w:val="nil"/>
                    <w:left w:val="nil"/>
                    <w:bottom w:val="nil"/>
                    <w:right w:val="nil"/>
                  </w:tcBorders>
                  <w:shd w:val="clear" w:color="auto" w:fill="auto"/>
                  <w:noWrap/>
                  <w:vAlign w:val="bottom"/>
                  <w:hideMark/>
                </w:tcPr>
                <w:p w14:paraId="39807E73"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0.1681</w:t>
                  </w:r>
                </w:p>
              </w:tc>
            </w:tr>
            <w:tr w:rsidR="00D723EE" w:rsidRPr="00D723EE" w14:paraId="7A42AD56" w14:textId="77777777" w:rsidTr="00D723EE">
              <w:trPr>
                <w:trHeight w:val="300"/>
              </w:trPr>
              <w:tc>
                <w:tcPr>
                  <w:tcW w:w="1580" w:type="dxa"/>
                  <w:tcBorders>
                    <w:top w:val="nil"/>
                    <w:left w:val="nil"/>
                    <w:bottom w:val="nil"/>
                    <w:right w:val="nil"/>
                  </w:tcBorders>
                  <w:shd w:val="clear" w:color="auto" w:fill="auto"/>
                  <w:noWrap/>
                  <w:vAlign w:val="bottom"/>
                  <w:hideMark/>
                </w:tcPr>
                <w:p w14:paraId="6F4A42E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w:t>
                  </w:r>
                </w:p>
              </w:tc>
              <w:tc>
                <w:tcPr>
                  <w:tcW w:w="1240" w:type="dxa"/>
                  <w:tcBorders>
                    <w:top w:val="nil"/>
                    <w:left w:val="nil"/>
                    <w:bottom w:val="nil"/>
                    <w:right w:val="nil"/>
                  </w:tcBorders>
                  <w:shd w:val="clear" w:color="auto" w:fill="auto"/>
                  <w:noWrap/>
                  <w:vAlign w:val="bottom"/>
                  <w:hideMark/>
                </w:tcPr>
                <w:p w14:paraId="0EF5098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697B850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42ABBA4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51163A5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twoing</w:t>
                  </w:r>
                  <w:proofErr w:type="spellEnd"/>
                </w:p>
              </w:tc>
              <w:tc>
                <w:tcPr>
                  <w:tcW w:w="1280" w:type="dxa"/>
                  <w:tcBorders>
                    <w:top w:val="nil"/>
                    <w:left w:val="nil"/>
                    <w:bottom w:val="nil"/>
                    <w:right w:val="nil"/>
                  </w:tcBorders>
                  <w:shd w:val="clear" w:color="auto" w:fill="auto"/>
                  <w:noWrap/>
                  <w:vAlign w:val="bottom"/>
                  <w:hideMark/>
                </w:tcPr>
                <w:p w14:paraId="5CC901C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0.0459</w:t>
                  </w:r>
                </w:p>
              </w:tc>
              <w:tc>
                <w:tcPr>
                  <w:tcW w:w="1200" w:type="dxa"/>
                  <w:tcBorders>
                    <w:top w:val="nil"/>
                    <w:left w:val="nil"/>
                    <w:bottom w:val="nil"/>
                    <w:right w:val="nil"/>
                  </w:tcBorders>
                  <w:shd w:val="clear" w:color="auto" w:fill="auto"/>
                  <w:noWrap/>
                  <w:vAlign w:val="bottom"/>
                  <w:hideMark/>
                </w:tcPr>
                <w:p w14:paraId="265732C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0.1459</w:t>
                  </w:r>
                </w:p>
              </w:tc>
            </w:tr>
            <w:tr w:rsidR="00D723EE" w:rsidRPr="00D723EE" w14:paraId="6D4E8DAB" w14:textId="77777777" w:rsidTr="00D723EE">
              <w:trPr>
                <w:trHeight w:val="300"/>
              </w:trPr>
              <w:tc>
                <w:tcPr>
                  <w:tcW w:w="1580" w:type="dxa"/>
                  <w:tcBorders>
                    <w:top w:val="nil"/>
                    <w:left w:val="nil"/>
                    <w:bottom w:val="nil"/>
                    <w:right w:val="nil"/>
                  </w:tcBorders>
                  <w:shd w:val="clear" w:color="auto" w:fill="auto"/>
                  <w:noWrap/>
                  <w:vAlign w:val="bottom"/>
                  <w:hideMark/>
                </w:tcPr>
                <w:p w14:paraId="6B00C84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w:t>
                  </w:r>
                </w:p>
              </w:tc>
              <w:tc>
                <w:tcPr>
                  <w:tcW w:w="1240" w:type="dxa"/>
                  <w:tcBorders>
                    <w:top w:val="nil"/>
                    <w:left w:val="nil"/>
                    <w:bottom w:val="nil"/>
                    <w:right w:val="nil"/>
                  </w:tcBorders>
                  <w:shd w:val="clear" w:color="auto" w:fill="auto"/>
                  <w:noWrap/>
                  <w:vAlign w:val="bottom"/>
                  <w:hideMark/>
                </w:tcPr>
                <w:p w14:paraId="18105EB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470EE70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21C2C3A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4000</w:t>
                  </w:r>
                </w:p>
              </w:tc>
              <w:tc>
                <w:tcPr>
                  <w:tcW w:w="1340" w:type="dxa"/>
                  <w:tcBorders>
                    <w:top w:val="nil"/>
                    <w:left w:val="nil"/>
                    <w:bottom w:val="nil"/>
                    <w:right w:val="nil"/>
                  </w:tcBorders>
                  <w:shd w:val="clear" w:color="auto" w:fill="auto"/>
                  <w:noWrap/>
                  <w:vAlign w:val="bottom"/>
                  <w:hideMark/>
                </w:tcPr>
                <w:p w14:paraId="47D7AC2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37F4955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0.0388</w:t>
                  </w:r>
                </w:p>
              </w:tc>
              <w:tc>
                <w:tcPr>
                  <w:tcW w:w="1200" w:type="dxa"/>
                  <w:tcBorders>
                    <w:top w:val="nil"/>
                    <w:left w:val="nil"/>
                    <w:bottom w:val="nil"/>
                    <w:right w:val="nil"/>
                  </w:tcBorders>
                  <w:shd w:val="clear" w:color="auto" w:fill="auto"/>
                  <w:noWrap/>
                  <w:vAlign w:val="bottom"/>
                  <w:hideMark/>
                </w:tcPr>
                <w:p w14:paraId="3D11C20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0.1468</w:t>
                  </w:r>
                </w:p>
              </w:tc>
            </w:tr>
            <w:tr w:rsidR="00D723EE" w:rsidRPr="00D723EE" w14:paraId="31FFF014" w14:textId="77777777" w:rsidTr="00D723EE">
              <w:trPr>
                <w:trHeight w:val="300"/>
              </w:trPr>
              <w:tc>
                <w:tcPr>
                  <w:tcW w:w="1580" w:type="dxa"/>
                  <w:tcBorders>
                    <w:top w:val="nil"/>
                    <w:left w:val="nil"/>
                    <w:bottom w:val="nil"/>
                    <w:right w:val="nil"/>
                  </w:tcBorders>
                  <w:shd w:val="clear" w:color="auto" w:fill="auto"/>
                  <w:noWrap/>
                  <w:vAlign w:val="bottom"/>
                  <w:hideMark/>
                </w:tcPr>
                <w:p w14:paraId="799DB94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32D8CE4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426D4CC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762785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4000</w:t>
                  </w:r>
                </w:p>
              </w:tc>
              <w:tc>
                <w:tcPr>
                  <w:tcW w:w="1340" w:type="dxa"/>
                  <w:tcBorders>
                    <w:top w:val="nil"/>
                    <w:left w:val="nil"/>
                    <w:bottom w:val="nil"/>
                    <w:right w:val="nil"/>
                  </w:tcBorders>
                  <w:shd w:val="clear" w:color="auto" w:fill="auto"/>
                  <w:noWrap/>
                  <w:vAlign w:val="bottom"/>
                  <w:hideMark/>
                </w:tcPr>
                <w:p w14:paraId="652DC89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2876668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0.0405</w:t>
                  </w:r>
                </w:p>
              </w:tc>
              <w:tc>
                <w:tcPr>
                  <w:tcW w:w="1200" w:type="dxa"/>
                  <w:tcBorders>
                    <w:top w:val="nil"/>
                    <w:left w:val="nil"/>
                    <w:bottom w:val="nil"/>
                    <w:right w:val="nil"/>
                  </w:tcBorders>
                  <w:shd w:val="clear" w:color="auto" w:fill="auto"/>
                  <w:noWrap/>
                  <w:vAlign w:val="bottom"/>
                  <w:hideMark/>
                </w:tcPr>
                <w:p w14:paraId="61486963"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0.1391</w:t>
                  </w:r>
                </w:p>
              </w:tc>
            </w:tr>
            <w:tr w:rsidR="00D723EE" w:rsidRPr="00D723EE" w14:paraId="50843855" w14:textId="77777777" w:rsidTr="00D723EE">
              <w:trPr>
                <w:trHeight w:val="300"/>
              </w:trPr>
              <w:tc>
                <w:tcPr>
                  <w:tcW w:w="1580" w:type="dxa"/>
                  <w:tcBorders>
                    <w:top w:val="nil"/>
                    <w:left w:val="nil"/>
                    <w:bottom w:val="nil"/>
                    <w:right w:val="nil"/>
                  </w:tcBorders>
                  <w:shd w:val="clear" w:color="auto" w:fill="auto"/>
                  <w:noWrap/>
                  <w:vAlign w:val="bottom"/>
                  <w:hideMark/>
                </w:tcPr>
                <w:p w14:paraId="42AA056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lastRenderedPageBreak/>
                    <w:t>3</w:t>
                  </w:r>
                </w:p>
              </w:tc>
              <w:tc>
                <w:tcPr>
                  <w:tcW w:w="1240" w:type="dxa"/>
                  <w:tcBorders>
                    <w:top w:val="nil"/>
                    <w:left w:val="nil"/>
                    <w:bottom w:val="nil"/>
                    <w:right w:val="nil"/>
                  </w:tcBorders>
                  <w:shd w:val="clear" w:color="auto" w:fill="auto"/>
                  <w:noWrap/>
                  <w:vAlign w:val="bottom"/>
                  <w:hideMark/>
                </w:tcPr>
                <w:p w14:paraId="0F9F48D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6CB95D6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1E4227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6AE661BC"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2340487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0.0397</w:t>
                  </w:r>
                </w:p>
              </w:tc>
              <w:tc>
                <w:tcPr>
                  <w:tcW w:w="1200" w:type="dxa"/>
                  <w:tcBorders>
                    <w:top w:val="nil"/>
                    <w:left w:val="nil"/>
                    <w:bottom w:val="nil"/>
                    <w:right w:val="nil"/>
                  </w:tcBorders>
                  <w:shd w:val="clear" w:color="auto" w:fill="auto"/>
                  <w:noWrap/>
                  <w:vAlign w:val="bottom"/>
                  <w:hideMark/>
                </w:tcPr>
                <w:p w14:paraId="74287E5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0.1403</w:t>
                  </w:r>
                </w:p>
              </w:tc>
            </w:tr>
            <w:tr w:rsidR="00D723EE" w:rsidRPr="00D723EE" w14:paraId="0162353E" w14:textId="77777777" w:rsidTr="00D723EE">
              <w:trPr>
                <w:trHeight w:val="300"/>
              </w:trPr>
              <w:tc>
                <w:tcPr>
                  <w:tcW w:w="1580" w:type="dxa"/>
                  <w:tcBorders>
                    <w:top w:val="nil"/>
                    <w:left w:val="nil"/>
                    <w:bottom w:val="nil"/>
                    <w:right w:val="nil"/>
                  </w:tcBorders>
                  <w:shd w:val="clear" w:color="auto" w:fill="auto"/>
                  <w:noWrap/>
                  <w:vAlign w:val="bottom"/>
                  <w:hideMark/>
                </w:tcPr>
                <w:p w14:paraId="7B71F59C"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5DE84E9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341CE16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w:t>
                  </w:r>
                </w:p>
              </w:tc>
              <w:tc>
                <w:tcPr>
                  <w:tcW w:w="1380" w:type="dxa"/>
                  <w:tcBorders>
                    <w:top w:val="nil"/>
                    <w:left w:val="nil"/>
                    <w:bottom w:val="nil"/>
                    <w:right w:val="nil"/>
                  </w:tcBorders>
                  <w:shd w:val="clear" w:color="auto" w:fill="auto"/>
                  <w:noWrap/>
                  <w:vAlign w:val="bottom"/>
                  <w:hideMark/>
                </w:tcPr>
                <w:p w14:paraId="5301379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70BE74A5"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558DC12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0.0682</w:t>
                  </w:r>
                </w:p>
              </w:tc>
              <w:tc>
                <w:tcPr>
                  <w:tcW w:w="1200" w:type="dxa"/>
                  <w:tcBorders>
                    <w:top w:val="nil"/>
                    <w:left w:val="nil"/>
                    <w:bottom w:val="nil"/>
                    <w:right w:val="nil"/>
                  </w:tcBorders>
                  <w:shd w:val="clear" w:color="auto" w:fill="auto"/>
                  <w:noWrap/>
                  <w:vAlign w:val="bottom"/>
                  <w:hideMark/>
                </w:tcPr>
                <w:p w14:paraId="3A37952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0.1521</w:t>
                  </w:r>
                </w:p>
              </w:tc>
            </w:tr>
          </w:tbl>
          <w:p w14:paraId="0ACBF83C" w14:textId="72951A98" w:rsidR="00D723EE" w:rsidRDefault="00D723EE" w:rsidP="00D723EE">
            <w:pPr>
              <w:rPr>
                <w:lang w:val="en-US"/>
              </w:rPr>
            </w:pPr>
          </w:p>
        </w:tc>
      </w:tr>
      <w:tr w:rsidR="00D723EE" w14:paraId="1A71F401" w14:textId="77777777" w:rsidTr="00D723EE">
        <w:tc>
          <w:tcPr>
            <w:tcW w:w="10456" w:type="dxa"/>
          </w:tcPr>
          <w:tbl>
            <w:tblPr>
              <w:tblW w:w="9240" w:type="dxa"/>
              <w:tblLook w:val="04A0" w:firstRow="1" w:lastRow="0" w:firstColumn="1" w:lastColumn="0" w:noHBand="0" w:noVBand="1"/>
            </w:tblPr>
            <w:tblGrid>
              <w:gridCol w:w="1240"/>
              <w:gridCol w:w="1280"/>
              <w:gridCol w:w="980"/>
              <w:gridCol w:w="740"/>
              <w:gridCol w:w="1160"/>
              <w:gridCol w:w="1300"/>
              <w:gridCol w:w="1240"/>
              <w:gridCol w:w="1300"/>
            </w:tblGrid>
            <w:tr w:rsidR="00D723EE" w:rsidRPr="00D723EE" w14:paraId="3B9FE225" w14:textId="77777777" w:rsidTr="00D723EE">
              <w:trPr>
                <w:trHeight w:val="300"/>
              </w:trPr>
              <w:tc>
                <w:tcPr>
                  <w:tcW w:w="1240" w:type="dxa"/>
                  <w:tcBorders>
                    <w:top w:val="nil"/>
                    <w:left w:val="nil"/>
                    <w:bottom w:val="nil"/>
                    <w:right w:val="nil"/>
                  </w:tcBorders>
                  <w:shd w:val="clear" w:color="auto" w:fill="auto"/>
                  <w:noWrap/>
                  <w:vAlign w:val="bottom"/>
                  <w:hideMark/>
                </w:tcPr>
                <w:p w14:paraId="69B9F340"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lastRenderedPageBreak/>
                    <w:t>avgAccuracy</w:t>
                  </w:r>
                  <w:proofErr w:type="spellEnd"/>
                </w:p>
              </w:tc>
              <w:tc>
                <w:tcPr>
                  <w:tcW w:w="1280" w:type="dxa"/>
                  <w:tcBorders>
                    <w:top w:val="nil"/>
                    <w:left w:val="nil"/>
                    <w:bottom w:val="nil"/>
                    <w:right w:val="nil"/>
                  </w:tcBorders>
                  <w:shd w:val="clear" w:color="auto" w:fill="auto"/>
                  <w:noWrap/>
                  <w:vAlign w:val="bottom"/>
                  <w:hideMark/>
                </w:tcPr>
                <w:p w14:paraId="1DB5C4E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avgPrecision</w:t>
                  </w:r>
                  <w:proofErr w:type="spellEnd"/>
                </w:p>
              </w:tc>
              <w:tc>
                <w:tcPr>
                  <w:tcW w:w="980" w:type="dxa"/>
                  <w:tcBorders>
                    <w:top w:val="nil"/>
                    <w:left w:val="nil"/>
                    <w:bottom w:val="nil"/>
                    <w:right w:val="nil"/>
                  </w:tcBorders>
                  <w:shd w:val="clear" w:color="auto" w:fill="auto"/>
                  <w:noWrap/>
                  <w:vAlign w:val="bottom"/>
                  <w:hideMark/>
                </w:tcPr>
                <w:p w14:paraId="614FA5E9"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avgRecall</w:t>
                  </w:r>
                  <w:proofErr w:type="spellEnd"/>
                </w:p>
              </w:tc>
              <w:tc>
                <w:tcPr>
                  <w:tcW w:w="740" w:type="dxa"/>
                  <w:tcBorders>
                    <w:top w:val="nil"/>
                    <w:left w:val="nil"/>
                    <w:bottom w:val="nil"/>
                    <w:right w:val="nil"/>
                  </w:tcBorders>
                  <w:shd w:val="clear" w:color="auto" w:fill="auto"/>
                  <w:noWrap/>
                  <w:vAlign w:val="bottom"/>
                  <w:hideMark/>
                </w:tcPr>
                <w:p w14:paraId="479CCD3C"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avgF1</w:t>
                  </w:r>
                </w:p>
              </w:tc>
              <w:tc>
                <w:tcPr>
                  <w:tcW w:w="1160" w:type="dxa"/>
                  <w:tcBorders>
                    <w:top w:val="nil"/>
                    <w:left w:val="nil"/>
                    <w:bottom w:val="nil"/>
                    <w:right w:val="nil"/>
                  </w:tcBorders>
                  <w:shd w:val="clear" w:color="auto" w:fill="auto"/>
                  <w:noWrap/>
                  <w:vAlign w:val="bottom"/>
                  <w:hideMark/>
                </w:tcPr>
                <w:p w14:paraId="657A5EB8"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entryCount</w:t>
                  </w:r>
                  <w:proofErr w:type="spellEnd"/>
                </w:p>
              </w:tc>
              <w:tc>
                <w:tcPr>
                  <w:tcW w:w="1300" w:type="dxa"/>
                  <w:tcBorders>
                    <w:top w:val="nil"/>
                    <w:left w:val="nil"/>
                    <w:bottom w:val="nil"/>
                    <w:right w:val="nil"/>
                  </w:tcBorders>
                  <w:shd w:val="clear" w:color="auto" w:fill="auto"/>
                  <w:noWrap/>
                  <w:vAlign w:val="bottom"/>
                  <w:hideMark/>
                </w:tcPr>
                <w:p w14:paraId="2290B693"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elapsedTime</w:t>
                  </w:r>
                  <w:proofErr w:type="spellEnd"/>
                </w:p>
              </w:tc>
              <w:tc>
                <w:tcPr>
                  <w:tcW w:w="1240" w:type="dxa"/>
                  <w:tcBorders>
                    <w:top w:val="nil"/>
                    <w:left w:val="nil"/>
                    <w:bottom w:val="nil"/>
                    <w:right w:val="nil"/>
                  </w:tcBorders>
                  <w:shd w:val="clear" w:color="auto" w:fill="auto"/>
                  <w:noWrap/>
                  <w:vAlign w:val="bottom"/>
                  <w:hideMark/>
                </w:tcPr>
                <w:p w14:paraId="24B8F74D"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predictTime</w:t>
                  </w:r>
                  <w:proofErr w:type="spellEnd"/>
                </w:p>
              </w:tc>
              <w:tc>
                <w:tcPr>
                  <w:tcW w:w="1300" w:type="dxa"/>
                  <w:tcBorders>
                    <w:top w:val="nil"/>
                    <w:left w:val="nil"/>
                    <w:bottom w:val="nil"/>
                    <w:right w:val="nil"/>
                  </w:tcBorders>
                  <w:shd w:val="clear" w:color="auto" w:fill="auto"/>
                  <w:noWrap/>
                  <w:vAlign w:val="bottom"/>
                  <w:hideMark/>
                </w:tcPr>
                <w:p w14:paraId="66F40CE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randomSeed</w:t>
                  </w:r>
                  <w:proofErr w:type="spellEnd"/>
                </w:p>
              </w:tc>
            </w:tr>
            <w:tr w:rsidR="00D723EE" w:rsidRPr="00D723EE" w14:paraId="2DA805D6" w14:textId="77777777" w:rsidTr="00D723EE">
              <w:trPr>
                <w:trHeight w:val="300"/>
              </w:trPr>
              <w:tc>
                <w:tcPr>
                  <w:tcW w:w="1240" w:type="dxa"/>
                  <w:tcBorders>
                    <w:top w:val="nil"/>
                    <w:left w:val="nil"/>
                    <w:bottom w:val="nil"/>
                    <w:right w:val="nil"/>
                  </w:tcBorders>
                  <w:shd w:val="clear" w:color="auto" w:fill="auto"/>
                  <w:noWrap/>
                  <w:vAlign w:val="bottom"/>
                  <w:hideMark/>
                </w:tcPr>
                <w:p w14:paraId="7FB3725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0.833</w:t>
                  </w:r>
                </w:p>
              </w:tc>
              <w:tc>
                <w:tcPr>
                  <w:tcW w:w="1280" w:type="dxa"/>
                  <w:tcBorders>
                    <w:top w:val="nil"/>
                    <w:left w:val="nil"/>
                    <w:bottom w:val="nil"/>
                    <w:right w:val="nil"/>
                  </w:tcBorders>
                  <w:shd w:val="clear" w:color="auto" w:fill="auto"/>
                  <w:noWrap/>
                  <w:vAlign w:val="bottom"/>
                  <w:hideMark/>
                </w:tcPr>
                <w:p w14:paraId="2235753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0.8317</w:t>
                  </w:r>
                </w:p>
              </w:tc>
              <w:tc>
                <w:tcPr>
                  <w:tcW w:w="980" w:type="dxa"/>
                  <w:tcBorders>
                    <w:top w:val="nil"/>
                    <w:left w:val="nil"/>
                    <w:bottom w:val="nil"/>
                    <w:right w:val="nil"/>
                  </w:tcBorders>
                  <w:shd w:val="clear" w:color="auto" w:fill="auto"/>
                  <w:noWrap/>
                  <w:vAlign w:val="bottom"/>
                  <w:hideMark/>
                </w:tcPr>
                <w:p w14:paraId="77DE156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0.8333</w:t>
                  </w:r>
                </w:p>
              </w:tc>
              <w:tc>
                <w:tcPr>
                  <w:tcW w:w="740" w:type="dxa"/>
                  <w:tcBorders>
                    <w:top w:val="nil"/>
                    <w:left w:val="nil"/>
                    <w:bottom w:val="nil"/>
                    <w:right w:val="nil"/>
                  </w:tcBorders>
                  <w:shd w:val="clear" w:color="auto" w:fill="auto"/>
                  <w:noWrap/>
                  <w:vAlign w:val="bottom"/>
                  <w:hideMark/>
                </w:tcPr>
                <w:p w14:paraId="1DE7A4C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0.8325</w:t>
                  </w:r>
                </w:p>
              </w:tc>
              <w:tc>
                <w:tcPr>
                  <w:tcW w:w="1160" w:type="dxa"/>
                  <w:tcBorders>
                    <w:top w:val="nil"/>
                    <w:left w:val="nil"/>
                    <w:bottom w:val="nil"/>
                    <w:right w:val="nil"/>
                  </w:tcBorders>
                  <w:shd w:val="clear" w:color="auto" w:fill="auto"/>
                  <w:noWrap/>
                  <w:vAlign w:val="bottom"/>
                  <w:hideMark/>
                </w:tcPr>
                <w:p w14:paraId="5AAA0F8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4922C40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2.0313</w:t>
                  </w:r>
                </w:p>
              </w:tc>
              <w:tc>
                <w:tcPr>
                  <w:tcW w:w="1240" w:type="dxa"/>
                  <w:tcBorders>
                    <w:top w:val="nil"/>
                    <w:left w:val="nil"/>
                    <w:bottom w:val="nil"/>
                    <w:right w:val="nil"/>
                  </w:tcBorders>
                  <w:shd w:val="clear" w:color="auto" w:fill="auto"/>
                  <w:noWrap/>
                  <w:vAlign w:val="bottom"/>
                  <w:hideMark/>
                </w:tcPr>
                <w:p w14:paraId="55C7F2EC"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72BF3D8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54</w:t>
                  </w:r>
                </w:p>
              </w:tc>
            </w:tr>
            <w:tr w:rsidR="00D723EE" w:rsidRPr="00D723EE" w14:paraId="145C2E39" w14:textId="77777777" w:rsidTr="00D723EE">
              <w:trPr>
                <w:trHeight w:val="300"/>
              </w:trPr>
              <w:tc>
                <w:tcPr>
                  <w:tcW w:w="1240" w:type="dxa"/>
                  <w:tcBorders>
                    <w:top w:val="nil"/>
                    <w:left w:val="nil"/>
                    <w:bottom w:val="nil"/>
                    <w:right w:val="nil"/>
                  </w:tcBorders>
                  <w:shd w:val="clear" w:color="auto" w:fill="auto"/>
                  <w:noWrap/>
                  <w:vAlign w:val="bottom"/>
                  <w:hideMark/>
                </w:tcPr>
                <w:p w14:paraId="21F4B99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0.8542</w:t>
                  </w:r>
                </w:p>
              </w:tc>
              <w:tc>
                <w:tcPr>
                  <w:tcW w:w="1280" w:type="dxa"/>
                  <w:tcBorders>
                    <w:top w:val="nil"/>
                    <w:left w:val="nil"/>
                    <w:bottom w:val="nil"/>
                    <w:right w:val="nil"/>
                  </w:tcBorders>
                  <w:shd w:val="clear" w:color="auto" w:fill="auto"/>
                  <w:noWrap/>
                  <w:vAlign w:val="bottom"/>
                  <w:hideMark/>
                </w:tcPr>
                <w:p w14:paraId="448076F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0.8538</w:t>
                  </w:r>
                </w:p>
              </w:tc>
              <w:tc>
                <w:tcPr>
                  <w:tcW w:w="980" w:type="dxa"/>
                  <w:tcBorders>
                    <w:top w:val="nil"/>
                    <w:left w:val="nil"/>
                    <w:bottom w:val="nil"/>
                    <w:right w:val="nil"/>
                  </w:tcBorders>
                  <w:shd w:val="clear" w:color="auto" w:fill="auto"/>
                  <w:noWrap/>
                  <w:vAlign w:val="bottom"/>
                  <w:hideMark/>
                </w:tcPr>
                <w:p w14:paraId="0F61133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0.8543</w:t>
                  </w:r>
                </w:p>
              </w:tc>
              <w:tc>
                <w:tcPr>
                  <w:tcW w:w="740" w:type="dxa"/>
                  <w:tcBorders>
                    <w:top w:val="nil"/>
                    <w:left w:val="nil"/>
                    <w:bottom w:val="nil"/>
                    <w:right w:val="nil"/>
                  </w:tcBorders>
                  <w:shd w:val="clear" w:color="auto" w:fill="auto"/>
                  <w:noWrap/>
                  <w:vAlign w:val="bottom"/>
                  <w:hideMark/>
                </w:tcPr>
                <w:p w14:paraId="1A2BCA6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0.8541</w:t>
                  </w:r>
                </w:p>
              </w:tc>
              <w:tc>
                <w:tcPr>
                  <w:tcW w:w="1160" w:type="dxa"/>
                  <w:tcBorders>
                    <w:top w:val="nil"/>
                    <w:left w:val="nil"/>
                    <w:bottom w:val="nil"/>
                    <w:right w:val="nil"/>
                  </w:tcBorders>
                  <w:shd w:val="clear" w:color="auto" w:fill="auto"/>
                  <w:noWrap/>
                  <w:vAlign w:val="bottom"/>
                  <w:hideMark/>
                </w:tcPr>
                <w:p w14:paraId="1D00909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39B782B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0.9063</w:t>
                  </w:r>
                </w:p>
              </w:tc>
              <w:tc>
                <w:tcPr>
                  <w:tcW w:w="1240" w:type="dxa"/>
                  <w:tcBorders>
                    <w:top w:val="nil"/>
                    <w:left w:val="nil"/>
                    <w:bottom w:val="nil"/>
                    <w:right w:val="nil"/>
                  </w:tcBorders>
                  <w:shd w:val="clear" w:color="auto" w:fill="auto"/>
                  <w:noWrap/>
                  <w:vAlign w:val="bottom"/>
                  <w:hideMark/>
                </w:tcPr>
                <w:p w14:paraId="501D7C9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0.0859</w:t>
                  </w:r>
                </w:p>
              </w:tc>
              <w:tc>
                <w:tcPr>
                  <w:tcW w:w="1300" w:type="dxa"/>
                  <w:tcBorders>
                    <w:top w:val="nil"/>
                    <w:left w:val="nil"/>
                    <w:bottom w:val="nil"/>
                    <w:right w:val="nil"/>
                  </w:tcBorders>
                  <w:shd w:val="clear" w:color="auto" w:fill="auto"/>
                  <w:noWrap/>
                  <w:vAlign w:val="bottom"/>
                  <w:hideMark/>
                </w:tcPr>
                <w:p w14:paraId="16429BB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109</w:t>
                  </w:r>
                </w:p>
              </w:tc>
            </w:tr>
            <w:tr w:rsidR="00D723EE" w:rsidRPr="00D723EE" w14:paraId="0496DFA1" w14:textId="77777777" w:rsidTr="00D723EE">
              <w:trPr>
                <w:trHeight w:val="300"/>
              </w:trPr>
              <w:tc>
                <w:tcPr>
                  <w:tcW w:w="1240" w:type="dxa"/>
                  <w:tcBorders>
                    <w:top w:val="nil"/>
                    <w:left w:val="nil"/>
                    <w:bottom w:val="nil"/>
                    <w:right w:val="nil"/>
                  </w:tcBorders>
                  <w:shd w:val="clear" w:color="auto" w:fill="auto"/>
                  <w:noWrap/>
                  <w:vAlign w:val="bottom"/>
                  <w:hideMark/>
                </w:tcPr>
                <w:p w14:paraId="2F65EE6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0.8527</w:t>
                  </w:r>
                </w:p>
              </w:tc>
              <w:tc>
                <w:tcPr>
                  <w:tcW w:w="1280" w:type="dxa"/>
                  <w:tcBorders>
                    <w:top w:val="nil"/>
                    <w:left w:val="nil"/>
                    <w:bottom w:val="nil"/>
                    <w:right w:val="nil"/>
                  </w:tcBorders>
                  <w:shd w:val="clear" w:color="auto" w:fill="auto"/>
                  <w:noWrap/>
                  <w:vAlign w:val="bottom"/>
                  <w:hideMark/>
                </w:tcPr>
                <w:p w14:paraId="74782AB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980" w:type="dxa"/>
                  <w:tcBorders>
                    <w:top w:val="nil"/>
                    <w:left w:val="nil"/>
                    <w:bottom w:val="nil"/>
                    <w:right w:val="nil"/>
                  </w:tcBorders>
                  <w:shd w:val="clear" w:color="auto" w:fill="auto"/>
                  <w:noWrap/>
                  <w:vAlign w:val="bottom"/>
                  <w:hideMark/>
                </w:tcPr>
                <w:p w14:paraId="410B1F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740" w:type="dxa"/>
                  <w:tcBorders>
                    <w:top w:val="nil"/>
                    <w:left w:val="nil"/>
                    <w:bottom w:val="nil"/>
                    <w:right w:val="nil"/>
                  </w:tcBorders>
                  <w:shd w:val="clear" w:color="auto" w:fill="auto"/>
                  <w:noWrap/>
                  <w:vAlign w:val="bottom"/>
                  <w:hideMark/>
                </w:tcPr>
                <w:p w14:paraId="62B898E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1160" w:type="dxa"/>
                  <w:tcBorders>
                    <w:top w:val="nil"/>
                    <w:left w:val="nil"/>
                    <w:bottom w:val="nil"/>
                    <w:right w:val="nil"/>
                  </w:tcBorders>
                  <w:shd w:val="clear" w:color="auto" w:fill="auto"/>
                  <w:noWrap/>
                  <w:vAlign w:val="bottom"/>
                  <w:hideMark/>
                </w:tcPr>
                <w:p w14:paraId="5ECECAA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3E4168B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0.625</w:t>
                  </w:r>
                </w:p>
              </w:tc>
              <w:tc>
                <w:tcPr>
                  <w:tcW w:w="1240" w:type="dxa"/>
                  <w:tcBorders>
                    <w:top w:val="nil"/>
                    <w:left w:val="nil"/>
                    <w:bottom w:val="nil"/>
                    <w:right w:val="nil"/>
                  </w:tcBorders>
                  <w:shd w:val="clear" w:color="auto" w:fill="auto"/>
                  <w:noWrap/>
                  <w:vAlign w:val="bottom"/>
                  <w:hideMark/>
                </w:tcPr>
                <w:p w14:paraId="6E5B44F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w:t>
                  </w:r>
                </w:p>
              </w:tc>
              <w:tc>
                <w:tcPr>
                  <w:tcW w:w="1300" w:type="dxa"/>
                  <w:tcBorders>
                    <w:top w:val="nil"/>
                    <w:left w:val="nil"/>
                    <w:bottom w:val="nil"/>
                    <w:right w:val="nil"/>
                  </w:tcBorders>
                  <w:shd w:val="clear" w:color="auto" w:fill="auto"/>
                  <w:noWrap/>
                  <w:vAlign w:val="bottom"/>
                  <w:hideMark/>
                </w:tcPr>
                <w:p w14:paraId="3E70B32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163</w:t>
                  </w:r>
                </w:p>
              </w:tc>
            </w:tr>
            <w:tr w:rsidR="00D723EE" w:rsidRPr="00D723EE" w14:paraId="3BA177F8" w14:textId="77777777" w:rsidTr="00D723EE">
              <w:trPr>
                <w:trHeight w:val="300"/>
              </w:trPr>
              <w:tc>
                <w:tcPr>
                  <w:tcW w:w="1240" w:type="dxa"/>
                  <w:tcBorders>
                    <w:top w:val="nil"/>
                    <w:left w:val="nil"/>
                    <w:bottom w:val="nil"/>
                    <w:right w:val="nil"/>
                  </w:tcBorders>
                  <w:shd w:val="clear" w:color="auto" w:fill="auto"/>
                  <w:noWrap/>
                  <w:vAlign w:val="bottom"/>
                  <w:hideMark/>
                </w:tcPr>
                <w:p w14:paraId="2B0DD6E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0.8612</w:t>
                  </w:r>
                </w:p>
              </w:tc>
              <w:tc>
                <w:tcPr>
                  <w:tcW w:w="1280" w:type="dxa"/>
                  <w:tcBorders>
                    <w:top w:val="nil"/>
                    <w:left w:val="nil"/>
                    <w:bottom w:val="nil"/>
                    <w:right w:val="nil"/>
                  </w:tcBorders>
                  <w:shd w:val="clear" w:color="auto" w:fill="auto"/>
                  <w:noWrap/>
                  <w:vAlign w:val="bottom"/>
                  <w:hideMark/>
                </w:tcPr>
                <w:p w14:paraId="4CF9B38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0.8605</w:t>
                  </w:r>
                </w:p>
              </w:tc>
              <w:tc>
                <w:tcPr>
                  <w:tcW w:w="980" w:type="dxa"/>
                  <w:tcBorders>
                    <w:top w:val="nil"/>
                    <w:left w:val="nil"/>
                    <w:bottom w:val="nil"/>
                    <w:right w:val="nil"/>
                  </w:tcBorders>
                  <w:shd w:val="clear" w:color="auto" w:fill="auto"/>
                  <w:noWrap/>
                  <w:vAlign w:val="bottom"/>
                  <w:hideMark/>
                </w:tcPr>
                <w:p w14:paraId="226945E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0.8617</w:t>
                  </w:r>
                </w:p>
              </w:tc>
              <w:tc>
                <w:tcPr>
                  <w:tcW w:w="740" w:type="dxa"/>
                  <w:tcBorders>
                    <w:top w:val="nil"/>
                    <w:left w:val="nil"/>
                    <w:bottom w:val="nil"/>
                    <w:right w:val="nil"/>
                  </w:tcBorders>
                  <w:shd w:val="clear" w:color="auto" w:fill="auto"/>
                  <w:noWrap/>
                  <w:vAlign w:val="bottom"/>
                  <w:hideMark/>
                </w:tcPr>
                <w:p w14:paraId="3BAC163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0.8611</w:t>
                  </w:r>
                </w:p>
              </w:tc>
              <w:tc>
                <w:tcPr>
                  <w:tcW w:w="1160" w:type="dxa"/>
                  <w:tcBorders>
                    <w:top w:val="nil"/>
                    <w:left w:val="nil"/>
                    <w:bottom w:val="nil"/>
                    <w:right w:val="nil"/>
                  </w:tcBorders>
                  <w:shd w:val="clear" w:color="auto" w:fill="auto"/>
                  <w:noWrap/>
                  <w:vAlign w:val="bottom"/>
                  <w:hideMark/>
                </w:tcPr>
                <w:p w14:paraId="53DD57F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6D8518C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1.7031</w:t>
                  </w:r>
                </w:p>
              </w:tc>
              <w:tc>
                <w:tcPr>
                  <w:tcW w:w="1240" w:type="dxa"/>
                  <w:tcBorders>
                    <w:top w:val="nil"/>
                    <w:left w:val="nil"/>
                    <w:bottom w:val="nil"/>
                    <w:right w:val="nil"/>
                  </w:tcBorders>
                  <w:shd w:val="clear" w:color="auto" w:fill="auto"/>
                  <w:noWrap/>
                  <w:vAlign w:val="bottom"/>
                  <w:hideMark/>
                </w:tcPr>
                <w:p w14:paraId="2613F63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66D95BB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165</w:t>
                  </w:r>
                </w:p>
              </w:tc>
            </w:tr>
            <w:tr w:rsidR="00D723EE" w:rsidRPr="00D723EE" w14:paraId="3F8DF5D5" w14:textId="77777777" w:rsidTr="00D723EE">
              <w:trPr>
                <w:trHeight w:val="300"/>
              </w:trPr>
              <w:tc>
                <w:tcPr>
                  <w:tcW w:w="1240" w:type="dxa"/>
                  <w:tcBorders>
                    <w:top w:val="nil"/>
                    <w:left w:val="nil"/>
                    <w:bottom w:val="nil"/>
                    <w:right w:val="nil"/>
                  </w:tcBorders>
                  <w:shd w:val="clear" w:color="auto" w:fill="auto"/>
                  <w:noWrap/>
                  <w:vAlign w:val="bottom"/>
                  <w:hideMark/>
                </w:tcPr>
                <w:p w14:paraId="3C8426C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0.8596</w:t>
                  </w:r>
                </w:p>
              </w:tc>
              <w:tc>
                <w:tcPr>
                  <w:tcW w:w="1280" w:type="dxa"/>
                  <w:tcBorders>
                    <w:top w:val="nil"/>
                    <w:left w:val="nil"/>
                    <w:bottom w:val="nil"/>
                    <w:right w:val="nil"/>
                  </w:tcBorders>
                  <w:shd w:val="clear" w:color="auto" w:fill="auto"/>
                  <w:noWrap/>
                  <w:vAlign w:val="bottom"/>
                  <w:hideMark/>
                </w:tcPr>
                <w:p w14:paraId="34D1922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0.8594</w:t>
                  </w:r>
                </w:p>
              </w:tc>
              <w:tc>
                <w:tcPr>
                  <w:tcW w:w="980" w:type="dxa"/>
                  <w:tcBorders>
                    <w:top w:val="nil"/>
                    <w:left w:val="nil"/>
                    <w:bottom w:val="nil"/>
                    <w:right w:val="nil"/>
                  </w:tcBorders>
                  <w:shd w:val="clear" w:color="auto" w:fill="auto"/>
                  <w:noWrap/>
                  <w:vAlign w:val="bottom"/>
                  <w:hideMark/>
                </w:tcPr>
                <w:p w14:paraId="66E038B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w:t>
                  </w:r>
                </w:p>
              </w:tc>
              <w:tc>
                <w:tcPr>
                  <w:tcW w:w="740" w:type="dxa"/>
                  <w:tcBorders>
                    <w:top w:val="nil"/>
                    <w:left w:val="nil"/>
                    <w:bottom w:val="nil"/>
                    <w:right w:val="nil"/>
                  </w:tcBorders>
                  <w:shd w:val="clear" w:color="auto" w:fill="auto"/>
                  <w:noWrap/>
                  <w:vAlign w:val="bottom"/>
                  <w:hideMark/>
                </w:tcPr>
                <w:p w14:paraId="42ED4CF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0.8597</w:t>
                  </w:r>
                </w:p>
              </w:tc>
              <w:tc>
                <w:tcPr>
                  <w:tcW w:w="1160" w:type="dxa"/>
                  <w:tcBorders>
                    <w:top w:val="nil"/>
                    <w:left w:val="nil"/>
                    <w:bottom w:val="nil"/>
                    <w:right w:val="nil"/>
                  </w:tcBorders>
                  <w:shd w:val="clear" w:color="auto" w:fill="auto"/>
                  <w:noWrap/>
                  <w:vAlign w:val="bottom"/>
                  <w:hideMark/>
                </w:tcPr>
                <w:p w14:paraId="24AEF40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66D3946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0.9844</w:t>
                  </w:r>
                </w:p>
              </w:tc>
              <w:tc>
                <w:tcPr>
                  <w:tcW w:w="1240" w:type="dxa"/>
                  <w:tcBorders>
                    <w:top w:val="nil"/>
                    <w:left w:val="nil"/>
                    <w:bottom w:val="nil"/>
                    <w:right w:val="nil"/>
                  </w:tcBorders>
                  <w:shd w:val="clear" w:color="auto" w:fill="auto"/>
                  <w:noWrap/>
                  <w:vAlign w:val="bottom"/>
                  <w:hideMark/>
                </w:tcPr>
                <w:p w14:paraId="5DF0ABD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w:t>
                  </w:r>
                </w:p>
              </w:tc>
              <w:tc>
                <w:tcPr>
                  <w:tcW w:w="1300" w:type="dxa"/>
                  <w:tcBorders>
                    <w:top w:val="nil"/>
                    <w:left w:val="nil"/>
                    <w:bottom w:val="nil"/>
                    <w:right w:val="nil"/>
                  </w:tcBorders>
                  <w:shd w:val="clear" w:color="auto" w:fill="auto"/>
                  <w:noWrap/>
                  <w:vAlign w:val="bottom"/>
                  <w:hideMark/>
                </w:tcPr>
                <w:p w14:paraId="74FD96C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191</w:t>
                  </w:r>
                </w:p>
              </w:tc>
            </w:tr>
            <w:tr w:rsidR="00D723EE" w:rsidRPr="00D723EE" w14:paraId="6D94793C" w14:textId="77777777" w:rsidTr="00D723EE">
              <w:trPr>
                <w:trHeight w:val="300"/>
              </w:trPr>
              <w:tc>
                <w:tcPr>
                  <w:tcW w:w="1240" w:type="dxa"/>
                  <w:tcBorders>
                    <w:top w:val="nil"/>
                    <w:left w:val="nil"/>
                    <w:bottom w:val="nil"/>
                    <w:right w:val="nil"/>
                  </w:tcBorders>
                  <w:shd w:val="clear" w:color="auto" w:fill="auto"/>
                  <w:noWrap/>
                  <w:vAlign w:val="bottom"/>
                  <w:hideMark/>
                </w:tcPr>
                <w:p w14:paraId="441CC65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0.8476</w:t>
                  </w:r>
                </w:p>
              </w:tc>
              <w:tc>
                <w:tcPr>
                  <w:tcW w:w="1280" w:type="dxa"/>
                  <w:tcBorders>
                    <w:top w:val="nil"/>
                    <w:left w:val="nil"/>
                    <w:bottom w:val="nil"/>
                    <w:right w:val="nil"/>
                  </w:tcBorders>
                  <w:shd w:val="clear" w:color="auto" w:fill="auto"/>
                  <w:noWrap/>
                  <w:vAlign w:val="bottom"/>
                  <w:hideMark/>
                </w:tcPr>
                <w:p w14:paraId="1EF2E3C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0.8476</w:t>
                  </w:r>
                </w:p>
              </w:tc>
              <w:tc>
                <w:tcPr>
                  <w:tcW w:w="980" w:type="dxa"/>
                  <w:tcBorders>
                    <w:top w:val="nil"/>
                    <w:left w:val="nil"/>
                    <w:bottom w:val="nil"/>
                    <w:right w:val="nil"/>
                  </w:tcBorders>
                  <w:shd w:val="clear" w:color="auto" w:fill="auto"/>
                  <w:noWrap/>
                  <w:vAlign w:val="bottom"/>
                  <w:hideMark/>
                </w:tcPr>
                <w:p w14:paraId="67185A9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0.8487</w:t>
                  </w:r>
                </w:p>
              </w:tc>
              <w:tc>
                <w:tcPr>
                  <w:tcW w:w="740" w:type="dxa"/>
                  <w:tcBorders>
                    <w:top w:val="nil"/>
                    <w:left w:val="nil"/>
                    <w:bottom w:val="nil"/>
                    <w:right w:val="nil"/>
                  </w:tcBorders>
                  <w:shd w:val="clear" w:color="auto" w:fill="auto"/>
                  <w:noWrap/>
                  <w:vAlign w:val="bottom"/>
                  <w:hideMark/>
                </w:tcPr>
                <w:p w14:paraId="2C597B1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0.8481</w:t>
                  </w:r>
                </w:p>
              </w:tc>
              <w:tc>
                <w:tcPr>
                  <w:tcW w:w="1160" w:type="dxa"/>
                  <w:tcBorders>
                    <w:top w:val="nil"/>
                    <w:left w:val="nil"/>
                    <w:bottom w:val="nil"/>
                    <w:right w:val="nil"/>
                  </w:tcBorders>
                  <w:shd w:val="clear" w:color="auto" w:fill="auto"/>
                  <w:noWrap/>
                  <w:vAlign w:val="bottom"/>
                  <w:hideMark/>
                </w:tcPr>
                <w:p w14:paraId="7FD4592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106D1CA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1.5781</w:t>
                  </w:r>
                </w:p>
              </w:tc>
              <w:tc>
                <w:tcPr>
                  <w:tcW w:w="1240" w:type="dxa"/>
                  <w:tcBorders>
                    <w:top w:val="nil"/>
                    <w:left w:val="nil"/>
                    <w:bottom w:val="nil"/>
                    <w:right w:val="nil"/>
                  </w:tcBorders>
                  <w:shd w:val="clear" w:color="auto" w:fill="auto"/>
                  <w:noWrap/>
                  <w:vAlign w:val="bottom"/>
                  <w:hideMark/>
                </w:tcPr>
                <w:p w14:paraId="44F1640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7B9711D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198</w:t>
                  </w:r>
                </w:p>
              </w:tc>
            </w:tr>
          </w:tbl>
          <w:p w14:paraId="42859A01" w14:textId="77777777" w:rsidR="00D723EE" w:rsidRDefault="00D723EE" w:rsidP="00B650D8">
            <w:pPr>
              <w:rPr>
                <w:lang w:val="en-US"/>
              </w:rPr>
            </w:pPr>
          </w:p>
        </w:tc>
      </w:tr>
    </w:tbl>
    <w:p w14:paraId="2854E503" w14:textId="63759ACC" w:rsidR="004216C8" w:rsidRDefault="00D723EE" w:rsidP="008B528B">
      <w:pPr>
        <w:rPr>
          <w:lang w:val="en-US"/>
        </w:rPr>
      </w:pPr>
      <w:r w:rsidRPr="00D723EE">
        <w:rPr>
          <w:lang w:val="en-US"/>
        </w:rPr>
        <w:t xml:space="preserve">Training the tree using the hyperparameters with: </w:t>
      </w:r>
      <w:proofErr w:type="spellStart"/>
      <w:r w:rsidRPr="00D723EE">
        <w:rPr>
          <w:lang w:val="en-US"/>
        </w:rPr>
        <w:t>minLeafSize</w:t>
      </w:r>
      <w:proofErr w:type="spellEnd"/>
      <w:r w:rsidRPr="00D723EE">
        <w:rPr>
          <w:lang w:val="en-US"/>
        </w:rPr>
        <w:t xml:space="preserve"> = 1, </w:t>
      </w:r>
      <w:proofErr w:type="spellStart"/>
      <w:r w:rsidRPr="00D723EE">
        <w:rPr>
          <w:lang w:val="en-US"/>
        </w:rPr>
        <w:t>maxParentSize</w:t>
      </w:r>
      <w:proofErr w:type="spellEnd"/>
      <w:r w:rsidRPr="00D723EE">
        <w:rPr>
          <w:lang w:val="en-US"/>
        </w:rPr>
        <w:t xml:space="preserve"> = 6, </w:t>
      </w:r>
      <w:proofErr w:type="spellStart"/>
      <w:r w:rsidRPr="00D723EE">
        <w:rPr>
          <w:lang w:val="en-US"/>
        </w:rPr>
        <w:t>maxNumSplit</w:t>
      </w:r>
      <w:proofErr w:type="spellEnd"/>
      <w:r w:rsidRPr="00D723EE">
        <w:rPr>
          <w:lang w:val="en-US"/>
        </w:rPr>
        <w:t xml:space="preserve"> = 8000, random seed = 192, deviance split criterion; </w:t>
      </w:r>
      <w:r w:rsidR="00771E0C">
        <w:rPr>
          <w:lang w:val="en-US"/>
        </w:rPr>
        <w:t>are selected for the final model.</w:t>
      </w:r>
    </w:p>
    <w:p w14:paraId="40DD4B87" w14:textId="77777777" w:rsidR="007441E3" w:rsidRDefault="007441E3" w:rsidP="007441E3">
      <w:pPr>
        <w:pStyle w:val="Heading3"/>
        <w:rPr>
          <w:lang w:val="en-US"/>
        </w:rPr>
      </w:pPr>
      <w:r>
        <w:rPr>
          <w:lang w:val="en-US"/>
        </w:rPr>
        <w:t>Confusion Matrix</w:t>
      </w:r>
    </w:p>
    <w:tbl>
      <w:tblPr>
        <w:tblStyle w:val="TableGrid"/>
        <w:tblW w:w="0" w:type="auto"/>
        <w:tblLook w:val="04A0" w:firstRow="1" w:lastRow="0" w:firstColumn="1" w:lastColumn="0" w:noHBand="0" w:noVBand="1"/>
      </w:tblPr>
      <w:tblGrid>
        <w:gridCol w:w="6456"/>
        <w:gridCol w:w="4000"/>
      </w:tblGrid>
      <w:tr w:rsidR="00E21D95" w14:paraId="2FEC9070" w14:textId="77777777" w:rsidTr="00082AAB">
        <w:tc>
          <w:tcPr>
            <w:tcW w:w="6456" w:type="dxa"/>
          </w:tcPr>
          <w:p w14:paraId="3C9796C6" w14:textId="27C7881F" w:rsidR="00E21D95" w:rsidRDefault="00E21D95" w:rsidP="007441E3">
            <w:r>
              <w:rPr>
                <w:noProof/>
              </w:rPr>
              <w:drawing>
                <wp:inline distT="0" distB="0" distL="0" distR="0" wp14:anchorId="2CBDC649" wp14:editId="076C9AC4">
                  <wp:extent cx="3962400" cy="2905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831" cy="2928778"/>
                          </a:xfrm>
                          <a:prstGeom prst="rect">
                            <a:avLst/>
                          </a:prstGeom>
                          <a:noFill/>
                          <a:ln>
                            <a:noFill/>
                          </a:ln>
                        </pic:spPr>
                      </pic:pic>
                    </a:graphicData>
                  </a:graphic>
                </wp:inline>
              </w:drawing>
            </w:r>
          </w:p>
        </w:tc>
        <w:tc>
          <w:tcPr>
            <w:tcW w:w="4000" w:type="dxa"/>
          </w:tcPr>
          <w:p w14:paraId="1E80027F" w14:textId="28D18F11" w:rsidR="00E21D95" w:rsidRDefault="00E21D95" w:rsidP="007441E3">
            <w:r w:rsidRPr="00112BB4">
              <w:t>A confusion matrix is calculated on th</w:t>
            </w:r>
            <w:r>
              <w:t>e final models. This is used to establish how the correct and incorrect classifications are distributed among the classes. Which classes tend to be most confused (I and J for example), which are the least confused (X, X and M for example), and also to establish whether any one class is poorly predicted.</w:t>
            </w:r>
          </w:p>
        </w:tc>
      </w:tr>
    </w:tbl>
    <w:p w14:paraId="50F76D6E" w14:textId="0EB5EB21" w:rsidR="007441E3" w:rsidRDefault="007441E3" w:rsidP="007441E3">
      <w:pPr>
        <w:keepNext/>
      </w:pPr>
    </w:p>
    <w:p w14:paraId="399817B4" w14:textId="3E7B44D6" w:rsidR="00624F13" w:rsidRDefault="00624F13" w:rsidP="00624F13">
      <w:pPr>
        <w:pStyle w:val="Heading2"/>
        <w:rPr>
          <w:lang w:val="en-US"/>
        </w:rPr>
      </w:pPr>
      <w:r>
        <w:rPr>
          <w:lang w:val="en-US"/>
        </w:rPr>
        <w:t>Conclusion</w:t>
      </w:r>
    </w:p>
    <w:p w14:paraId="1A0C8EA6" w14:textId="342699F6" w:rsidR="00624F13" w:rsidRPr="00624F13" w:rsidRDefault="00624F13" w:rsidP="00624F13">
      <w:pPr>
        <w:rPr>
          <w:lang w:val="en-US"/>
        </w:rPr>
      </w:pPr>
      <w:r>
        <w:rPr>
          <w:lang w:val="en-US"/>
        </w:rPr>
        <w:t xml:space="preserve">Random forest is the best in terms of performance with 0.96 accuracy, decision trees came in second with 0.88 accuracy, and </w:t>
      </w:r>
      <w:r w:rsidRPr="008B528B">
        <w:rPr>
          <w:lang w:val="en-US"/>
        </w:rPr>
        <w:t>Naïve</w:t>
      </w:r>
      <w:r>
        <w:rPr>
          <w:lang w:val="en-US"/>
        </w:rPr>
        <w:t xml:space="preserve"> Bayes came in last with 0.75 accuracy. Different datasets can lead to different outcomes, but in general the random forest method performs better than </w:t>
      </w:r>
      <w:r w:rsidRPr="008B528B">
        <w:rPr>
          <w:lang w:val="en-US"/>
        </w:rPr>
        <w:t>Naïve</w:t>
      </w:r>
      <w:r>
        <w:rPr>
          <w:lang w:val="en-US"/>
        </w:rPr>
        <w:t xml:space="preserve"> Bayes and decision trees. This result is in line with the conclusion based on the comparison </w:t>
      </w:r>
      <w:r w:rsidR="005974D3">
        <w:rPr>
          <w:lang w:val="en-US"/>
        </w:rPr>
        <w:t xml:space="preserve">of 10 machine learning </w:t>
      </w:r>
      <w:r>
        <w:rPr>
          <w:lang w:val="en-US"/>
        </w:rPr>
        <w:t xml:space="preserve">methods </w:t>
      </w:r>
      <w:r w:rsidR="005974D3">
        <w:rPr>
          <w:lang w:val="en-US"/>
        </w:rPr>
        <w:t xml:space="preserve">on 11 different datasets </w:t>
      </w:r>
      <w:r w:rsidR="005974D3">
        <w:rPr>
          <w:lang w:val="en-US"/>
        </w:rPr>
        <w:fldChar w:fldCharType="begin"/>
      </w:r>
      <w:r w:rsidR="005974D3">
        <w:rPr>
          <w:lang w:val="en-US"/>
        </w:rPr>
        <w:instrText xml:space="preserve"> ADDIN ZOTERO_ITEM CSL_CITATION {"citationID":"A0UMNvHg","properties":{"formattedCitation":"[7]","plainCitation":"[7]","noteIndex":0},"citationItems":[{"id":41,"uris":["http://zotero.org/users/6937485/items/GTBRTVVG"],"uri":["http://zotero.org/users/6937485/items/GTBRTVVG"],"itemData":{"id":41,"type":"paper-conference","abstract":"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eﬀect that calibrating the models via Platt Scaling and Isotonic Regression has on their performance. An important aspect of our study is the use of a variety of performance criteria to evaluate the learning methods.","container-title":"Proceedings of the 23rd international conference on Machine learning  - ICML '06","DOI":"10.1145/1143844.1143865","event":"the 23rd international conference","event-place":"Pittsburgh, Pennsylvania","ISBN":"978-1-59593-383-6","language":"en","page":"161-168","publisher":"ACM Press","publisher-place":"Pittsburgh, Pennsylvania","source":"DOI.org (Crossref)","title":"An empirical comparison of supervised learning algorithms","URL":"http://portal.acm.org/citation.cfm?doid=1143844.1143865","author":[{"family":"Caruana","given":"Rich"},{"family":"Niculescu-Mizil","given":"Alexandru"}],"accessed":{"date-parts":[["2020",12,11]]},"issued":{"date-parts":[["2006"]]}}}],"schema":"https://github.com/citation-style-language/schema/raw/master/csl-citation.json"} </w:instrText>
      </w:r>
      <w:r w:rsidR="005974D3">
        <w:rPr>
          <w:lang w:val="en-US"/>
        </w:rPr>
        <w:fldChar w:fldCharType="separate"/>
      </w:r>
      <w:r w:rsidR="005974D3" w:rsidRPr="005974D3">
        <w:rPr>
          <w:rFonts w:ascii="Calibri" w:hAnsi="Calibri" w:cs="Calibri"/>
        </w:rPr>
        <w:t>[7]</w:t>
      </w:r>
      <w:r w:rsidR="005974D3">
        <w:rPr>
          <w:lang w:val="en-US"/>
        </w:rPr>
        <w:fldChar w:fldCharType="end"/>
      </w:r>
      <w:r w:rsidR="005974D3">
        <w:rPr>
          <w:lang w:val="en-US"/>
        </w:rPr>
        <w:t>.</w:t>
      </w:r>
    </w:p>
    <w:p w14:paraId="56648BCF" w14:textId="1C0CFECF" w:rsidR="009C1D29" w:rsidRDefault="009C1D29" w:rsidP="009C1D29">
      <w:pPr>
        <w:pStyle w:val="Heading2"/>
        <w:rPr>
          <w:lang w:val="en-US"/>
        </w:rPr>
      </w:pPr>
      <w:r>
        <w:rPr>
          <w:lang w:val="en-US"/>
        </w:rPr>
        <w:t>Glossary</w:t>
      </w:r>
    </w:p>
    <w:p w14:paraId="11AD9703" w14:textId="539BB769" w:rsidR="00233962" w:rsidRDefault="00233962" w:rsidP="00233962">
      <w:pPr>
        <w:rPr>
          <w:lang w:val="en-US"/>
        </w:rPr>
      </w:pPr>
      <w:r>
        <w:rPr>
          <w:b/>
          <w:bCs/>
          <w:lang w:val="en-US"/>
        </w:rPr>
        <w:t xml:space="preserve">Attribute, Example, Feature </w:t>
      </w:r>
      <w:r>
        <w:rPr>
          <w:lang w:val="en-US"/>
        </w:rPr>
        <w:t>an example is one sample of data that is composed of the different attributes or predictors which are used to make the prediction.</w:t>
      </w:r>
    </w:p>
    <w:p w14:paraId="17D823DE" w14:textId="0D334998" w:rsidR="00B650D8" w:rsidRDefault="00B650D8" w:rsidP="00233962">
      <w:pPr>
        <w:rPr>
          <w:lang w:val="en-US"/>
        </w:rPr>
      </w:pPr>
      <w:r>
        <w:rPr>
          <w:b/>
          <w:bCs/>
          <w:lang w:val="en-US"/>
        </w:rPr>
        <w:t xml:space="preserve">Black Box Model </w:t>
      </w:r>
      <w:r>
        <w:rPr>
          <w:lang w:val="en-US"/>
        </w:rPr>
        <w:t xml:space="preserve">a black box model is not explainable, because the model is too complex to analyze </w:t>
      </w:r>
      <w:r>
        <w:rPr>
          <w:lang w:val="en-US"/>
        </w:rPr>
        <w:fldChar w:fldCharType="begin"/>
      </w:r>
      <w:r w:rsidR="00082AAB">
        <w:rPr>
          <w:lang w:val="en-US"/>
        </w:rPr>
        <w:instrText xml:space="preserve"> ADDIN ZOTERO_ITEM CSL_CITATION {"citationID":"2Kxk4RLX","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Pr>
          <w:lang w:val="en-US"/>
        </w:rPr>
        <w:fldChar w:fldCharType="separate"/>
      </w:r>
      <w:r w:rsidR="00082AAB" w:rsidRPr="00082AAB">
        <w:rPr>
          <w:rFonts w:ascii="Calibri" w:hAnsi="Calibri" w:cs="Calibri"/>
        </w:rPr>
        <w:t>[1]</w:t>
      </w:r>
      <w:r>
        <w:rPr>
          <w:lang w:val="en-US"/>
        </w:rPr>
        <w:fldChar w:fldCharType="end"/>
      </w:r>
      <w:r>
        <w:rPr>
          <w:lang w:val="en-US"/>
        </w:rPr>
        <w:t>.</w:t>
      </w:r>
    </w:p>
    <w:p w14:paraId="4E634928" w14:textId="30329975" w:rsidR="0052332A" w:rsidRDefault="0052332A" w:rsidP="00233962">
      <w:pPr>
        <w:rPr>
          <w:lang w:val="en-US"/>
        </w:rPr>
      </w:pPr>
      <w:proofErr w:type="spellStart"/>
      <w:r>
        <w:rPr>
          <w:b/>
          <w:bCs/>
          <w:lang w:val="en-US"/>
        </w:rPr>
        <w:t>Boostrapping</w:t>
      </w:r>
      <w:proofErr w:type="spellEnd"/>
      <w:r>
        <w:rPr>
          <w:b/>
          <w:bCs/>
          <w:lang w:val="en-US"/>
        </w:rPr>
        <w:t>, Bagging</w:t>
      </w:r>
      <w:r w:rsidR="00D12E36">
        <w:rPr>
          <w:b/>
          <w:bCs/>
          <w:lang w:val="en-US"/>
        </w:rPr>
        <w:t xml:space="preserve"> </w:t>
      </w:r>
      <w:r w:rsidR="00CA5312">
        <w:rPr>
          <w:b/>
          <w:bCs/>
          <w:lang w:val="en-US"/>
        </w:rPr>
        <w:t xml:space="preserve">, Fold </w:t>
      </w:r>
      <w:r w:rsidR="00D12E36" w:rsidRPr="00D12E36">
        <w:rPr>
          <w:lang w:val="en-US"/>
        </w:rPr>
        <w:t xml:space="preserve">during training, </w:t>
      </w:r>
      <w:r w:rsidR="00D12E36">
        <w:rPr>
          <w:lang w:val="en-US"/>
        </w:rPr>
        <w:t>a proportion of examples are randomly taken for training, and another set of examples are randomly taken for testing. This is repeated, using the same original set of data: the examples are said to be replaced</w:t>
      </w:r>
      <w:r w:rsidR="00CA5312">
        <w:rPr>
          <w:lang w:val="en-US"/>
        </w:rPr>
        <w:t>, not removed for each subsequent iteration or fold.</w:t>
      </w:r>
    </w:p>
    <w:p w14:paraId="20455187" w14:textId="5432EC0B" w:rsidR="00CA5312" w:rsidRDefault="00CA5312" w:rsidP="00CA5312">
      <w:pPr>
        <w:rPr>
          <w:lang w:val="en-US"/>
        </w:rPr>
      </w:pPr>
      <w:r>
        <w:rPr>
          <w:b/>
          <w:bCs/>
          <w:lang w:val="en-US"/>
        </w:rPr>
        <w:t xml:space="preserve">Cross validation </w:t>
      </w:r>
      <w:r w:rsidRPr="00D12E36">
        <w:rPr>
          <w:lang w:val="en-US"/>
        </w:rPr>
        <w:t xml:space="preserve">during training, </w:t>
      </w:r>
      <w:r>
        <w:rPr>
          <w:lang w:val="en-US"/>
        </w:rPr>
        <w:t>a proportion of examples are randomly taken and removed for training, and another set of examples are randomly taken and removed for testing. This is repeated, the examples are said to be removed, not replaced for each subsequent iteration or fold.</w:t>
      </w:r>
    </w:p>
    <w:p w14:paraId="6F616323" w14:textId="02DF37D4" w:rsidR="005053D3" w:rsidRDefault="005053D3" w:rsidP="00233962">
      <w:pPr>
        <w:rPr>
          <w:lang w:val="en-US"/>
        </w:rPr>
      </w:pPr>
      <w:r>
        <w:rPr>
          <w:b/>
          <w:bCs/>
          <w:lang w:val="en-US"/>
        </w:rPr>
        <w:t xml:space="preserve">Dataset </w:t>
      </w:r>
      <w:r>
        <w:rPr>
          <w:lang w:val="en-US"/>
        </w:rPr>
        <w:t xml:space="preserve">a dataset is a group of examples that are used to train, test a model. </w:t>
      </w:r>
    </w:p>
    <w:p w14:paraId="486D5F56" w14:textId="30E78163" w:rsidR="007014DD" w:rsidRPr="007014DD" w:rsidRDefault="007014DD" w:rsidP="00233962">
      <w:r w:rsidRPr="007014DD">
        <w:rPr>
          <w:b/>
          <w:bCs/>
        </w:rPr>
        <w:t>Ensemble Method</w:t>
      </w:r>
      <w:r w:rsidRPr="007014DD">
        <w:t xml:space="preserve"> train several models and</w:t>
      </w:r>
      <w:r>
        <w:t xml:space="preserve"> decide on the class using the majority vote (for classification) or average prediction (for regression) of the models.</w:t>
      </w:r>
    </w:p>
    <w:p w14:paraId="119BEDF4" w14:textId="0C0646E9" w:rsidR="00233962" w:rsidRPr="00233962" w:rsidRDefault="00233962" w:rsidP="00233962">
      <w:pPr>
        <w:rPr>
          <w:b/>
          <w:bCs/>
          <w:lang w:val="en-US"/>
        </w:rPr>
      </w:pPr>
      <w:r>
        <w:rPr>
          <w:b/>
          <w:bCs/>
          <w:lang w:val="en-US"/>
        </w:rPr>
        <w:lastRenderedPageBreak/>
        <w:t xml:space="preserve">Explainable </w:t>
      </w:r>
      <w:r w:rsidRPr="00233962">
        <w:rPr>
          <w:lang w:val="en-US"/>
        </w:rPr>
        <w:t>a machine learning is said to be explainable if it is possible</w:t>
      </w:r>
      <w:r>
        <w:rPr>
          <w:lang w:val="en-US"/>
        </w:rPr>
        <w:t xml:space="preserve"> to break down how the model arrived at a prediction for a given example</w:t>
      </w:r>
      <w:r w:rsidR="00B650D8">
        <w:rPr>
          <w:lang w:val="en-US"/>
        </w:rPr>
        <w:t xml:space="preserve"> </w:t>
      </w:r>
      <w:r w:rsidR="00B650D8">
        <w:rPr>
          <w:lang w:val="en-US"/>
        </w:rPr>
        <w:fldChar w:fldCharType="begin"/>
      </w:r>
      <w:r w:rsidR="00082AAB">
        <w:rPr>
          <w:lang w:val="en-US"/>
        </w:rPr>
        <w:instrText xml:space="preserve"> ADDIN ZOTERO_ITEM CSL_CITATION {"citationID":"cd6ZGRw3","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B650D8">
        <w:rPr>
          <w:lang w:val="en-US"/>
        </w:rPr>
        <w:fldChar w:fldCharType="separate"/>
      </w:r>
      <w:r w:rsidR="00082AAB" w:rsidRPr="00082AAB">
        <w:rPr>
          <w:rFonts w:ascii="Calibri" w:hAnsi="Calibri" w:cs="Calibri"/>
        </w:rPr>
        <w:t>[1]</w:t>
      </w:r>
      <w:r w:rsidR="00B650D8">
        <w:rPr>
          <w:lang w:val="en-US"/>
        </w:rPr>
        <w:fldChar w:fldCharType="end"/>
      </w:r>
      <w:r>
        <w:rPr>
          <w:lang w:val="en-US"/>
        </w:rPr>
        <w:t>.</w:t>
      </w:r>
    </w:p>
    <w:p w14:paraId="4285608D" w14:textId="656349F5" w:rsidR="00233962" w:rsidRDefault="00233962" w:rsidP="00233962">
      <w:pPr>
        <w:rPr>
          <w:lang w:val="en-US"/>
        </w:rPr>
      </w:pPr>
      <w:r>
        <w:rPr>
          <w:b/>
          <w:bCs/>
          <w:lang w:val="en-US"/>
        </w:rPr>
        <w:t xml:space="preserve">Generalization </w:t>
      </w:r>
      <w:r w:rsidRPr="00233962">
        <w:rPr>
          <w:lang w:val="en-US"/>
        </w:rPr>
        <w:t>the goal of training a model is that it is</w:t>
      </w:r>
      <w:r>
        <w:rPr>
          <w:lang w:val="en-US"/>
        </w:rPr>
        <w:t xml:space="preserve"> capable of performing well on data that is new. When a model is good at predicting unseen data, it manages to generalize what has been learnt from the training examples in order to correctly predict previously unseen examples.</w:t>
      </w:r>
    </w:p>
    <w:p w14:paraId="2D191B2A" w14:textId="59D8B5BA" w:rsidR="00771E0C" w:rsidRPr="00771E0C" w:rsidRDefault="00771E0C" w:rsidP="00233962">
      <w:pPr>
        <w:rPr>
          <w:lang w:val="en-US"/>
        </w:rPr>
      </w:pPr>
      <w:r>
        <w:rPr>
          <w:b/>
          <w:bCs/>
          <w:lang w:val="en-US"/>
        </w:rPr>
        <w:t>Grid Search</w:t>
      </w:r>
      <w:r>
        <w:rPr>
          <w:lang w:val="en-US"/>
        </w:rPr>
        <w:t xml:space="preserve"> method used to search through a grid of results and hyperparameter values in order to </w:t>
      </w:r>
      <w:r w:rsidR="00EE2D42">
        <w:rPr>
          <w:lang w:val="en-US"/>
        </w:rPr>
        <w:t>select the row that has the best performance, and extract the hyperparameter values to use to achieve the best result.</w:t>
      </w:r>
    </w:p>
    <w:p w14:paraId="5569BA4F" w14:textId="0BFA6AB0" w:rsidR="004216C8" w:rsidRDefault="004216C8" w:rsidP="00233962">
      <w:pPr>
        <w:rPr>
          <w:lang w:val="en-US"/>
        </w:rPr>
      </w:pPr>
      <w:r>
        <w:rPr>
          <w:b/>
          <w:bCs/>
          <w:lang w:val="en-US"/>
        </w:rPr>
        <w:t>Hyperparameter</w:t>
      </w:r>
      <w:r>
        <w:rPr>
          <w:lang w:val="en-US"/>
        </w:rPr>
        <w:t xml:space="preserve"> a parameter value that has to be supplied to the training, for example the number of folds.</w:t>
      </w:r>
    </w:p>
    <w:p w14:paraId="20DBA2D4" w14:textId="4E38E591" w:rsidR="004216C8" w:rsidRPr="004216C8" w:rsidRDefault="004216C8" w:rsidP="00233962">
      <w:pPr>
        <w:rPr>
          <w:lang w:val="en-US"/>
        </w:rPr>
      </w:pPr>
      <w:r>
        <w:rPr>
          <w:b/>
          <w:bCs/>
          <w:lang w:val="en-US"/>
        </w:rPr>
        <w:t>Information Gain</w:t>
      </w:r>
      <w:r>
        <w:rPr>
          <w:lang w:val="en-US"/>
        </w:rPr>
        <w:t xml:space="preserve"> is a consideration that is used when selecting which features to leave out: </w:t>
      </w:r>
      <w:r w:rsidR="007168A3">
        <w:rPr>
          <w:lang w:val="en-US"/>
        </w:rPr>
        <w:t xml:space="preserve">if leaving them out does not affect the accuracy, then there is no information gained from keeping the feature </w:t>
      </w:r>
      <w:r w:rsidR="007168A3">
        <w:rPr>
          <w:lang w:val="en-US"/>
        </w:rPr>
        <w:fldChar w:fldCharType="begin"/>
      </w:r>
      <w:r w:rsidR="005974D3">
        <w:rPr>
          <w:lang w:val="en-US"/>
        </w:rPr>
        <w:instrText xml:space="preserve"> ADDIN ZOTERO_ITEM CSL_CITATION {"citationID":"9gpHQsCT","properties":{"formattedCitation":"[8]","plainCitation":"[8]","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rsidR="007168A3">
        <w:rPr>
          <w:lang w:val="en-US"/>
        </w:rPr>
        <w:fldChar w:fldCharType="separate"/>
      </w:r>
      <w:r w:rsidR="005974D3" w:rsidRPr="005974D3">
        <w:rPr>
          <w:rFonts w:ascii="Calibri" w:hAnsi="Calibri" w:cs="Calibri"/>
        </w:rPr>
        <w:t>[8]</w:t>
      </w:r>
      <w:r w:rsidR="007168A3">
        <w:rPr>
          <w:lang w:val="en-US"/>
        </w:rPr>
        <w:fldChar w:fldCharType="end"/>
      </w:r>
    </w:p>
    <w:p w14:paraId="0C976868" w14:textId="77A2CF9D" w:rsidR="00B650D8" w:rsidRPr="00B650D8" w:rsidRDefault="00B650D8" w:rsidP="00233962">
      <w:pPr>
        <w:rPr>
          <w:lang w:val="en-US"/>
        </w:rPr>
      </w:pPr>
      <w:r>
        <w:rPr>
          <w:b/>
          <w:bCs/>
          <w:lang w:val="en-US"/>
        </w:rPr>
        <w:t>Iterative approach</w:t>
      </w:r>
      <w:r>
        <w:rPr>
          <w:lang w:val="en-US"/>
        </w:rPr>
        <w:t xml:space="preserve"> as a project progresses, some of the artifacts of previous work is updated to be useful in the current work.</w:t>
      </w:r>
    </w:p>
    <w:p w14:paraId="257EE031" w14:textId="69417EA7" w:rsidR="009C1D29" w:rsidRDefault="009C1D29" w:rsidP="009C1D29">
      <w:pPr>
        <w:rPr>
          <w:lang w:val="en-US"/>
        </w:rPr>
      </w:pPr>
      <w:r>
        <w:rPr>
          <w:b/>
          <w:bCs/>
          <w:lang w:val="en-US"/>
        </w:rPr>
        <w:t xml:space="preserve">Overfit </w:t>
      </w:r>
      <w:r>
        <w:rPr>
          <w:lang w:val="en-US"/>
        </w:rPr>
        <w:t xml:space="preserve">when training a model </w:t>
      </w:r>
      <w:r w:rsidR="00233962">
        <w:rPr>
          <w:lang w:val="en-US"/>
        </w:rPr>
        <w:t>the training loss and test loss can start to diverge: the model has become too specific to the training data, and is no longer capable of generalizing.</w:t>
      </w:r>
    </w:p>
    <w:p w14:paraId="10A4B7BE" w14:textId="2115492A" w:rsidR="004F2603" w:rsidRPr="004F2603" w:rsidRDefault="004F2603" w:rsidP="009C1D29">
      <w:pPr>
        <w:rPr>
          <w:lang w:val="en-US"/>
        </w:rPr>
      </w:pPr>
      <w:r>
        <w:rPr>
          <w:b/>
          <w:bCs/>
          <w:lang w:val="en-US"/>
        </w:rPr>
        <w:t>Stopping criteria</w:t>
      </w:r>
      <w:r>
        <w:rPr>
          <w:lang w:val="en-US"/>
        </w:rPr>
        <w:t xml:space="preserve"> when to stop training with different hyperparameter values. Stopping can be chosen when overfitting occurs, or based on how long training takes, or other criteria that seem relevant.</w:t>
      </w:r>
    </w:p>
    <w:p w14:paraId="04972039" w14:textId="78AA9B32" w:rsidR="005053D3" w:rsidRPr="005053D3" w:rsidRDefault="005053D3" w:rsidP="009C1D29">
      <w:pPr>
        <w:rPr>
          <w:lang w:val="en-US"/>
        </w:rPr>
      </w:pPr>
      <w:r>
        <w:rPr>
          <w:b/>
          <w:bCs/>
          <w:lang w:val="en-US"/>
        </w:rPr>
        <w:t>Test Set, validation set</w:t>
      </w:r>
      <w:r>
        <w:rPr>
          <w:lang w:val="en-US"/>
        </w:rPr>
        <w:t xml:space="preserve"> refers to a set of examples that are used </w:t>
      </w:r>
      <w:r w:rsidR="00CB4706">
        <w:rPr>
          <w:lang w:val="en-US"/>
        </w:rPr>
        <w:t>evaluate predictions on the model. It can be confusing as to which term is used during training testing and final testing.</w:t>
      </w:r>
    </w:p>
    <w:p w14:paraId="51B79241" w14:textId="4AC72C70" w:rsidR="005053D3" w:rsidRPr="005053D3" w:rsidRDefault="005053D3" w:rsidP="009C1D29">
      <w:pPr>
        <w:rPr>
          <w:lang w:val="en-US"/>
        </w:rPr>
      </w:pPr>
      <w:r>
        <w:rPr>
          <w:b/>
          <w:bCs/>
          <w:lang w:val="en-US"/>
        </w:rPr>
        <w:t>Training set</w:t>
      </w:r>
      <w:r>
        <w:rPr>
          <w:lang w:val="en-US"/>
        </w:rPr>
        <w:t xml:space="preserve"> a training set is a set of examples that are used to create a model for a specific dataset.</w:t>
      </w:r>
    </w:p>
    <w:p w14:paraId="560DBDFC" w14:textId="2E85404E" w:rsidR="00233962" w:rsidRDefault="00233962" w:rsidP="009C1D29">
      <w:pPr>
        <w:rPr>
          <w:lang w:val="en-US"/>
        </w:rPr>
      </w:pPr>
      <w:r>
        <w:rPr>
          <w:b/>
          <w:bCs/>
          <w:lang w:val="en-US"/>
        </w:rPr>
        <w:t>White Box Model</w:t>
      </w:r>
      <w:r w:rsidR="00B650D8">
        <w:rPr>
          <w:b/>
          <w:bCs/>
          <w:lang w:val="en-US"/>
        </w:rPr>
        <w:t xml:space="preserve"> </w:t>
      </w:r>
      <w:r w:rsidR="00B650D8">
        <w:rPr>
          <w:lang w:val="en-US"/>
        </w:rPr>
        <w:t xml:space="preserve">a white box model is explainable, it is possible to analyze how it deduces its predictions </w:t>
      </w:r>
      <w:r w:rsidR="00B650D8">
        <w:rPr>
          <w:lang w:val="en-US"/>
        </w:rPr>
        <w:fldChar w:fldCharType="begin"/>
      </w:r>
      <w:r w:rsidR="00082AAB">
        <w:rPr>
          <w:lang w:val="en-US"/>
        </w:rPr>
        <w:instrText xml:space="preserve"> ADDIN ZOTERO_ITEM CSL_CITATION {"citationID":"RwF9DO9G","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B650D8">
        <w:rPr>
          <w:lang w:val="en-US"/>
        </w:rPr>
        <w:fldChar w:fldCharType="separate"/>
      </w:r>
      <w:r w:rsidR="00082AAB" w:rsidRPr="00082AAB">
        <w:rPr>
          <w:rFonts w:ascii="Calibri" w:hAnsi="Calibri" w:cs="Calibri"/>
        </w:rPr>
        <w:t>[1]</w:t>
      </w:r>
      <w:r w:rsidR="00B650D8">
        <w:rPr>
          <w:lang w:val="en-US"/>
        </w:rPr>
        <w:fldChar w:fldCharType="end"/>
      </w:r>
      <w:r w:rsidR="00B650D8">
        <w:rPr>
          <w:lang w:val="en-US"/>
        </w:rPr>
        <w:t>.</w:t>
      </w:r>
    </w:p>
    <w:p w14:paraId="1F77D7BA" w14:textId="77777777" w:rsidR="00B650D8" w:rsidRPr="00B650D8" w:rsidRDefault="00B650D8" w:rsidP="009C1D29">
      <w:pPr>
        <w:rPr>
          <w:lang w:val="en-US"/>
        </w:rPr>
      </w:pPr>
    </w:p>
    <w:p w14:paraId="29B9D50A" w14:textId="31D1A943" w:rsidR="009C1D29" w:rsidRPr="00B04820" w:rsidRDefault="009C1D29" w:rsidP="009C1D29">
      <w:pPr>
        <w:pStyle w:val="Heading2"/>
        <w:rPr>
          <w:lang w:val="it-IT"/>
        </w:rPr>
      </w:pPr>
      <w:proofErr w:type="spellStart"/>
      <w:r w:rsidRPr="00B04820">
        <w:rPr>
          <w:lang w:val="it-IT"/>
        </w:rPr>
        <w:t>References</w:t>
      </w:r>
      <w:proofErr w:type="spellEnd"/>
    </w:p>
    <w:p w14:paraId="7E0A7251" w14:textId="77777777" w:rsidR="005974D3" w:rsidRPr="005974D3" w:rsidRDefault="00E21D95" w:rsidP="005974D3">
      <w:pPr>
        <w:pStyle w:val="Bibliography"/>
        <w:rPr>
          <w:rFonts w:ascii="Calibri" w:hAnsi="Calibri" w:cs="Calibri"/>
        </w:rPr>
      </w:pPr>
      <w:r>
        <w:rPr>
          <w:lang w:val="en-US"/>
        </w:rPr>
        <w:fldChar w:fldCharType="begin"/>
      </w:r>
      <w:r w:rsidRPr="00082AAB">
        <w:rPr>
          <w:lang w:val="it-IT"/>
        </w:rPr>
        <w:instrText xml:space="preserve"> ADDIN ZOTERO_BIBL {"uncited":[],"omitted":[],"custom":[]} CSL_BIBLIOGRAPHY </w:instrText>
      </w:r>
      <w:r>
        <w:rPr>
          <w:lang w:val="en-US"/>
        </w:rPr>
        <w:fldChar w:fldCharType="separate"/>
      </w:r>
      <w:r w:rsidR="005974D3" w:rsidRPr="005974D3">
        <w:rPr>
          <w:rFonts w:ascii="Calibri" w:hAnsi="Calibri" w:cs="Calibri"/>
          <w:lang w:val="it-IT"/>
        </w:rPr>
        <w:t>[1]</w:t>
      </w:r>
      <w:r w:rsidR="005974D3" w:rsidRPr="005974D3">
        <w:rPr>
          <w:rFonts w:ascii="Calibri" w:hAnsi="Calibri" w:cs="Calibri"/>
          <w:lang w:val="it-IT"/>
        </w:rPr>
        <w:tab/>
        <w:t xml:space="preserve">A. Thampi, </w:t>
      </w:r>
      <w:r w:rsidR="005974D3" w:rsidRPr="005974D3">
        <w:rPr>
          <w:rFonts w:ascii="Calibri" w:hAnsi="Calibri" w:cs="Calibri"/>
          <w:i/>
          <w:iCs/>
          <w:lang w:val="it-IT"/>
        </w:rPr>
        <w:t>Interpretable AI</w:t>
      </w:r>
      <w:r w:rsidR="005974D3" w:rsidRPr="005974D3">
        <w:rPr>
          <w:rFonts w:ascii="Calibri" w:hAnsi="Calibri" w:cs="Calibri"/>
          <w:lang w:val="it-IT"/>
        </w:rPr>
        <w:t xml:space="preserve">, MEAP v3., vol. 1, 1 vols. </w:t>
      </w:r>
      <w:r w:rsidR="005974D3" w:rsidRPr="005974D3">
        <w:rPr>
          <w:rFonts w:ascii="Calibri" w:hAnsi="Calibri" w:cs="Calibri"/>
        </w:rPr>
        <w:t>USA: Manning Publications, 2020.</w:t>
      </w:r>
    </w:p>
    <w:p w14:paraId="71D09891" w14:textId="77777777" w:rsidR="005974D3" w:rsidRPr="005974D3" w:rsidRDefault="005974D3" w:rsidP="005974D3">
      <w:pPr>
        <w:pStyle w:val="Bibliography"/>
        <w:rPr>
          <w:rFonts w:ascii="Calibri" w:hAnsi="Calibri" w:cs="Calibri"/>
        </w:rPr>
      </w:pPr>
      <w:r w:rsidRPr="005974D3">
        <w:rPr>
          <w:rFonts w:ascii="Calibri" w:hAnsi="Calibri" w:cs="Calibri"/>
        </w:rPr>
        <w:t>[2]</w:t>
      </w:r>
      <w:r w:rsidRPr="005974D3">
        <w:rPr>
          <w:rFonts w:ascii="Calibri" w:hAnsi="Calibri" w:cs="Calibri"/>
        </w:rPr>
        <w:tab/>
        <w:t xml:space="preserve">N. L. </w:t>
      </w:r>
      <w:proofErr w:type="spellStart"/>
      <w:r w:rsidRPr="005974D3">
        <w:rPr>
          <w:rFonts w:ascii="Calibri" w:hAnsi="Calibri" w:cs="Calibri"/>
        </w:rPr>
        <w:t>Pollesch</w:t>
      </w:r>
      <w:proofErr w:type="spellEnd"/>
      <w:r w:rsidRPr="005974D3">
        <w:rPr>
          <w:rFonts w:ascii="Calibri" w:hAnsi="Calibri" w:cs="Calibri"/>
        </w:rPr>
        <w:t xml:space="preserve"> and V. H. Dale, “Normalization in sustainability assessment: Methods and implications,” </w:t>
      </w:r>
      <w:r w:rsidRPr="005974D3">
        <w:rPr>
          <w:rFonts w:ascii="Calibri" w:hAnsi="Calibri" w:cs="Calibri"/>
          <w:i/>
          <w:iCs/>
        </w:rPr>
        <w:t>Ecol. Econ.</w:t>
      </w:r>
      <w:r w:rsidRPr="005974D3">
        <w:rPr>
          <w:rFonts w:ascii="Calibri" w:hAnsi="Calibri" w:cs="Calibri"/>
        </w:rPr>
        <w:t xml:space="preserve">, vol. 130, pp. 195–208, Oct. 2016, </w:t>
      </w:r>
      <w:proofErr w:type="spellStart"/>
      <w:r w:rsidRPr="005974D3">
        <w:rPr>
          <w:rFonts w:ascii="Calibri" w:hAnsi="Calibri" w:cs="Calibri"/>
        </w:rPr>
        <w:t>doi</w:t>
      </w:r>
      <w:proofErr w:type="spellEnd"/>
      <w:r w:rsidRPr="005974D3">
        <w:rPr>
          <w:rFonts w:ascii="Calibri" w:hAnsi="Calibri" w:cs="Calibri"/>
        </w:rPr>
        <w:t>: 10.1016/j.ecolecon.2016.06.018.</w:t>
      </w:r>
    </w:p>
    <w:p w14:paraId="6A79D85A" w14:textId="77777777" w:rsidR="005974D3" w:rsidRPr="005974D3" w:rsidRDefault="005974D3" w:rsidP="005974D3">
      <w:pPr>
        <w:pStyle w:val="Bibliography"/>
        <w:rPr>
          <w:rFonts w:ascii="Calibri" w:hAnsi="Calibri" w:cs="Calibri"/>
        </w:rPr>
      </w:pPr>
      <w:r w:rsidRPr="005974D3">
        <w:rPr>
          <w:rFonts w:ascii="Calibri" w:hAnsi="Calibri" w:cs="Calibri"/>
        </w:rPr>
        <w:t>[3]</w:t>
      </w:r>
      <w:r w:rsidRPr="005974D3">
        <w:rPr>
          <w:rFonts w:ascii="Calibri" w:hAnsi="Calibri" w:cs="Calibri"/>
        </w:rPr>
        <w:tab/>
        <w:t xml:space="preserve">T. M. </w:t>
      </w:r>
      <w:proofErr w:type="spellStart"/>
      <w:r w:rsidRPr="005974D3">
        <w:rPr>
          <w:rFonts w:ascii="Calibri" w:hAnsi="Calibri" w:cs="Calibri"/>
        </w:rPr>
        <w:t>Khoshgoftaar</w:t>
      </w:r>
      <w:proofErr w:type="spellEnd"/>
      <w:r w:rsidRPr="005974D3">
        <w:rPr>
          <w:rFonts w:ascii="Calibri" w:hAnsi="Calibri" w:cs="Calibri"/>
        </w:rPr>
        <w:t xml:space="preserve">, M. </w:t>
      </w:r>
      <w:proofErr w:type="spellStart"/>
      <w:r w:rsidRPr="005974D3">
        <w:rPr>
          <w:rFonts w:ascii="Calibri" w:hAnsi="Calibri" w:cs="Calibri"/>
        </w:rPr>
        <w:t>Golawala</w:t>
      </w:r>
      <w:proofErr w:type="spellEnd"/>
      <w:r w:rsidRPr="005974D3">
        <w:rPr>
          <w:rFonts w:ascii="Calibri" w:hAnsi="Calibri" w:cs="Calibri"/>
        </w:rPr>
        <w:t>, and J. V. Hulse, “An Empirical Study of Learning from Imbalanced Data Using Random Forest,” p. 8.</w:t>
      </w:r>
    </w:p>
    <w:p w14:paraId="5F6DE144" w14:textId="77777777" w:rsidR="005974D3" w:rsidRPr="005974D3" w:rsidRDefault="005974D3" w:rsidP="005974D3">
      <w:pPr>
        <w:pStyle w:val="Bibliography"/>
        <w:rPr>
          <w:rFonts w:ascii="Calibri" w:hAnsi="Calibri" w:cs="Calibri"/>
        </w:rPr>
      </w:pPr>
      <w:r w:rsidRPr="005974D3">
        <w:rPr>
          <w:rFonts w:ascii="Calibri" w:hAnsi="Calibri" w:cs="Calibri"/>
        </w:rPr>
        <w:t>[4]</w:t>
      </w:r>
      <w:r w:rsidRPr="005974D3">
        <w:rPr>
          <w:rFonts w:ascii="Calibri" w:hAnsi="Calibri" w:cs="Calibri"/>
        </w:rPr>
        <w:tab/>
        <w:t xml:space="preserve">G. </w:t>
      </w:r>
      <w:proofErr w:type="spellStart"/>
      <w:r w:rsidRPr="005974D3">
        <w:rPr>
          <w:rFonts w:ascii="Calibri" w:hAnsi="Calibri" w:cs="Calibri"/>
        </w:rPr>
        <w:t>Valentini</w:t>
      </w:r>
      <w:proofErr w:type="spellEnd"/>
      <w:r w:rsidRPr="005974D3">
        <w:rPr>
          <w:rFonts w:ascii="Calibri" w:hAnsi="Calibri" w:cs="Calibri"/>
        </w:rPr>
        <w:t>, “Ensemble methods based on bias–variance analysis,” p. 175.</w:t>
      </w:r>
    </w:p>
    <w:p w14:paraId="1567CF1D" w14:textId="77777777" w:rsidR="005974D3" w:rsidRPr="005974D3" w:rsidRDefault="005974D3" w:rsidP="005974D3">
      <w:pPr>
        <w:pStyle w:val="Bibliography"/>
        <w:rPr>
          <w:rFonts w:ascii="Calibri" w:hAnsi="Calibri" w:cs="Calibri"/>
        </w:rPr>
      </w:pPr>
      <w:r w:rsidRPr="005974D3">
        <w:rPr>
          <w:rFonts w:ascii="Calibri" w:hAnsi="Calibri" w:cs="Calibri"/>
        </w:rPr>
        <w:t>[5]</w:t>
      </w:r>
      <w:r w:rsidRPr="005974D3">
        <w:rPr>
          <w:rFonts w:ascii="Calibri" w:hAnsi="Calibri" w:cs="Calibri"/>
        </w:rPr>
        <w:tab/>
        <w:t xml:space="preserve">B. </w:t>
      </w:r>
      <w:proofErr w:type="spellStart"/>
      <w:r w:rsidRPr="005974D3">
        <w:rPr>
          <w:rFonts w:ascii="Calibri" w:hAnsi="Calibri" w:cs="Calibri"/>
        </w:rPr>
        <w:t>Shmueli</w:t>
      </w:r>
      <w:proofErr w:type="spellEnd"/>
      <w:r w:rsidRPr="005974D3">
        <w:rPr>
          <w:rFonts w:ascii="Calibri" w:hAnsi="Calibri" w:cs="Calibri"/>
        </w:rPr>
        <w:t>, “Multi-Class Metrics Made Simple, Part I: Precision and Recall,” Jul. 02, 2019. https://towardsdatascience.com/multi-class-metrics-made-simple-part-i-precision-and-recall-9250280bddc2.</w:t>
      </w:r>
    </w:p>
    <w:p w14:paraId="4A81441B" w14:textId="77777777" w:rsidR="005974D3" w:rsidRPr="005974D3" w:rsidRDefault="005974D3" w:rsidP="005974D3">
      <w:pPr>
        <w:pStyle w:val="Bibliography"/>
        <w:rPr>
          <w:rFonts w:ascii="Calibri" w:hAnsi="Calibri" w:cs="Calibri"/>
        </w:rPr>
      </w:pPr>
      <w:r w:rsidRPr="005974D3">
        <w:rPr>
          <w:rFonts w:ascii="Calibri" w:hAnsi="Calibri" w:cs="Calibri"/>
        </w:rPr>
        <w:t>[6]</w:t>
      </w:r>
      <w:r w:rsidRPr="005974D3">
        <w:rPr>
          <w:rFonts w:ascii="Calibri" w:hAnsi="Calibri" w:cs="Calibri"/>
        </w:rPr>
        <w:tab/>
        <w:t xml:space="preserve">B. </w:t>
      </w:r>
      <w:proofErr w:type="spellStart"/>
      <w:r w:rsidRPr="005974D3">
        <w:rPr>
          <w:rFonts w:ascii="Calibri" w:hAnsi="Calibri" w:cs="Calibri"/>
        </w:rPr>
        <w:t>Shmueli</w:t>
      </w:r>
      <w:proofErr w:type="spellEnd"/>
      <w:r w:rsidRPr="005974D3">
        <w:rPr>
          <w:rFonts w:ascii="Calibri" w:hAnsi="Calibri" w:cs="Calibri"/>
        </w:rPr>
        <w:t xml:space="preserve">, “Multi-Class Metrics Made Simple, Part II: the F1-score,” </w:t>
      </w:r>
      <w:r w:rsidRPr="005974D3">
        <w:rPr>
          <w:rFonts w:ascii="Calibri" w:hAnsi="Calibri" w:cs="Calibri"/>
          <w:i/>
          <w:iCs/>
        </w:rPr>
        <w:t>Multi-Class Metrics Made Simple, Part II: the F1-score</w:t>
      </w:r>
      <w:r w:rsidRPr="005974D3">
        <w:rPr>
          <w:rFonts w:ascii="Calibri" w:hAnsi="Calibri" w:cs="Calibri"/>
        </w:rPr>
        <w:t>. .</w:t>
      </w:r>
    </w:p>
    <w:p w14:paraId="5C1E9EF7" w14:textId="77777777" w:rsidR="005974D3" w:rsidRPr="005974D3" w:rsidRDefault="005974D3" w:rsidP="005974D3">
      <w:pPr>
        <w:pStyle w:val="Bibliography"/>
        <w:rPr>
          <w:rFonts w:ascii="Calibri" w:hAnsi="Calibri" w:cs="Calibri"/>
        </w:rPr>
      </w:pPr>
      <w:r w:rsidRPr="005974D3">
        <w:rPr>
          <w:rFonts w:ascii="Calibri" w:hAnsi="Calibri" w:cs="Calibri"/>
        </w:rPr>
        <w:t>[7]</w:t>
      </w:r>
      <w:r w:rsidRPr="005974D3">
        <w:rPr>
          <w:rFonts w:ascii="Calibri" w:hAnsi="Calibri" w:cs="Calibri"/>
        </w:rPr>
        <w:tab/>
        <w:t>R. Caruana and A. Niculescu-</w:t>
      </w:r>
      <w:proofErr w:type="spellStart"/>
      <w:r w:rsidRPr="005974D3">
        <w:rPr>
          <w:rFonts w:ascii="Calibri" w:hAnsi="Calibri" w:cs="Calibri"/>
        </w:rPr>
        <w:t>Mizil</w:t>
      </w:r>
      <w:proofErr w:type="spellEnd"/>
      <w:r w:rsidRPr="005974D3">
        <w:rPr>
          <w:rFonts w:ascii="Calibri" w:hAnsi="Calibri" w:cs="Calibri"/>
        </w:rPr>
        <w:t xml:space="preserve">, “An empirical comparison of supervised learning algorithms,” in </w:t>
      </w:r>
      <w:r w:rsidRPr="005974D3">
        <w:rPr>
          <w:rFonts w:ascii="Calibri" w:hAnsi="Calibri" w:cs="Calibri"/>
          <w:i/>
          <w:iCs/>
        </w:rPr>
        <w:t>Proceedings of the 23rd international conference on Machine learning  - ICML ’06</w:t>
      </w:r>
      <w:r w:rsidRPr="005974D3">
        <w:rPr>
          <w:rFonts w:ascii="Calibri" w:hAnsi="Calibri" w:cs="Calibri"/>
        </w:rPr>
        <w:t xml:space="preserve">, Pittsburgh, Pennsylvania, 2006, pp. 161–168, </w:t>
      </w:r>
      <w:proofErr w:type="spellStart"/>
      <w:r w:rsidRPr="005974D3">
        <w:rPr>
          <w:rFonts w:ascii="Calibri" w:hAnsi="Calibri" w:cs="Calibri"/>
        </w:rPr>
        <w:t>doi</w:t>
      </w:r>
      <w:proofErr w:type="spellEnd"/>
      <w:r w:rsidRPr="005974D3">
        <w:rPr>
          <w:rFonts w:ascii="Calibri" w:hAnsi="Calibri" w:cs="Calibri"/>
        </w:rPr>
        <w:t>: 10.1145/1143844.1143865.</w:t>
      </w:r>
    </w:p>
    <w:p w14:paraId="1DC55DCC" w14:textId="77777777" w:rsidR="005974D3" w:rsidRPr="005974D3" w:rsidRDefault="005974D3" w:rsidP="005974D3">
      <w:pPr>
        <w:pStyle w:val="Bibliography"/>
        <w:rPr>
          <w:rFonts w:ascii="Calibri" w:hAnsi="Calibri" w:cs="Calibri"/>
        </w:rPr>
      </w:pPr>
      <w:r w:rsidRPr="005974D3">
        <w:rPr>
          <w:rFonts w:ascii="Calibri" w:hAnsi="Calibri" w:cs="Calibri"/>
        </w:rPr>
        <w:t>[8]</w:t>
      </w:r>
      <w:r w:rsidRPr="005974D3">
        <w:rPr>
          <w:rFonts w:ascii="Calibri" w:hAnsi="Calibri" w:cs="Calibri"/>
        </w:rPr>
        <w:tab/>
        <w:t xml:space="preserve">I. Guyon and A. </w:t>
      </w:r>
      <w:proofErr w:type="spellStart"/>
      <w:r w:rsidRPr="005974D3">
        <w:rPr>
          <w:rFonts w:ascii="Calibri" w:hAnsi="Calibri" w:cs="Calibri"/>
        </w:rPr>
        <w:t>Elisseeff</w:t>
      </w:r>
      <w:proofErr w:type="spellEnd"/>
      <w:r w:rsidRPr="005974D3">
        <w:rPr>
          <w:rFonts w:ascii="Calibri" w:hAnsi="Calibri" w:cs="Calibri"/>
        </w:rPr>
        <w:t xml:space="preserve">, “An Introduction to Variable and Feature Selection,” </w:t>
      </w:r>
      <w:r w:rsidRPr="005974D3">
        <w:rPr>
          <w:rFonts w:ascii="Calibri" w:hAnsi="Calibri" w:cs="Calibri"/>
          <w:i/>
          <w:iCs/>
        </w:rPr>
        <w:t>J. Mach. Learn. Res.</w:t>
      </w:r>
      <w:r w:rsidRPr="005974D3">
        <w:rPr>
          <w:rFonts w:ascii="Calibri" w:hAnsi="Calibri" w:cs="Calibri"/>
        </w:rPr>
        <w:t>, vol. 3, p. 26, 2003.</w:t>
      </w:r>
    </w:p>
    <w:p w14:paraId="5357322D" w14:textId="137D446C" w:rsidR="00E21D95" w:rsidRPr="00E21D95" w:rsidRDefault="00E21D95" w:rsidP="00E21D95">
      <w:pPr>
        <w:rPr>
          <w:lang w:val="en-US"/>
        </w:rPr>
      </w:pPr>
      <w:r>
        <w:rPr>
          <w:lang w:val="en-US"/>
        </w:rPr>
        <w:fldChar w:fldCharType="end"/>
      </w:r>
    </w:p>
    <w:sectPr w:rsidR="00E21D95" w:rsidRPr="00E21D95" w:rsidSect="00F430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8B"/>
    <w:rsid w:val="00082AAB"/>
    <w:rsid w:val="000F65E4"/>
    <w:rsid w:val="00112BB4"/>
    <w:rsid w:val="00233962"/>
    <w:rsid w:val="004216C8"/>
    <w:rsid w:val="00483D7A"/>
    <w:rsid w:val="004F2603"/>
    <w:rsid w:val="005053D3"/>
    <w:rsid w:val="0052332A"/>
    <w:rsid w:val="005974D3"/>
    <w:rsid w:val="00624F13"/>
    <w:rsid w:val="00665A79"/>
    <w:rsid w:val="006D20D2"/>
    <w:rsid w:val="007014DD"/>
    <w:rsid w:val="007168A3"/>
    <w:rsid w:val="007441E3"/>
    <w:rsid w:val="00771E0C"/>
    <w:rsid w:val="008B528B"/>
    <w:rsid w:val="009758AF"/>
    <w:rsid w:val="009C1D29"/>
    <w:rsid w:val="009E769E"/>
    <w:rsid w:val="00B04820"/>
    <w:rsid w:val="00B650D8"/>
    <w:rsid w:val="00C45E3C"/>
    <w:rsid w:val="00CA5312"/>
    <w:rsid w:val="00CB4706"/>
    <w:rsid w:val="00D12E36"/>
    <w:rsid w:val="00D309AE"/>
    <w:rsid w:val="00D723EE"/>
    <w:rsid w:val="00E21BD8"/>
    <w:rsid w:val="00E21D95"/>
    <w:rsid w:val="00EE2D42"/>
    <w:rsid w:val="00F14DC9"/>
    <w:rsid w:val="00F4302C"/>
    <w:rsid w:val="00FA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15B7"/>
  <w15:chartTrackingRefBased/>
  <w15:docId w15:val="{932DE7A7-E1A2-4FDD-94AF-25C5A128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28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302C"/>
    <w:pPr>
      <w:spacing w:after="200" w:line="240" w:lineRule="auto"/>
    </w:pPr>
    <w:rPr>
      <w:i/>
      <w:iCs/>
      <w:color w:val="44546A" w:themeColor="text2"/>
      <w:sz w:val="18"/>
      <w:szCs w:val="18"/>
    </w:rPr>
  </w:style>
  <w:style w:type="table" w:styleId="TableGrid">
    <w:name w:val="Table Grid"/>
    <w:basedOn w:val="TableNormal"/>
    <w:uiPriority w:val="39"/>
    <w:rsid w:val="00D7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09A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21D9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440580">
      <w:bodyDiv w:val="1"/>
      <w:marLeft w:val="0"/>
      <w:marRight w:val="0"/>
      <w:marTop w:val="0"/>
      <w:marBottom w:val="0"/>
      <w:divBdr>
        <w:top w:val="none" w:sz="0" w:space="0" w:color="auto"/>
        <w:left w:val="none" w:sz="0" w:space="0" w:color="auto"/>
        <w:bottom w:val="none" w:sz="0" w:space="0" w:color="auto"/>
        <w:right w:val="none" w:sz="0" w:space="0" w:color="auto"/>
      </w:divBdr>
    </w:div>
    <w:div w:id="919212506">
      <w:bodyDiv w:val="1"/>
      <w:marLeft w:val="0"/>
      <w:marRight w:val="0"/>
      <w:marTop w:val="0"/>
      <w:marBottom w:val="0"/>
      <w:divBdr>
        <w:top w:val="none" w:sz="0" w:space="0" w:color="auto"/>
        <w:left w:val="none" w:sz="0" w:space="0" w:color="auto"/>
        <w:bottom w:val="none" w:sz="0" w:space="0" w:color="auto"/>
        <w:right w:val="none" w:sz="0" w:space="0" w:color="auto"/>
      </w:divBdr>
    </w:div>
    <w:div w:id="1640260311">
      <w:bodyDiv w:val="1"/>
      <w:marLeft w:val="0"/>
      <w:marRight w:val="0"/>
      <w:marTop w:val="0"/>
      <w:marBottom w:val="0"/>
      <w:divBdr>
        <w:top w:val="none" w:sz="0" w:space="0" w:color="auto"/>
        <w:left w:val="none" w:sz="0" w:space="0" w:color="auto"/>
        <w:bottom w:val="none" w:sz="0" w:space="0" w:color="auto"/>
        <w:right w:val="none" w:sz="0" w:space="0" w:color="auto"/>
      </w:divBdr>
      <w:divsChild>
        <w:div w:id="1534926682">
          <w:marLeft w:val="0"/>
          <w:marRight w:val="0"/>
          <w:marTop w:val="0"/>
          <w:marBottom w:val="0"/>
          <w:divBdr>
            <w:top w:val="none" w:sz="0" w:space="0" w:color="auto"/>
            <w:left w:val="none" w:sz="0" w:space="0" w:color="auto"/>
            <w:bottom w:val="none" w:sz="0" w:space="0" w:color="auto"/>
            <w:right w:val="none" w:sz="0" w:space="0" w:color="auto"/>
          </w:divBdr>
          <w:divsChild>
            <w:div w:id="952828660">
              <w:marLeft w:val="0"/>
              <w:marRight w:val="0"/>
              <w:marTop w:val="0"/>
              <w:marBottom w:val="0"/>
              <w:divBdr>
                <w:top w:val="none" w:sz="0" w:space="0" w:color="auto"/>
                <w:left w:val="none" w:sz="0" w:space="0" w:color="auto"/>
                <w:bottom w:val="none" w:sz="0" w:space="0" w:color="auto"/>
                <w:right w:val="none" w:sz="0" w:space="0" w:color="auto"/>
              </w:divBdr>
              <w:divsChild>
                <w:div w:id="104880236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53493196">
      <w:bodyDiv w:val="1"/>
      <w:marLeft w:val="0"/>
      <w:marRight w:val="0"/>
      <w:marTop w:val="0"/>
      <w:marBottom w:val="0"/>
      <w:divBdr>
        <w:top w:val="none" w:sz="0" w:space="0" w:color="auto"/>
        <w:left w:val="none" w:sz="0" w:space="0" w:color="auto"/>
        <w:bottom w:val="none" w:sz="0" w:space="0" w:color="auto"/>
        <w:right w:val="none" w:sz="0" w:space="0" w:color="auto"/>
      </w:divBdr>
    </w:div>
    <w:div w:id="19306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18</cp:revision>
  <dcterms:created xsi:type="dcterms:W3CDTF">2020-12-13T09:57:00Z</dcterms:created>
  <dcterms:modified xsi:type="dcterms:W3CDTF">2020-12-13T18:04:00Z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id="moDVdxsh"/&gt;&lt;style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