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b w:val="0"/>
          <w:sz w:val="22"/>
        </w:rPr>
      </w:r>
    </w:p>
    <w:p>
      <w:pPr>
        <w:spacing w:after="360"/>
        <w:jc w:val="center"/>
      </w:pPr>
      <w:r>
        <w:rPr>
          <w:b/>
          <w:sz w:val="44"/>
        </w:rPr>
        <w:t>Transport request: D01K9B0BZW</w:t>
      </w:r>
    </w:p>
    <w:p>
      <w:pPr>
        <w:spacing w:after="720"/>
        <w:jc w:val="center"/>
      </w:pPr>
      <w:r>
        <w:rPr>
          <w:b w:val="0"/>
          <w:sz w:val="28"/>
        </w:rPr>
        <w:t>User : N_MENARD</w:t>
      </w:r>
    </w:p>
    <w:p>
      <w:pPr>
        <w:spacing w:after="0"/>
        <w:jc w:val="center"/>
      </w:pPr>
      <w:r>
        <w:rPr>
          <w:b/>
          <w:sz w:val="24"/>
        </w:rPr>
        <w:t>Date:</w:t>
      </w:r>
    </w:p>
    <w:p>
      <w:pPr>
        <w:spacing w:after="360"/>
        <w:jc w:val="center"/>
      </w:pPr>
      <w:r>
        <w:rPr>
          <w:b w:val="0"/>
          <w:sz w:val="24"/>
        </w:rPr>
        <w:t>18/04/2026</w:t>
      </w:r>
    </w:p>
    <w:p>
      <w:pPr>
        <w:spacing w:after="0"/>
        <w:jc w:val="center"/>
      </w:pPr>
      <w:r>
        <w:rPr>
          <w:b/>
          <w:sz w:val="24"/>
        </w:rPr>
        <w:t>Version number:</w:t>
      </w:r>
    </w:p>
    <w:p>
      <w:pPr>
        <w:spacing w:after="720"/>
        <w:jc w:val="center"/>
      </w:pPr>
      <w:r>
        <w:rPr>
          <w:b w:val="0"/>
          <w:sz w:val="24"/>
        </w:rPr>
        <w:t>1.0</w:t>
      </w:r>
    </w:p>
    <w:p>
      <w:pPr>
        <w:spacing w:after="0"/>
        <w:jc w:val="center"/>
      </w:pPr>
      <w:r>
        <w:rPr>
          <w:b/>
          <w:sz w:val="28"/>
        </w:rPr>
        <w:t>Approvals</w:t>
      </w:r>
    </w:p>
    <w:p>
      <w:r>
        <w:br w:type="page"/>
      </w:r>
    </w:p>
    <w:p>
      <w:pPr>
        <w:spacing w:after="360"/>
        <w:jc w:val="center"/>
      </w:pPr>
      <w:r>
        <w:rPr>
          <w:b/>
          <w:sz w:val="40"/>
        </w:rPr>
        <w:t>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Revision history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Distribution</w:t>
            </w:r>
          </w:p>
        </w:tc>
      </w:tr>
    </w:tbl>
    <w:p>
      <w:pPr>
        <w:spacing w:after="240"/>
      </w:pPr>
      <w:r>
        <w:rPr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spacing w:after="240"/>
      </w:pPr>
      <w:r>
        <w:rPr>
          <w:b/>
          <w:sz w:val="32"/>
        </w:rPr>
        <w:t>TABLE OF CONTENTS</w:t>
      </w:r>
    </w:p>
    <w:p>
      <w:pPr>
        <w:spacing w:after="360"/>
      </w:pPr>
      <w:r>
        <w:rPr>
          <w:b w:val="0"/>
          <w:sz w:val="22"/>
        </w:rPr>
        <w:t>1</w:t>
        <w:tab/>
        <w:t>Transport Request D01K9B0BZW</w:t>
        <w:tab/>
        <w:t>4</w:t>
      </w:r>
    </w:p>
    <w:p>
      <w:r>
        <w:br w:type="page"/>
      </w:r>
    </w:p>
    <w:p>
      <w:pPr>
        <w:spacing w:after="240"/>
      </w:pPr>
      <w:r>
        <w:rPr>
          <w:b/>
          <w:sz w:val="36"/>
        </w:rPr>
        <w:t>Transport Request D01K9B0BZW</w:t>
      </w:r>
    </w:p>
    <w:p>
      <w:pPr>
        <w:spacing w:after="240"/>
      </w:pPr>
      <w:r>
        <w:rPr>
          <w:b/>
          <w:sz w:val="26"/>
        </w:rPr>
        <w:t>Request D01K9B0BZW: PSM-FM : Y - Budget Rate (BR) Custom Solution - Cross-currency posting engine</w:t>
      </w:r>
    </w:p>
    <w:p>
      <w:pPr>
        <w:spacing w:after="240"/>
      </w:pPr>
      <w:r>
        <w:rPr>
          <w:b w:val="0"/>
          <w:sz w:val="22"/>
        </w:rPr>
        <w:t>Regarding the transport D01K9B0BZW, this change corresponds to the delivery of UNESCO's custom Budget Rate (BR) extension for PSM-FM. The Budget Rate solution enables FI and FM documents to be posted against a fixed budget exchange rate rather than the market rate, which is required to prevent Availability Control (AVC) drift when a fund's budget currency and posting currency differ (typically EUR budget vs USD posting or vice versa).</w:t>
      </w:r>
    </w:p>
    <w:p>
      <w:pPr>
        <w:spacing w:after="120"/>
      </w:pPr>
      <w:r>
        <w:rPr>
          <w:b/>
          <w:sz w:val="22"/>
        </w:rPr>
        <w:t>Please note that:</w:t>
      </w:r>
    </w:p>
    <w:p>
      <w:pPr>
        <w:pStyle w:val="ListBullet"/>
      </w:pPr>
      <w:r>
        <w:rPr>
          <w:sz w:val="22"/>
        </w:rPr>
        <w:t>The transport bundles custom ABAP code (classes, programs, function groups), custom tables, data elements, enhancement implementations against the ZFIX_EXCHANGERATE composite enhancement spot, and the related customizing (view cluster, authorization objects, validation).</w:t>
      </w:r>
    </w:p>
    <w:p>
      <w:pPr>
        <w:pStyle w:val="ListBullet"/>
      </w:pPr>
      <w:r>
        <w:rPr>
          <w:sz w:val="22"/>
        </w:rPr>
        <w:t>Sub-transports D01K9B0BZX, D01K9B0C1I and D01K9B0C5F have been released as part of the same delivery.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240"/>
      </w:pPr>
      <w:r>
        <w:rPr>
          <w:b w:val="0"/>
          <w:sz w:val="22"/>
        </w:rPr>
        <w:t>Please find below the available information in line with your request: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Process Steps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Change Details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Delivery of the UNESCO Budget Rate custom solution. Scope (62 objects):</w:t>
            </w:r>
          </w:p>
          <w:p>
            <w:r>
              <w:rPr>
                <w:sz w:val="22"/>
              </w:rPr>
              <w:t>• 10 Y-classes (YCL_FM_BR_EXCHANGE_RATE_BL, YCL_FM_BR_PAYROLL_POSTING_BL, YCL_FM_BR_PBC_POSTING_BL, YCL_FM_BR_POSTING_IN_FM_BL, YCL_FM_CONSTANT_DOLLAR_BL_POC, YCL_FM_RFFMEPGAX_EXTENSION, YCL_FI_BR_UPDATE_TABLES, YCL_FI_TO_PAYROLL_POSTING_BL, YCL_MM_PO_UTILITIES, ZCL_IM_ENH_RFFMEPGAX_USD).</w:t>
            </w:r>
          </w:p>
          <w:p>
            <w:r>
              <w:rPr>
                <w:sz w:val="22"/>
              </w:rPr>
              <w:t>• 13 enhancement implementations of the ZFIX_EXCHANGERATE composite (AVC, FI, NEW_ITEM, KBLEW, PAYCOMMIT, CHECK_CONS, FUNDBLOCK, FUND_RESERVATION, REVALUATION, REVAL_RESFUND, PBC_POS_UPD, BAPI_EMPLOYEE_POST).</w:t>
            </w:r>
          </w:p>
          <w:p>
            <w:r>
              <w:rPr>
                <w:sz w:val="22"/>
              </w:rPr>
              <w:t>• 2 custom programs (YFM_BR_POSTING_IN_FM, YFM_CONSTANT_DOLLAR_POC).</w:t>
            </w:r>
          </w:p>
          <w:p>
            <w:r>
              <w:rPr>
                <w:sz w:val="22"/>
              </w:rPr>
              <w:t>• 2 function groups (YFM_BUDGET_RATE, YVFMFUNDTYPE_1).</w:t>
            </w:r>
          </w:p>
          <w:p>
            <w:r>
              <w:rPr>
                <w:sz w:val="22"/>
              </w:rPr>
              <w:t>• 4 custom tables (YTFM_BR_FMIFIIT, YTFM_BR_FMIOI, YTFM_BR_FM_POS, YTHR_PEVST) used as BR shadow tables for FMIFIIT, FMIOI and payroll.</w:t>
            </w:r>
          </w:p>
          <w:p>
            <w:r>
              <w:rPr>
                <w:sz w:val="22"/>
              </w:rPr>
              <w:t>• Custom data elements (YE_FM_BR_ACTIVE, YE_FM_BR_DIFF_POSTING, YE_FM_FKBTR_O, YE_FM_TRBTR_O, ZE_AMOUNTBR_DIFF, ZE_AMOUNTBR_LC, ZE_AMOUNTUSC, ZE_BRAFFECTED).</w:t>
            </w:r>
          </w:p>
          <w:p>
            <w:r>
              <w:rPr>
                <w:sz w:val="22"/>
              </w:rPr>
              <w:t>• Validation Y_BUDGETRATE.</w:t>
            </w:r>
          </w:p>
          <w:p>
            <w:r>
              <w:rPr>
                <w:sz w:val="22"/>
              </w:rPr>
              <w:t>• Customizing: view cluster YVFMFUNDTYPE_1, authorization objects (CUS0, CUS1, TOBJ), TABU entries on TDDAT / TNODEIMG(R/T) / TVDIR to register the new tables and menu nodes.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Requester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The request was initiated by the UNESCO PSM-FM / Budget Office team to support multi-currency budget management across funds whose budget currency differs from the posting currency. [TO COMPLETE: business owner name] acted as functional owner and [TO COMPLETE: technical lead name] as technical owner.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Please see the supporting email trail.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Approval evidence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Approval is documented via email exchanges between the PSM-FM functional team and the central ADM/ADS/FAD coordination team.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Please see the following email. [TO COMPLETE: attach/embed approval email]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 assessment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This is a UNESCO-specific custom extension isolated in the Y- and Z- namespaces; it does not modify SAP standard objects. Impact is limited to funds flagged as Budget Rate active (YE_FM_BR_ACTIVE = 'X'). All standard postings continue to follow SAP's default market-rate logic when the BR flag is not set.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Testing, UAT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Functional validation was performed on D01 using representative BR-enabled funds across FI posting, fund reservation, payroll commitment, revaluation and BAPI employee posting flows. Validation evidence is available in the attached email trail.</w:t>
            </w:r>
          </w:p>
          <w:p>
            <w:r>
              <w:rPr>
                <w:sz w:val="22"/>
              </w:rPr>
            </w:r>
          </w:p>
          <w:p>
            <w:r>
              <w:rPr>
                <w:sz w:val="22"/>
              </w:rPr>
              <w:t>[TO COMPLETE: attach UAT sign-off / test script references]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Rallback plan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In case of issue, the Budget Rate engine can be disabled per fund by unsetting the YE_FM_BR_ACTIVE flag, which causes all enhancement implementations to fall back to the SAP standard behaviour without requiring a code transport. In extremis, the enhancement implementations can be deactivated (SE19) as an emergency measure.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