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rPr>
          <w:b w:val="0"/>
          <w:sz w:val="22"/>
        </w:rPr>
      </w:r>
    </w:p>
    <w:p>
      <w:pPr>
        <w:spacing w:after="360"/>
        <w:jc w:val="center"/>
      </w:pPr>
      <w:r>
        <w:rPr>
          <w:b/>
          <w:sz w:val="44"/>
        </w:rPr>
        <w:t>Transport request: D01K9B0CDZ</w:t>
      </w:r>
    </w:p>
    <w:p>
      <w:pPr>
        <w:spacing w:after="720"/>
        <w:jc w:val="center"/>
      </w:pPr>
      <w:r>
        <w:rPr>
          <w:b w:val="0"/>
          <w:sz w:val="28"/>
        </w:rPr>
        <w:t>User : FP_SPEZZANO</w:t>
      </w:r>
    </w:p>
    <w:p>
      <w:pPr>
        <w:spacing w:after="0"/>
        <w:jc w:val="center"/>
      </w:pPr>
      <w:r>
        <w:rPr>
          <w:b/>
          <w:sz w:val="24"/>
        </w:rPr>
        <w:t>Date:</w:t>
      </w:r>
    </w:p>
    <w:p>
      <w:pPr>
        <w:spacing w:after="360"/>
        <w:jc w:val="center"/>
      </w:pPr>
      <w:r>
        <w:rPr>
          <w:b w:val="0"/>
          <w:sz w:val="24"/>
        </w:rPr>
        <w:t>18/04/2026</w:t>
      </w:r>
    </w:p>
    <w:p>
      <w:pPr>
        <w:spacing w:after="0"/>
        <w:jc w:val="center"/>
      </w:pPr>
      <w:r>
        <w:rPr>
          <w:b/>
          <w:sz w:val="24"/>
        </w:rPr>
        <w:t>Version number:</w:t>
      </w:r>
    </w:p>
    <w:p>
      <w:pPr>
        <w:spacing w:after="720"/>
        <w:jc w:val="center"/>
      </w:pPr>
      <w:r>
        <w:rPr>
          <w:b w:val="0"/>
          <w:sz w:val="24"/>
        </w:rPr>
        <w:t>1.0</w:t>
      </w:r>
    </w:p>
    <w:p>
      <w:pPr>
        <w:spacing w:after="0"/>
        <w:jc w:val="center"/>
      </w:pPr>
      <w:r>
        <w:rPr>
          <w:b/>
          <w:sz w:val="28"/>
        </w:rPr>
        <w:t>Approvals</w:t>
      </w:r>
    </w:p>
    <w:p>
      <w:r>
        <w:br w:type="page"/>
      </w:r>
    </w:p>
    <w:p>
      <w:pPr>
        <w:spacing w:after="360"/>
        <w:jc w:val="center"/>
      </w:pPr>
      <w:r>
        <w:rPr>
          <w:b/>
          <w:sz w:val="40"/>
        </w:rPr>
        <w:t>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Revision history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Distribution</w:t>
            </w:r>
          </w:p>
        </w:tc>
      </w:tr>
    </w:tbl>
    <w:p>
      <w:pPr>
        <w:spacing w:after="240"/>
      </w:pPr>
      <w:r>
        <w:rPr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br w:type="page"/>
      </w:r>
    </w:p>
    <w:p>
      <w:pPr>
        <w:spacing w:after="240"/>
      </w:pPr>
      <w:r>
        <w:rPr>
          <w:b/>
          <w:sz w:val="32"/>
        </w:rPr>
        <w:t>TABLE OF CONTENTS</w:t>
      </w:r>
    </w:p>
    <w:p>
      <w:pPr>
        <w:spacing w:after="360"/>
      </w:pPr>
      <w:r>
        <w:rPr>
          <w:b w:val="0"/>
          <w:sz w:val="22"/>
        </w:rPr>
        <w:t>1</w:t>
        <w:tab/>
        <w:t>Transport Request D01K9B0CDZ</w:t>
        <w:tab/>
        <w:t>4</w:t>
      </w:r>
    </w:p>
    <w:p>
      <w:r>
        <w:br w:type="page"/>
      </w:r>
    </w:p>
    <w:p>
      <w:pPr>
        <w:spacing w:after="240"/>
      </w:pPr>
      <w:r>
        <w:rPr>
          <w:b/>
          <w:sz w:val="36"/>
        </w:rPr>
        <w:t>Transport Request D01K9B0CDZ</w:t>
      </w:r>
    </w:p>
    <w:p>
      <w:pPr>
        <w:spacing w:after="240"/>
      </w:pPr>
      <w:r>
        <w:rPr>
          <w:b/>
          <w:sz w:val="26"/>
        </w:rPr>
        <w:t>Request D01K9B0CDZ: HR-PY / FI-AP : C - Payroll wage-type configuration and payment method supplements</w:t>
      </w:r>
    </w:p>
    <w:p>
      <w:pPr>
        <w:spacing w:after="240"/>
      </w:pPr>
      <w:r>
        <w:rPr>
          <w:b w:val="0"/>
          <w:sz w:val="22"/>
        </w:rPr>
        <w:t>Regarding the transport D01K9B0CDZ, this change corresponds to a routine customizing request combining payroll configuration updates (wage type texts, valuation, averaging and period permissibility) with an FI payment method supplement.</w:t>
      </w:r>
    </w:p>
    <w:p>
      <w:pPr>
        <w:spacing w:after="120"/>
      </w:pPr>
      <w:r>
        <w:rPr>
          <w:b/>
          <w:sz w:val="22"/>
        </w:rPr>
        <w:t>Please note that:</w:t>
      </w:r>
    </w:p>
    <w:p>
      <w:pPr>
        <w:pStyle w:val="ListBullet"/>
      </w:pPr>
      <w:r>
        <w:rPr>
          <w:sz w:val="22"/>
        </w:rPr>
        <w:t>Sub-transport D01K9B0CE0 has been released as part of the same delivery.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240"/>
      </w:pPr>
      <w:r>
        <w:rPr>
          <w:b w:val="0"/>
          <w:sz w:val="22"/>
        </w:rPr>
        <w:t>Please find below the available information in line with your request: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Process Steps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Change Details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Customizing update (7 objects):</w:t>
            </w:r>
          </w:p>
          <w:p>
            <w:r>
              <w:rPr>
                <w:sz w:val="22"/>
              </w:rPr>
              <w:t>• VC_T042ZL – FI payment method supplements (payment program configuration).</w:t>
            </w:r>
          </w:p>
          <w:p>
            <w:r>
              <w:rPr>
                <w:sz w:val="22"/>
              </w:rPr>
              <w:t>• T512T – Wage type text maintenance.</w:t>
            </w:r>
          </w:p>
          <w:p>
            <w:r>
              <w:rPr>
                <w:sz w:val="22"/>
              </w:rPr>
              <w:t>• T512W – Wage type valuation.</w:t>
            </w:r>
          </w:p>
          <w:p>
            <w:r>
              <w:rPr>
                <w:sz w:val="22"/>
              </w:rPr>
              <w:t>• T52DZ – Permissibility of wage types per payroll period.</w:t>
            </w:r>
          </w:p>
          <w:p>
            <w:r>
              <w:rPr>
                <w:sz w:val="22"/>
              </w:rPr>
              <w:t>• T52EL – Valuation bases for averages.</w:t>
            </w:r>
          </w:p>
          <w:p>
            <w:r>
              <w:rPr>
                <w:sz w:val="22"/>
              </w:rPr>
              <w:t>• T52EZ – Averaging rules.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Requester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The request was initiated by the HR Payroll configuration team, with coordination from the FI-AP payment program team for the VC_T042ZL entry. [TO COMPLETE: requester name]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Please see the supporting email.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Approval evidence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Approval is documented via email exchanges between the payroll configuration team and the central coordination team.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Please see the following email. [TO COMPLETE: attach/embed approval email]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 assessment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Standard HR-PY customizing change. The affected tables (T512T, T512W, T52DZ, T52EL, T52EZ) are delta entries for the existing wage-type catalogue and do not alter the overall payroll schema. VC_T042ZL affects FI payment method supplement selection only for the updated key. No impact on existing business transactions outside these delta keys.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Testing, UAT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Given the nature of the change (customizing entries in payroll tables), validation was performed through standard checks in the system and a payroll simulation on representative personnel numbers. Supporting evidence is available in the attached email.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[TO COMPLETE: attach payroll simulation evidence]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Rallback plan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In case of issue, the new/modified wage-type and payment-method entries can be reverted via standard customizing maintenance or a compensating transport. Since the change is configuration only, no code rollback is required.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