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1F3864"/>
          <w:sz w:val="40"/>
          <w:szCs w:val="40"/>
        </w:rPr>
        <w:t xml:space="preserve">FX Revaluation — Root Cause, Fix &amp; Improvement Opportunity</w:t>
      </w:r>
    </w:p>
    <w:p>
      <w:pPr>
        <w:spacing w:after="40"/>
      </w:pPr>
      <w:r>
        <w:rPr>
          <w:color w:val="5B6B7A"/>
          <w:sz w:val="22"/>
          <w:szCs w:val="22"/>
        </w:rPr>
        <w:t xml:space="preserve">Program F.05 / SAPF100 · Company code UNES · Chart of accounts UNES</w:t>
      </w:r>
    </w:p>
    <w:p>
      <w:pPr>
        <w:spacing w:after="40"/>
      </w:pPr>
      <w:r>
        <w:rPr>
          <w:color w:val="5B6B7A"/>
          <w:sz w:val="18"/>
          <w:szCs w:val="18"/>
        </w:rPr>
        <w:t xml:space="preserve">Evidence base: P01 production — T030H, SKB1, T012K, GLT0, BKPF/BSIS, VARI/VARIS + OB09/FS00 screens</w:t>
      </w:r>
    </w:p>
    <w:p>
      <w:pPr>
        <w:spacing w:after="800"/>
      </w:pPr>
      <w:r>
        <w:rPr>
          <w:color w:val="5B6B7A"/>
          <w:sz w:val="18"/>
          <w:szCs w:val="18"/>
        </w:rPr>
        <w:t xml:space="preserve">Prepared by the UNESCO SAP Intelligence Platform · 2026-06-07 · Tier-1 evidence</w:t>
      </w:r>
    </w:p>
    <w:p>
      <w:r>
        <w:rPr>
          <w:b/>
          <w:bCs/>
          <w:color w:val="1F3864"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FX revaluation is one recurring step in the monthly / annual close. Today it is invisible and manual — and that is the real opportunity.</w:t>
            </w:r>
          </w:p>
          <w:p>
            <w:r>
              <w:t xml:space="preserve">Every month, foreign-currency balances must be revalued (F.05 / SAPF100) across 9 company codes. Today this runs </w:t>
            </w:r>
            <w:r>
              <w:rPr>
                <w:b/>
                <w:bCs/>
              </w:rPr>
              <w:t xml:space="preserve">interactively, by individual accountants, with no scheduling, no execution visibility and no audit of whether it actually ran</w:t>
            </w:r>
            <w:r>
              <w:t xml:space="preserve">. The opportunity is not a bug fix — it is to </w:t>
            </w:r>
            <w:r>
              <w:rPr>
                <w:b/>
                <w:bCs/>
              </w:rPr>
              <w:t xml:space="preserve">automate this recurring task and instrument it for visibility</w:t>
            </w:r>
            <w:r>
              <w:t xml:space="preserve">: turn “we think it ran” into “the job log proves it ran, on time, completely.”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The opportunity (primary). </w:t>
      </w:r>
      <w:r>
        <w:t xml:space="preserve">Schedule the close steps as background jobs and make their execution observable. For FX revaluation: SM36 jobs (the infrastructure already exists — </w:t>
      </w:r>
      <w:r>
        <w:rPr>
          <w:rFonts w:ascii="Consolas" w:cs="Consolas" w:eastAsia="Consolas" w:hAnsi="Consolas"/>
          <w:sz w:val="20"/>
          <w:szCs w:val="20"/>
        </w:rPr>
        <w:t xml:space="preserve">SAPF124</w:t>
      </w:r>
      <w:r>
        <w:t xml:space="preserve"> clearing runs this way daily) eliminate </w:t>
      </w:r>
      <w:r>
        <w:rPr>
          <w:b/>
          <w:bCs/>
        </w:rPr>
        <w:t xml:space="preserve">missed months, timing lag, single-point-of-failure, and the absence of a sign-off gate</w:t>
      </w:r>
      <w:r>
        <w:t xml:space="preserve"> — all at once. The 78% timing improvement seen in 2026 was driven only by awareness; jobs make it structural and permanent.</w:t>
      </w:r>
    </w:p>
    <w:p>
      <w:pPr>
        <w:spacing w:after="120"/>
      </w:pPr>
      <w:r>
        <w:rPr>
          <w:b/>
          <w:bCs/>
        </w:rPr>
        <w:t xml:space="preserve">How we know this (methodology: process mining). </w:t>
      </w:r>
      <w:r>
        <w:t xml:space="preserve">We reconstructed the entire reality of this process — who runs it, when, where the gaps are, the configuration and the root cause — purely by </w:t>
      </w:r>
      <w:r>
        <w:rPr>
          <w:b/>
          <w:bCs/>
        </w:rPr>
        <w:t xml:space="preserve">mining logs, data, tables and config</w:t>
      </w:r>
      <w:r>
        <w:t xml:space="preserve"> (BKPF/BSIS, GLT0, T030H, VARI/VARIS, OB09/FS00). No interviews, no guesswork. This is the lens we apply to every domain: read the system, not the documentation.</w:t>
      </w:r>
    </w:p>
    <w:p>
      <w:pPr>
        <w:spacing w:after="120"/>
      </w:pPr>
      <w:r>
        <w:rPr>
          <w:b/>
          <w:bCs/>
        </w:rPr>
        <w:t xml:space="preserve">The error (minor, immediate). </w:t>
      </w:r>
      <w:r>
        <w:t xml:space="preserve">Along the way we found one small configuration item — an unfinished bank sub-account migration in OB09 — that throws a “blocked for posting” error for </w:t>
      </w:r>
      <w:r>
        <w:rPr>
          <w:b/>
          <w:bCs/>
        </w:rPr>
        <w:t xml:space="preserve">2 accounts</w:t>
      </w:r>
      <w:r>
        <w:t xml:space="preserve">. The fix is </w:t>
      </w:r>
      <w:r>
        <w:rPr>
          <w:b/>
          <w:bCs/>
        </w:rPr>
        <w:t xml:space="preserve">two OB09 entries</w:t>
      </w:r>
      <w:r>
        <w:t xml:space="preserve">. It is an immediate adjustment, not the headline.</w:t>
      </w:r>
    </w:p>
    <w:p>
      <w:pPr>
        <w:spacing w:after="120"/>
      </w:pPr>
      <w:r>
        <w:rPr>
          <w:b/>
          <w:bCs/>
        </w:rPr>
        <w:t xml:space="preserve">The bigger picture. </w:t>
      </w:r>
      <w:r>
        <w:t xml:space="preserve">FX revaluation is one of </w:t>
      </w:r>
      <w:r>
        <w:rPr>
          <w:b/>
          <w:bCs/>
        </w:rPr>
        <w:t xml:space="preserve">many recurring close tasks</w:t>
      </w:r>
      <w:r>
        <w:t xml:space="preserve">. The same approach — process-mine to understand the reality, fix the immediate issues with full context, then automate and instrument for visibility — applies across </w:t>
      </w:r>
      <w:r>
        <w:rPr>
          <w:b/>
          <w:bCs/>
        </w:rPr>
        <w:t xml:space="preserve">every domain</w:t>
      </w:r>
      <w:r>
        <w:t xml:space="preserve">. This is how UNESCO SAP moves from reactive incident-handling to a system that knows itself and proves its own close was done.</w:t>
      </w:r>
    </w:p>
    <w:p>
      <w:pPr>
        <w:pStyle w:val="Heading1"/>
      </w:pPr>
      <w:r>
        <w:t xml:space="preserve">2. How the Configuration Works</w:t>
      </w:r>
    </w:p>
    <w:p>
      <w:pPr>
        <w:spacing w:after="120"/>
      </w:pPr>
      <w:r>
        <w:t xml:space="preserve">UNESCO revalues bank accounts in two valid patterns. Across the 944 accounts configured in T030H: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1330"/>
        <w:gridCol w:w="133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Pattern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How it revalues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Accounts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Self-revaluation (HKONT = LKORR)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account is its own adjustment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555 (277 active)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7A4A"/>
              </w:rPr>
              <w:t xml:space="preserve">OK — dominant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Sub-account (BK → S-BK active)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Adjustment posts to a separate active sub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167 (163 active)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7A4A"/>
              </w:rPr>
              <w:t xml:space="preserve">OK — e.g. Ecobank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Sub-account BROKEN (BK → closed sub)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Same method, but the sub was closed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</w:rPr>
              <w:t xml:space="preserve">THE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Empty LKORR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 adjustment (mostly USD = local cur.)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200 (134 active)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C7A4A"/>
              </w:rPr>
              <w:t xml:space="preserve">OK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The 3-account design (sub-account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60"/>
        <w:gridCol w:w="1600"/>
        <w:gridCol w:w="16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What it 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Banco Chile CLP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Ecobank ZWG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BK (main)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Operating account, holds cash. This is what F.05 revalues.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1010574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1094316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S-BK (active sub)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Adjustment account — receives the FX delta. The LKORR in OB09.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7A4A"/>
              </w:rPr>
              <w:t xml:space="preserve">1110574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7A4A"/>
              </w:rPr>
              <w:t xml:space="preserve">1194316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CLOSED S-BK (old sub)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Previous sub, retired and blocked.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1109574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1194314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Numbering convention: </w:t>
      </w:r>
      <w:r>
        <w:t xml:space="preserve">active sub = main + 100000  (</w:t>
      </w:r>
      <w:r>
        <w:rPr>
          <w:rFonts w:ascii="Consolas" w:cs="Consolas" w:eastAsia="Consolas" w:hAnsi="Consolas"/>
          <w:sz w:val="20"/>
          <w:szCs w:val="20"/>
        </w:rPr>
        <w:t xml:space="preserve">1094316 + 100000 = 1194316</w:t>
      </w:r>
      <w:r>
        <w:t xml:space="preserve"> ✓;  </w:t>
      </w:r>
      <w:r>
        <w:rPr>
          <w:rFonts w:ascii="Consolas" w:cs="Consolas" w:eastAsia="Consolas" w:hAnsi="Consolas"/>
          <w:sz w:val="20"/>
          <w:szCs w:val="20"/>
        </w:rPr>
        <w:t xml:space="preserve">1010574 + 100000 = 1110574</w:t>
      </w:r>
      <w:r>
        <w:t xml:space="preserve"> ✓).</w:t>
      </w:r>
    </w:p>
    <w:p>
      <w:pPr>
        <w:pStyle w:val="Heading1"/>
      </w:pPr>
      <w:r>
        <w:t xml:space="preserve">3. Why Ecobank Works and Banco de Chile Fails</w:t>
      </w:r>
    </w:p>
    <w:p>
      <w:pPr>
        <w:spacing w:after="120"/>
      </w:pPr>
      <w:r>
        <w:t xml:space="preserve">Same design, different maintenance: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Ecobank — correct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1094316 (BK) → LKORR 1194316 (S-BK active)</w:t>
            </w:r>
            <w:r>
              <w:t xml:space="preserve">   — points to the active sub, valuation posts cleanly.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Banco de Chile — broken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1010574 (BK) → LKORR 1109574 (CLOSED)</w:t>
            </w:r>
            <w:r>
              <w:t xml:space="preserve">   — should be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1110574</w:t>
            </w:r>
            <w:r>
              <w:t xml:space="preserve"> (active sub). The sub was migrated (old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1109574</w:t>
            </w:r>
            <w:r>
              <w:t xml:space="preserve"> closed → new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1110574</w:t>
            </w:r>
            <w:r>
              <w:t xml:space="preserve">), but OB09 was never updated → </w:t>
            </w:r>
            <w:r>
              <w:rPr>
                <w:b/>
                <w:bCs/>
              </w:rPr>
              <w:t xml:space="preserve">“Account 1109574 blocked for posting.”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Two conditions for the runtime error: </w:t>
      </w:r>
      <w:r>
        <w:t xml:space="preserve">(1) the config points to a closed sub, and (2) the main account carries an FX balance to revalue. No balance → no revaluation → no error.</w:t>
      </w:r>
    </w:p>
    <w:p>
      <w:pPr>
        <w:pStyle w:val="Heading1"/>
      </w:pPr>
      <w:r>
        <w:t xml:space="preserve">4. The Fix — Repoint OB09 (Tactical)</w:t>
      </w:r>
    </w:p>
    <w:p>
      <w:pPr>
        <w:spacing w:after="120"/>
      </w:pPr>
      <w:r>
        <w:rPr>
          <w:b/>
          <w:bCs/>
        </w:rPr>
        <w:t xml:space="preserve">Do NOT unblock the closed subs</w:t>
      </w:r>
      <w:r>
        <w:t xml:space="preserve"> — they were retired on purpose. Finish the migration: repoint the 2 in-scope main accounts to their active sub.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Account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LKORR now (wrong)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LKORR correct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1010574  (CLP)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1109574  (CLOSED)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7A4A"/>
              </w:rPr>
              <w:t xml:space="preserve">1110574  (S-BK active)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1010571  (USD)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1109571  (CLOSED)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7A4A"/>
              </w:rPr>
              <w:t xml:space="preserve">1110571  (S-BK active)</w:t>
            </w:r>
          </w:p>
        </w:tc>
      </w:tr>
    </w:tbl>
    <w:p>
      <w:pPr>
        <w:spacing w:after="80" w:before="120"/>
      </w:pPr>
      <w:r>
        <w:t xml:space="preserve">Transaction: </w:t>
      </w:r>
      <w:r>
        <w:rPr>
          <w:rFonts w:ascii="Consolas" w:cs="Consolas" w:eastAsia="Consolas" w:hAnsi="Consolas"/>
          <w:sz w:val="20"/>
          <w:szCs w:val="20"/>
        </w:rPr>
        <w:t xml:space="preserve">OB09</w:t>
      </w:r>
      <w:r>
        <w:t xml:space="preserve"> (KDF account determination). Effort: 2 config entries. </w:t>
      </w:r>
      <w:r>
        <w:rPr>
          <w:b/>
          <w:bCs/>
        </w:rPr>
        <w:t xml:space="preserve">Confirm with Treasury/accounting</w:t>
      </w:r>
      <w:r>
        <w:t xml:space="preserve"> that </w:t>
      </w:r>
      <w:r>
        <w:rPr>
          <w:rFonts w:ascii="Consolas" w:cs="Consolas" w:eastAsia="Consolas" w:hAnsi="Consolas"/>
          <w:sz w:val="20"/>
          <w:szCs w:val="20"/>
        </w:rPr>
        <w:t xml:space="preserve">1110574 / 1110571</w:t>
      </w:r>
      <w:r>
        <w:t xml:space="preserve"> is the intended migration target before applying.</w:t>
      </w:r>
    </w:p>
    <w:p>
      <w:pPr>
        <w:spacing w:after="120"/>
      </w:pPr>
      <w:r>
        <w:rPr>
          <w:b/>
          <w:bCs/>
        </w:rPr>
        <w:t xml:space="preserve">Also fix in the same pass (hygiene, out of current scope): </w:t>
      </w:r>
      <w:r>
        <w:rPr>
          <w:rFonts w:ascii="Consolas" w:cs="Consolas" w:eastAsia="Consolas" w:hAnsi="Consolas"/>
          <w:sz w:val="20"/>
          <w:szCs w:val="20"/>
        </w:rPr>
        <w:t xml:space="preserve">1143254</w:t>
      </w:r>
      <w:r>
        <w:t xml:space="preserve"> (Citibank Dakar) points to a VND account, and </w:t>
      </w:r>
      <w:r>
        <w:rPr>
          <w:rFonts w:ascii="Consolas" w:cs="Consolas" w:eastAsia="Consolas" w:hAnsi="Consolas"/>
          <w:sz w:val="20"/>
          <w:szCs w:val="20"/>
        </w:rPr>
        <w:t xml:space="preserve">1194316</w:t>
      </w:r>
      <w:r>
        <w:t xml:space="preserve"> (Ecobank ZWG) points to the old ZWL sub.</w:t>
      </w:r>
    </w:p>
    <w:p>
      <w:pPr>
        <w:pStyle w:val="Heading1"/>
      </w:pPr>
      <w:r>
        <w:t xml:space="preserve">5. The Bigger Opportunity — Automate F.05 (Strategic)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The OB09 fix removes one error. Scheduling F.05 as background jobs removes an entire class of problems — and the infrastructure already exists.</w:t>
            </w:r>
          </w:p>
          <w:p>
            <w:r>
              <w:t xml:space="preserve">Today there are </w:t>
            </w:r>
            <w:r>
              <w:rPr>
                <w:b/>
                <w:bCs/>
              </w:rPr>
              <w:t xml:space="preserve">zero SAPF100 background jobs</w:t>
            </w:r>
            <w:r>
              <w:t xml:space="preserve">; all FX revaluation is launched interactively by individual accountants. Meanwhile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SAPF124</w:t>
            </w:r>
            <w:r>
              <w:t xml:space="preserve"> (automatic clearing) already runs </w:t>
            </w:r>
            <w:r>
              <w:rPr>
                <w:b/>
                <w:bCs/>
              </w:rPr>
              <w:t xml:space="preserve">daily as a JOBBATCH job</w:t>
            </w:r>
            <w:r>
              <w:t xml:space="preserve"> — the exact template to copy.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Problem today (manual)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Evidence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After SM36 jobs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Missed months (period closes with no FX revaluation, undetected)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ICTP missed Jul + Nov 2025 and May 2026 (single user, no backup)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Runs regardless of who is present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Timing lag (posted days/weeks after month-end)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 avg up to ~18–24d; 2026 improved but still manual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CPUDT = BUDAT, zero lag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Single-point-of-failure (one accountant, no backup)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ICTP, UBO; ad-hoc cross-coverage in May 2026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 human dependency for the run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 sign-off gate (OB52 locks without checking FX)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ICTP gaps found by data mining months later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Job log = sign-off evidence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 audit trail of “did it run?”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Reconstructed manually from BKPF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SM37 job history, automatic</w:t>
            </w:r>
          </w:p>
        </w:tc>
      </w:tr>
    </w:tbl>
    <w:p>
      <w:pPr>
        <w:spacing w:before="120"/>
      </w:pPr>
      <w:r>
        <w:rPr>
          <w:b/>
          <w:bCs/>
        </w:rPr>
        <w:t xml:space="preserve">Low-risk, high-value: </w:t>
      </w:r>
      <w:r>
        <w:t xml:space="preserve">the pattern is already proven in this system. The 78% timing improvement seen in 2026 was driven only by awareness — jobs would make it </w:t>
      </w:r>
      <w:r>
        <w:rPr>
          <w:b/>
          <w:bCs/>
        </w:rPr>
        <w:t xml:space="preserve">structural and permanent</w:t>
      </w:r>
      <w:r>
        <w:t xml:space="preserve">.</w:t>
      </w:r>
    </w:p>
    <w:p>
      <w:pPr>
        <w:pStyle w:val="Heading1"/>
      </w:pPr>
      <w:r>
        <w:t xml:space="preserve">6. Recommended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 the migration target</w:t>
      </w:r>
      <w:r>
        <w:t xml:space="preserve"> with Treasury/accounting (</w:t>
      </w:r>
      <w:r>
        <w:rPr>
          <w:rFonts w:ascii="Consolas" w:cs="Consolas" w:eastAsia="Consolas" w:hAnsi="Consolas"/>
          <w:sz w:val="20"/>
          <w:szCs w:val="20"/>
        </w:rPr>
        <w:t xml:space="preserve">1110574 / 1110571</w:t>
      </w:r>
      <w:r>
        <w:t xml:space="preserve"> = the active adjustment sub).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Repoint OB09</w:t>
      </w:r>
      <w:r>
        <w:t xml:space="preserve"> for the 2 in-scope accounts (and fix the Citibank/Ecobank mis-mappings in the same change).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</w:t>
      </w:r>
      <w:r>
        <w:t xml:space="preserve"> with an F.05 test run — no “blocked for posting”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Schedule SM36 jobs for SAPF100</w:t>
      </w:r>
      <w:r>
        <w:t xml:space="preserve"> per company code (valuation + reversal), under JOBBATCH — the strategic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an FX sign-off gate</w:t>
      </w:r>
      <w:r>
        <w:t xml:space="preserve"> before OB52 period lock (the job log becomes the evidence).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Close the ICTP coverage gap</w:t>
      </w:r>
      <w:r>
        <w:t xml:space="preserve"> (no balance variant) and assign backups for single-user institutes until jobs remove the dependency.</w:t>
      </w:r>
    </w:p>
    <w:p>
      <w:pPr>
        <w:spacing w:after="60"/>
      </w:pPr>
    </w:p>
    <w:p>
      <w:pPr>
        <w:pBdr>
          <w:top w:val="single" w:color="DDDDDD" w:sz="4" w:space="4"/>
        </w:pBdr>
        <w:spacing w:before="200"/>
      </w:pPr>
      <w:r>
        <w:rPr>
          <w:i/>
          <w:iCs/>
          <w:color w:val="5B6B7A"/>
          <w:sz w:val="16"/>
          <w:szCs w:val="16"/>
        </w:rPr>
        <w:t xml:space="preserve">Living source of truth: knowledge/domains/Closing_Activities/fx_revaluation_process.md  ·  Visual companion: companions/closing_activities_v1.html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B6B7A"/>
        <w:sz w:val="16"/>
        <w:szCs w:val="16"/>
      </w:rPr>
      <w:t xml:space="preserve">Confidential — internal</w:t>
    </w:r>
    <w:r>
      <w:rPr>
        <w:color w:val="5B6B7A"/>
        <w:sz w:val="16"/>
        <w:szCs w:val="16"/>
      </w:rPr>
      <w:t xml:space="preserve">	Page </w:t>
    </w:r>
    <w:r>
      <w:rPr>
        <w:color w:val="5B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color w:val="5B6B7A"/>
        <w:sz w:val="16"/>
        <w:szCs w:val="16"/>
      </w:rPr>
      <w:t xml:space="preserve">UNESCO SAP · Closing Activities · FX Revaluation (F.05 / SAPF100)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2026-06-07T07:06:25.880Z</dcterms:created>
  <dcterms:modified xsi:type="dcterms:W3CDTF">2026-06-07T07:06:25.880Z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