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Arial" w:cs="Arial" w:eastAsia="Arial" w:hAnsi="Arial"/>
          <w:b/>
          <w:bCs/>
          <w:color w:val="1F3864"/>
          <w:sz w:val="64"/>
          <w:szCs w:val="64"/>
        </w:rPr>
        <w:t xml:space="preserve">SAP Transport Orders</w:t>
      </w:r>
    </w:p>
    <w:p>
      <w:pPr>
        <w:spacing w:after="200" w:before="0"/>
        <w:jc w:val="center"/>
      </w:pPr>
      <w:r>
        <w:rPr>
          <w:rFonts w:ascii="Arial" w:cs="Arial" w:eastAsia="Arial" w:hAnsi="Arial"/>
          <w:b/>
          <w:bCs/>
          <w:color w:val="2E75B6"/>
          <w:sz w:val="40"/>
          <w:szCs w:val="40"/>
        </w:rPr>
        <w:t xml:space="preserve">Module Intelligence Supplement II</w:t>
      </w:r>
    </w:p>
    <w:p>
      <w:pPr>
        <w:spacing w:after="0" w:before="200"/>
        <w:jc w:val="center"/>
      </w:pPr>
      <w:r>
        <w:rPr>
          <w:rFonts w:ascii="Arial" w:cs="Arial" w:eastAsia="Arial" w:hAnsi="Arial"/>
          <w:i/>
          <w:iCs/>
          <w:color w:val="555555"/>
          <w:sz w:val="26"/>
          <w:szCs w:val="26"/>
        </w:rPr>
        <w:t xml:space="preserve">Flexible Real Estate (RE-FX)  ·  Dunning Process (FI-AR)</w:t>
      </w:r>
    </w:p>
    <w:p>
      <w:pPr>
        <w:spacing w:after="200" w:before="600"/>
        <w:jc w:val="center"/>
      </w:pPr>
      <w:r>
        <w:rPr>
          <w:rFonts w:ascii="Arial" w:cs="Arial" w:eastAsia="Arial" w:hAnsi="Arial"/>
          <w:color w:val="888888"/>
          <w:sz w:val="22"/>
          <w:szCs w:val="22"/>
        </w:rPr>
        <w:t xml:space="preserve">Version 1.0  |  March 2026</w:t>
      </w:r>
    </w:p>
    <w:p>
      <w:r>
        <w:br w:type="page"/>
      </w:r>
    </w:p>
    <w:p>
      <w:pPr>
        <w:spacing w:after="0" w:before="600"/>
      </w:pPr>
      <w:r>
        <w:rPr>
          <w:rFonts w:ascii="Arial" w:cs="Arial" w:eastAsia="Arial" w:hAnsi="Arial"/>
          <w:b/>
          <w:bCs/>
          <w:color w:val="2E75B6"/>
          <w:sz w:val="20"/>
          <w:szCs w:val="20"/>
        </w:rPr>
        <w:t xml:space="preserve">MODULE 16</w:t>
      </w:r>
    </w:p>
    <w:p>
      <w:pPr>
        <w:spacing w:after="80" w:before="0"/>
      </w:pPr>
      <w:r>
        <w:rPr>
          <w:rFonts w:ascii="Arial" w:cs="Arial" w:eastAsia="Arial" w:hAnsi="Arial"/>
          <w:b/>
          <w:bCs/>
          <w:color w:val="1F3864"/>
          <w:sz w:val="44"/>
          <w:szCs w:val="44"/>
        </w:rPr>
        <w:t xml:space="preserve">Flexible Real Estate Management (RE-FX)</w:t>
      </w:r>
    </w:p>
    <w:p>
      <w:pPr>
        <w:spacing w:after="200" w:before="0"/>
      </w:pPr>
      <w:r>
        <w:rPr>
          <w:rFonts w:ascii="Arial" w:cs="Arial" w:eastAsia="Arial" w:hAnsi="Arial"/>
          <w:i/>
          <w:iCs/>
          <w:color w:val="555555"/>
          <w:sz w:val="24"/>
          <w:szCs w:val="24"/>
        </w:rPr>
        <w:t xml:space="preserve">Architectural Objects, Contracts, Conditions, Cash Flow, Account Determination, Service Charge</w:t>
      </w:r>
    </w:p>
    <w:p>
      <w:pPr>
        <w:pBdr>
          <w:bottom w:val="single" w:color="2E75B6" w:sz="3"/>
        </w:pBdr>
        <w:spacing w:after="200" w:before="0"/>
      </w:pPr>
    </w:p>
    <w:p>
      <w:pPr>
        <w:spacing w:after="80" w:before="80"/>
      </w:pPr>
      <w:r>
        <w:rPr>
          <w:rFonts w:ascii="Arial" w:cs="Arial" w:eastAsia="Arial" w:hAnsi="Arial"/>
          <w:sz w:val="22"/>
          <w:szCs w:val="22"/>
        </w:rPr>
        <w:t xml:space="preserve">SAP RE-FX is architecturally unlike any other SAP module because it straddles master data, operational data, and customizing in a way that is deeply intertwined. The customizing IMG (RECACUST) controls condition types, flow types, account determination symbols, posting rules, and settlement logic — all of which are transported via standard CTS. However, the architectural objects (business entities, buildings, rental units) and contracts (RECN/VICNCN) are master/operational data that is NEVER transported via CTS.</w:t>
      </w:r>
    </w:p>
    <w:p>
      <w:pPr>
        <w:spacing w:after="80" w:before="80"/>
      </w:pPr>
      <w:r>
        <w:rPr>
          <w:rFonts w:ascii="Arial" w:cs="Arial" w:eastAsia="Arial" w:hAnsi="Arial"/>
          <w:sz w:val="22"/>
          <w:szCs w:val="22"/>
        </w:rPr>
        <w:t xml:space="preserve">This dual nature is the primary source of transport errors in RE-FX implementations: consultants confuse customizing objects that must be transported with master data that must be migrated separately.</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16.1  RE-FX Architecture — The Three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Layer</w:t>
            </w:r>
          </w:p>
        </w:tc>
        <w:tc>
          <w:tcPr>
            <w:tcW w:type="dxa" w:w="22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Tables</w:t>
            </w:r>
          </w:p>
        </w:tc>
        <w:tc>
          <w:tcPr>
            <w:tcW w:type="dxa" w:w="49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Transport Method</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bCs/>
                <w:color w:val="000000"/>
                <w:sz w:val="20"/>
                <w:szCs w:val="20"/>
              </w:rPr>
              <w:t xml:space="preserve">Customizing</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TIVCD*, TIVXCA*, TIVOB*, T047*</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Standard CTS (SE09/SE10). All IMG settings via RECACUST. This IS what you transport.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000000"/>
                <w:sz w:val="20"/>
                <w:szCs w:val="20"/>
              </w:rPr>
              <w:t xml:space="preserve">Architectural Master Data</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VIOB01 (Business Entity), VIOB02 (Property), VIOB03 (Building), VIMI01 (Rental Unit)</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NOT transported via CTS. Created manually or via data migration tools (LTMC / BAPI). Must exist in each system independently.</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bCs/>
                <w:color w:val="000000"/>
                <w:sz w:val="20"/>
                <w:szCs w:val="20"/>
              </w:rPr>
              <w:t xml:space="preserve">Contract &amp; Operational Data</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VICNCN (contracts), VICDCFPAY (cash flow), VICDCFOBJ (object CF), VIRADOC (RE documents)</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NEVER transported via CTS. Contract data is operational. In new implementations, created via RECN or bulk upload.</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C00000" w:sz="8"/>
              <w:bottom w:val="none" w:color="FFFFFF" w:sz="0"/>
              <w:right w:val="none" w:color="FFFFFF" w:sz="0"/>
            </w:tcBorders>
            <w:shd w:fill="F2F2F2" w:val="clear"/>
            <w:tcMar>
              <w:top w:type="dxa" w:w="80"/>
              <w:left w:type="dxa" w:w="160"/>
              <w:bottom w:type="dxa" w:w="20"/>
              <w:right w:type="dxa" w:w="80"/>
            </w:tcMar>
          </w:tcPr>
          <w:p>
            <w:r>
              <w:rPr>
                <w:rFonts w:ascii="Arial" w:cs="Arial" w:eastAsia="Arial" w:hAnsi="Arial"/>
                <w:b/>
                <w:bCs/>
                <w:color w:val="C00000"/>
                <w:sz w:val="22"/>
                <w:szCs w:val="22"/>
              </w:rPr>
              <w:t xml:space="preserve">⚠ The Most Common RE-FX Transport Mistake</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Transporting VIOB01, VIOB03, VIMI01, or VICNCN rows via TABU in a customizing request.</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These are delivery class A (application data). They appear in E071 without error but create ghost master data in target.</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In a new implementation: architectural objects must be created FIRST in each system before any contract or condition can be tested.</w:t>
            </w:r>
          </w:p>
        </w:tc>
      </w:tr>
      <w:tr>
        <w:tc>
          <w:tcPr>
            <w:tcW w:type="dxa" w:w="9360"/>
            <w:tcBorders>
              <w:top w:val="none" w:color="FFFFFF" w:sz="0"/>
              <w:left w:val="single" w:color="C00000" w:sz="8"/>
              <w:bottom w:val="single" w:color="BBBBBB" w:sz="1"/>
              <w:right w:val="none" w:color="FFFFFF" w:sz="0"/>
            </w:tcBorders>
            <w:shd w:fill="F2F2F2" w:val="clear"/>
            <w:tcMar>
              <w:top w:type="dxa" w:w="60"/>
              <w:left w:type="dxa" w:w="160"/>
              <w:bottom w:type="dxa" w:w="60"/>
              <w:right w:type="dxa" w:w="80"/>
            </w:tcMar>
          </w:tcPr>
          <w:p>
            <w:r>
              <w:rPr>
                <w:rFonts w:ascii="Arial" w:cs="Arial" w:eastAsia="Arial" w:hAnsi="Arial"/>
                <w:sz w:val="20"/>
                <w:szCs w:val="20"/>
              </w:rPr>
              <w:t xml:space="preserve">If you see TABU VICNCN or TABU VIOB01 in a transport → STOP. This is master data, not configuration.</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16.2  Critical Customizing Objects in RECACUST Transports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Object / Table</w:t>
            </w:r>
          </w:p>
        </w:tc>
        <w:tc>
          <w:tcPr>
            <w:tcW w:type="dxa" w:w="18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RECACUST Path</w:t>
            </w:r>
          </w:p>
        </w:tc>
        <w:tc>
          <w:tcPr>
            <w:tcW w:type="dxa" w:w="51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New vs. Modified — Business Impact</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TIVCDCONDTYPE (Condition Types)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Conditions → Condition Types</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CRITICAL. Condition types define rent, service charges, deposits, adjustments. New = new charge category added to contracts. Modified = condition purpose, frequency rule, or distribution rule changed. A modified condition type recalculates cash flow for ALL contracts using it on next RERAPP (rental accounting) run.</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TIVCDFLOWTYPE (Flow Types)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Conditions → Flow Types</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CRITICAL. Flow types define how conditions post to FI. New = new posting flow added. Modified = posting direction (debit/credit), document type, or reference flow type changed. A wrong flow type modification makes the entire rental posting hit the wrong side of the accounting entry.</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TIVCDFLOWREL (Account Determination)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Accounting → Account Symbols</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CRITICAL — equivalent to T030 in FI. Assigns account symbols to flow types. Modified = G/L account for rent, service charge, or deposit posting changes. Immediate effect on all future RERAPP postings. Silent misdirection of revenue.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TIVOBCONTYPE (Contract Types)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Contract → Contract Types</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 new contract category (lease-in, lease-out, third-party). Modified = allowed condition types, settlement type, or dunning procedure changed for that contract type. Affects all NEW contracts of this type created after transport.</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TIVOBOBTYPE (Object Types)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Master Data → Object Types</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 new real estate object category. Modified = measurement type, usage type, or allowed condition groups changed. Affects what conditions can be placed on rental units of this type.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RECAOYSTATOBJ (Object Statuses)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Basic Settings → Status</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Status profiles for RE objects and contracts. New = new allowed status. Modified = allowed status transitions changed. A transition removed means contracts can no longer be moved to that status — e.g. cannot be activated or terminated.</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TIVSCSET (Settlement Types)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Service Charge → Settlement</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Service charge settlement (Nebenkostenabrechnung) config. Modified = settlement method, distribution key, or cost pool assignment changed. Affects annual service charge settlement run — all tenant allocations recalculate.</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TIVAJINDEX (Rent Adjustment)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Rent Adjustment → Index</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Index-based rent adjustment configuration. New = new index type. Modified = index table assignment or escalation formula changed. Affects REAJ* adjustment run — rent increases apply with different amounts.</w:t>
            </w:r>
          </w:p>
        </w:tc>
      </w:tr>
      <w:tr>
        <w:tc>
          <w:tcPr>
            <w:tcW w:type="dxa" w:w="2400"/>
            <w:tcBorders>
              <w:top w:val="single" w:color="BBBBBB" w:sz="1"/>
              <w:left w:val="single" w:color="BBBBBB" w:sz="1"/>
              <w:bottom w:val="single" w:color="BBBBBB" w:sz="1"/>
              <w:right w:val="single" w:color="BBBBBB" w:sz="1"/>
            </w:tcBorders>
            <w:shd w:fill="FFE0E0" w:val="clear"/>
            <w:tcMar>
              <w:top w:type="dxa" w:w="80"/>
              <w:left w:type="dxa" w:w="100"/>
              <w:bottom w:type="dxa" w:w="80"/>
              <w:right w:type="dxa" w:w="100"/>
            </w:tcMar>
          </w:tcPr>
          <w:p>
            <w:r>
              <w:rPr>
                <w:rFonts w:ascii="Arial" w:cs="Arial" w:eastAsia="Arial" w:hAnsi="Arial"/>
                <w:b w:val="false"/>
                <w:bCs w:val="false"/>
                <w:color w:val="000000"/>
                <w:sz w:val="20"/>
                <w:szCs w:val="20"/>
              </w:rPr>
              <w:t xml:space="preserve">TIVNROBJ (Number Ranges)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Basic Settings → Number Ranges</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CRITICAL. Number ranges for business entities, buildings, rental units, contracts. NEVER transport. Transporting resets current counters. Duplicate object numbers cause data integrity failures. Set manually in each system.</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16.3  Account Determination Chain — The RE-FX Equivalent of T030</w:t>
      </w:r>
    </w:p>
    <w:p>
      <w:pPr>
        <w:spacing w:after="80" w:before="80"/>
      </w:pPr>
      <w:r>
        <w:rPr>
          <w:rFonts w:ascii="Arial" w:cs="Arial" w:eastAsia="Arial" w:hAnsi="Arial"/>
          <w:sz w:val="22"/>
          <w:szCs w:val="22"/>
        </w:rPr>
        <w:t xml:space="preserve">RE-FX account determination is a five-level chain. Every link must be consistent. A transport that modifies any link without updating the downstream links causes FI posting errors during RERAPP. Understanding this chain is essential for any transport review:</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400"/>
        <w:gridCol w:w="4560"/>
      </w:tblGrid>
      <w:tr>
        <w:tc>
          <w:tcPr>
            <w:tcW w:type="dxa" w:w="4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Step</w:t>
            </w:r>
          </w:p>
        </w:tc>
        <w:tc>
          <w:tcPr>
            <w:tcW w:type="dxa" w:w="20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Element</w:t>
            </w:r>
          </w:p>
        </w:tc>
        <w:tc>
          <w:tcPr>
            <w:tcW w:type="dxa" w:w="24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Table</w:t>
            </w:r>
          </w:p>
        </w:tc>
        <w:tc>
          <w:tcPr>
            <w:tcW w:type="dxa" w:w="45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Role in Transport Analysis</w:t>
            </w:r>
          </w:p>
        </w:tc>
      </w:tr>
      <w:tr>
        <w:tc>
          <w:tcPr>
            <w:tcW w:type="dxa" w:w="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1</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Condition Type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TIVCDCONDTYPE</w:t>
            </w:r>
          </w:p>
        </w:tc>
        <w:tc>
          <w:tcPr>
            <w:tcW w:type="dxa" w:w="4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Starting point. Links condition purpose to flow type.</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2</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Flow Type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TIVCDFLOWTYPE</w:t>
            </w:r>
          </w:p>
        </w:tc>
        <w:tc>
          <w:tcPr>
            <w:tcW w:type="dxa" w:w="4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Defines posting class and reference flow type.</w:t>
            </w:r>
          </w:p>
        </w:tc>
      </w:tr>
      <w:tr>
        <w:tc>
          <w:tcPr>
            <w:tcW w:type="dxa" w:w="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3</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Account Determination Value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TIVCDFLOWREL</w:t>
            </w:r>
          </w:p>
        </w:tc>
        <w:tc>
          <w:tcPr>
            <w:tcW w:type="dxa" w:w="4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Links flow type to account symbol (debit/credit side). This is the T030 equivalent — the direct G/L assignment.</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4</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Account Symbol</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RERAZB (RECACUST → RERAZB)</w:t>
            </w:r>
          </w:p>
        </w:tc>
        <w:tc>
          <w:tcPr>
            <w:tcW w:type="dxa" w:w="4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Placeholder symbol. Must be replaced by actual G/L accounts per company code.</w:t>
            </w:r>
          </w:p>
        </w:tc>
      </w:tr>
      <w:tr>
        <w:tc>
          <w:tcPr>
            <w:tcW w:type="dxa" w:w="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5</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G/L Account Replacement</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RERAZA (Account Determination Values)</w:t>
            </w:r>
          </w:p>
        </w:tc>
        <w:tc>
          <w:tcPr>
            <w:tcW w:type="dxa" w:w="45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Actual G/L accounts per company code, accounting system. Company-code-specific — must be maintained in target after transport of steps 1–4.</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C00000" w:sz="8"/>
              <w:bottom w:val="none" w:color="FFFFFF" w:sz="0"/>
              <w:right w:val="none" w:color="FFFFFF" w:sz="0"/>
            </w:tcBorders>
            <w:shd w:fill="F2F2F2" w:val="clear"/>
            <w:tcMar>
              <w:top w:type="dxa" w:w="80"/>
              <w:left w:type="dxa" w:w="160"/>
              <w:bottom w:type="dxa" w:w="20"/>
              <w:right w:type="dxa" w:w="80"/>
            </w:tcMar>
          </w:tcPr>
          <w:p>
            <w:r>
              <w:rPr>
                <w:rFonts w:ascii="Arial" w:cs="Arial" w:eastAsia="Arial" w:hAnsi="Arial"/>
                <w:b/>
                <w:bCs/>
                <w:color w:val="C00000"/>
                <w:sz w:val="22"/>
                <w:szCs w:val="22"/>
              </w:rPr>
              <w:t xml:space="preserve">⚠ G/L Replacement Is Never Fully Transported</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Steps 1–4 of the account determination chain CAN be transported via customizing requests.</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Step 5 (actual G/L account numbers, RERAZA) is company-code-specific and must be verified/maintained manually in each target system.</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If a new flow type is transported but RERAZA is not updated in production, the first RERAPP run after transport fails with 'Account determination: No G/L account found'.</w:t>
            </w:r>
          </w:p>
        </w:tc>
      </w:tr>
      <w:tr>
        <w:tc>
          <w:tcPr>
            <w:tcW w:type="dxa" w:w="9360"/>
            <w:tcBorders>
              <w:top w:val="none" w:color="FFFFFF" w:sz="0"/>
              <w:left w:val="single" w:color="C00000" w:sz="8"/>
              <w:bottom w:val="single" w:color="BBBBBB" w:sz="1"/>
              <w:right w:val="none" w:color="FFFFFF" w:sz="0"/>
            </w:tcBorders>
            <w:shd w:fill="F2F2F2" w:val="clear"/>
            <w:tcMar>
              <w:top w:type="dxa" w:w="60"/>
              <w:left w:type="dxa" w:w="160"/>
              <w:bottom w:type="dxa" w:w="60"/>
              <w:right w:type="dxa" w:w="80"/>
            </w:tcMar>
          </w:tcPr>
          <w:p>
            <w:r>
              <w:rPr>
                <w:rFonts w:ascii="Arial" w:cs="Arial" w:eastAsia="Arial" w:hAnsi="Arial"/>
                <w:sz w:val="20"/>
                <w:szCs w:val="20"/>
              </w:rPr>
              <w:t xml:space="preserve">Always include RERAZA verification in the go-live checklist after any account determination transport.</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16.4  Cash Flow and Condition Data — What Is Operational, What Is Config</w:t>
      </w:r>
    </w:p>
    <w:p>
      <w:pPr>
        <w:spacing w:after="80" w:before="80"/>
      </w:pPr>
      <w:r>
        <w:rPr>
          <w:rFonts w:ascii="Arial" w:cs="Arial" w:eastAsia="Arial" w:hAnsi="Arial"/>
          <w:sz w:val="22"/>
          <w:szCs w:val="22"/>
        </w:rPr>
        <w:t xml:space="preserve">After any customizing transport to production, the system may need to recalculate cash flows for existing contracts. Understanding which tables are affected helps predict the operational impact:</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Table</w:t>
            </w:r>
          </w:p>
        </w:tc>
        <w:tc>
          <w:tcPr>
            <w:tcW w:type="dxa" w:w="20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Type</w:t>
            </w:r>
          </w:p>
        </w:tc>
        <w:tc>
          <w:tcPr>
            <w:tcW w:type="dxa" w:w="53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Transport Impact</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VICDCFPAY</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Operational (cash flow)</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Payment-related cash flow per contract. Pre-calculated from conditions. NOT transported. Regenerated by RERAPP or RECACASHFLOW after customizing changes.</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VICDCFOBJ</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Operational (cash flow)</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Object-side cash flow. NOT transported. If condition type transport changes calculation formula, VICDCFOBJ must be regenerated.</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VICDCOND</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Operational (conditions)</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Active condition records per contract. NOT transported. These are contract-level data. Modified condition type customizing may cause condition recalculation on next RERAPP.</w:t>
            </w:r>
          </w:p>
        </w:tc>
      </w:tr>
      <w:tr>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VIRADOC</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Operational (FI docs)</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RE document header. Generated by RERAPP postings. NOT transported. Posted documents are permanent records.</w:t>
            </w:r>
          </w:p>
        </w:tc>
      </w:tr>
      <w:tr>
        <w:tc>
          <w:tcPr>
            <w:tcW w:type="dxa" w:w="20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VIRADOCITEM</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Operational (FI docs)</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RE document line items. NOT transported. Changing account determination after these exist does NOT retroactively change them.</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16.5  RE-FX Integration with FM — Transport Sequencing (Public Sector)</w:t>
      </w:r>
    </w:p>
    <w:p>
      <w:pPr>
        <w:spacing w:after="80" w:before="80"/>
      </w:pPr>
      <w:r>
        <w:rPr>
          <w:rFonts w:ascii="Arial" w:cs="Arial" w:eastAsia="Arial" w:hAnsi="Arial"/>
          <w:sz w:val="22"/>
          <w:szCs w:val="22"/>
        </w:rPr>
        <w:t xml:space="preserve">For public sector implementations where RE-FX integrates with PSM-FM (e.g. UNESCO context), contracts generate FM commitments. The transport must establish the FM derivation for RE objects before contracts can be activated:</w:t>
      </w:r>
    </w:p>
    <w:p>
      <w:pPr>
        <w:spacing w:after="80" w:before="80"/>
      </w:pP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b/>
          <w:bCs/>
          <w:sz w:val="22"/>
          <w:szCs w:val="22"/>
        </w:rPr>
        <w:t xml:space="preserve">FMDERIVE rule FMDT_READ_MD_RE_CONTRACT: </w:t>
      </w:r>
      <w:r>
        <w:rPr>
          <w:rFonts w:ascii="Arial" w:cs="Arial" w:eastAsia="Arial" w:hAnsi="Arial"/>
          <w:sz w:val="22"/>
          <w:szCs w:val="22"/>
        </w:rPr>
        <w:t xml:space="preserve">Must be activated in FMDERIVE to read FM objects from RE-FX contract. Transport the FMDERIVE structure that includes this rule BEFORE contract activation in target.</w:t>
      </w:r>
    </w:p>
    <w:p>
      <w:pPr>
        <w:pStyle w:val="ListParagraph"/>
        <w:numPr>
          <w:ilvl w:val="0"/>
          <w:numId w:val="2"/>
        </w:numPr>
        <w:spacing w:after="60" w:before="60"/>
      </w:pPr>
      <w:r>
        <w:rPr>
          <w:rFonts w:ascii="Arial" w:cs="Arial" w:eastAsia="Arial" w:hAnsi="Arial"/>
          <w:b/>
          <w:bCs/>
          <w:sz w:val="22"/>
          <w:szCs w:val="22"/>
        </w:rPr>
        <w:t xml:space="preserve">FM account assignment on contract: </w:t>
      </w:r>
      <w:r>
        <w:rPr>
          <w:rFonts w:ascii="Arial" w:cs="Arial" w:eastAsia="Arial" w:hAnsi="Arial"/>
          <w:sz w:val="22"/>
          <w:szCs w:val="22"/>
        </w:rPr>
        <w:t xml:space="preserve">Stored operationally in the contract. Not transported. Must be maintained in each system.</w:t>
      </w:r>
    </w:p>
    <w:p>
      <w:pPr>
        <w:pStyle w:val="ListParagraph"/>
        <w:numPr>
          <w:ilvl w:val="0"/>
          <w:numId w:val="2"/>
        </w:numPr>
        <w:spacing w:after="60" w:before="60"/>
      </w:pPr>
      <w:r>
        <w:rPr>
          <w:rFonts w:ascii="Arial" w:cs="Arial" w:eastAsia="Arial" w:hAnsi="Arial"/>
          <w:b/>
          <w:bCs/>
          <w:sz w:val="22"/>
          <w:szCs w:val="22"/>
        </w:rPr>
        <w:t xml:space="preserve">Business Function RE_FM_EARMARKED_FUND: </w:t>
      </w:r>
      <w:r>
        <w:rPr>
          <w:rFonts w:ascii="Arial" w:cs="Arial" w:eastAsia="Arial" w:hAnsi="Arial"/>
          <w:sz w:val="22"/>
          <w:szCs w:val="22"/>
        </w:rPr>
        <w:t xml:space="preserve">Activates revenue commitment creation from RE contracts. This is a Business Function activation — cross-client, workbench transport, one-time, irreversible. Sequence: FM area → FMDERIVE → BF activation → contract types → contracts.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8"/>
              <w:bottom w:val="none" w:color="FFFFFF" w:sz="0"/>
              <w:right w:val="none" w:color="FFFFFF" w:sz="0"/>
            </w:tcBorders>
            <w:shd w:fill="F2F2F2" w:val="clear"/>
            <w:tcMar>
              <w:top w:type="dxa" w:w="80"/>
              <w:left w:type="dxa" w:w="160"/>
              <w:bottom w:type="dxa" w:w="20"/>
              <w:right w:type="dxa" w:w="80"/>
            </w:tcMar>
          </w:tcPr>
          <w:p>
            <w:r>
              <w:rPr>
                <w:rFonts w:ascii="Arial" w:cs="Arial" w:eastAsia="Arial" w:hAnsi="Arial"/>
                <w:b/>
                <w:bCs/>
                <w:color w:val="2E75B6"/>
                <w:sz w:val="22"/>
                <w:szCs w:val="22"/>
              </w:rPr>
              <w:t xml:space="preserve">⚠ RE-FX New Implementation Transport Checklist</w:t>
            </w:r>
          </w:p>
        </w:tc>
      </w:tr>
      <w:tr>
        <w:tc>
          <w:tcPr>
            <w:tcW w:type="dxa" w:w="9360"/>
            <w:tcBorders>
              <w:top w:val="none" w:color="FFFFFF" w:sz="0"/>
              <w:left w:val="single" w:color="2E75B6"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1. Activate EA-FIN (Enterprise Extension Financials) — cross-client workbench transport, one-time.</w:t>
            </w:r>
          </w:p>
        </w:tc>
      </w:tr>
      <w:tr>
        <w:tc>
          <w:tcPr>
            <w:tcW w:type="dxa" w:w="9360"/>
            <w:tcBorders>
              <w:top w:val="none" w:color="FFFFFF" w:sz="0"/>
              <w:left w:val="single" w:color="2E75B6"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2. Transport RECACUST object types, contract types, condition types, flow types.</w:t>
            </w:r>
          </w:p>
        </w:tc>
      </w:tr>
      <w:tr>
        <w:tc>
          <w:tcPr>
            <w:tcW w:type="dxa" w:w="9360"/>
            <w:tcBorders>
              <w:top w:val="none" w:color="FFFFFF" w:sz="0"/>
              <w:left w:val="single" w:color="2E75B6"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3. Transport account determination chain (TIVCDFLOWREL, account symbols). Verify G/L replacement (RERAZA) manually in target.</w:t>
            </w:r>
          </w:p>
        </w:tc>
      </w:tr>
      <w:tr>
        <w:tc>
          <w:tcPr>
            <w:tcW w:type="dxa" w:w="9360"/>
            <w:tcBorders>
              <w:top w:val="none" w:color="FFFFFF" w:sz="0"/>
              <w:left w:val="single" w:color="2E75B6"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4. Transport status profiles and number range OBJECTS (NROB). NEVER transport number range current status.</w:t>
            </w:r>
          </w:p>
        </w:tc>
      </w:tr>
      <w:tr>
        <w:tc>
          <w:tcPr>
            <w:tcW w:type="dxa" w:w="9360"/>
            <w:tcBorders>
              <w:top w:val="none" w:color="FFFFFF" w:sz="0"/>
              <w:left w:val="single" w:color="2E75B6"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5. Create architectural master data (business entities, buildings, rental units) via RECN/RE80 directly in each target system — NOT via transport.</w:t>
            </w:r>
          </w:p>
        </w:tc>
      </w:tr>
      <w:tr>
        <w:tc>
          <w:tcPr>
            <w:tcW w:type="dxa" w:w="9360"/>
            <w:tcBorders>
              <w:top w:val="none" w:color="FFFFFF" w:sz="0"/>
              <w:left w:val="single" w:color="2E75B6"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6. Transport service charge settlement types and settlement step definitions if using Nebenkostenabrechnung.</w:t>
            </w:r>
          </w:p>
        </w:tc>
      </w:tr>
      <w:tr>
        <w:tc>
          <w:tcPr>
            <w:tcW w:type="dxa" w:w="9360"/>
            <w:tcBorders>
              <w:top w:val="none" w:color="FFFFFF" w:sz="0"/>
              <w:left w:val="single" w:color="2E75B6"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7. Verify RECACC (Check Customizing) transaction in target — shows all missing customizing entries.</w:t>
            </w:r>
          </w:p>
        </w:tc>
      </w:tr>
      <w:tr>
        <w:tc>
          <w:tcPr>
            <w:tcW w:type="dxa" w:w="9360"/>
            <w:tcBorders>
              <w:top w:val="none" w:color="FFFFFF" w:sz="0"/>
              <w:left w:val="single" w:color="2E75B6" w:sz="8"/>
              <w:bottom w:val="single" w:color="BBBBBB" w:sz="1"/>
              <w:right w:val="none" w:color="FFFFFF" w:sz="0"/>
            </w:tcBorders>
            <w:shd w:fill="F2F2F2" w:val="clear"/>
            <w:tcMar>
              <w:top w:type="dxa" w:w="60"/>
              <w:left w:type="dxa" w:w="160"/>
              <w:bottom w:type="dxa" w:w="60"/>
              <w:right w:type="dxa" w:w="80"/>
            </w:tcMar>
          </w:tcPr>
          <w:p>
            <w:r>
              <w:rPr>
                <w:rFonts w:ascii="Arial" w:cs="Arial" w:eastAsia="Arial" w:hAnsi="Arial"/>
                <w:sz w:val="20"/>
                <w:szCs w:val="20"/>
              </w:rPr>
              <w:t xml:space="preserve">8. If FM-integrated: transport FMDERIVE rules before activating contracts.</w:t>
            </w:r>
          </w:p>
        </w:tc>
      </w:tr>
    </w:tbl>
    <w:p>
      <w:pPr>
        <w:spacing w:after="80" w:before="80"/>
      </w:pPr>
      <w:r>
        <w:rPr>
          <w:rFonts w:ascii="Arial" w:cs="Arial" w:eastAsia="Arial" w:hAnsi="Arial"/>
          <w:sz w:val="22"/>
          <w:szCs w:val="22"/>
        </w:rPr>
        <w:t xml:space="preserve"/>
      </w:r>
    </w:p>
    <w:p>
      <w:r>
        <w:br w:type="page"/>
      </w:r>
    </w:p>
    <w:p>
      <w:pPr>
        <w:spacing w:after="0" w:before="600"/>
      </w:pPr>
      <w:r>
        <w:rPr>
          <w:rFonts w:ascii="Arial" w:cs="Arial" w:eastAsia="Arial" w:hAnsi="Arial"/>
          <w:b/>
          <w:bCs/>
          <w:color w:val="2E75B6"/>
          <w:sz w:val="20"/>
          <w:szCs w:val="20"/>
        </w:rPr>
        <w:t xml:space="preserve">MODULE 17</w:t>
      </w:r>
    </w:p>
    <w:p>
      <w:pPr>
        <w:spacing w:after="80" w:before="0"/>
      </w:pPr>
      <w:r>
        <w:rPr>
          <w:rFonts w:ascii="Arial" w:cs="Arial" w:eastAsia="Arial" w:hAnsi="Arial"/>
          <w:b/>
          <w:bCs/>
          <w:color w:val="1F3864"/>
          <w:sz w:val="44"/>
          <w:szCs w:val="44"/>
        </w:rPr>
        <w:t xml:space="preserve">Dunning Process (FI-AR/FI-AP)</w:t>
      </w:r>
    </w:p>
    <w:p>
      <w:pPr>
        <w:spacing w:after="200" w:before="0"/>
      </w:pPr>
      <w:r>
        <w:rPr>
          <w:rFonts w:ascii="Arial" w:cs="Arial" w:eastAsia="Arial" w:hAnsi="Arial"/>
          <w:i/>
          <w:iCs/>
          <w:color w:val="555555"/>
          <w:sz w:val="24"/>
          <w:szCs w:val="24"/>
        </w:rPr>
        <w:t xml:space="preserve">Dunning Procedures, Levels, Charges, Correspondence, RE-FX Dunning Integration</w:t>
      </w:r>
    </w:p>
    <w:p>
      <w:pPr>
        <w:pBdr>
          <w:bottom w:val="single" w:color="2E75B6" w:sz="3"/>
        </w:pBdr>
        <w:spacing w:after="200" w:before="0"/>
      </w:pPr>
    </w:p>
    <w:p>
      <w:pPr>
        <w:spacing w:after="80" w:before="80"/>
      </w:pPr>
      <w:r>
        <w:rPr>
          <w:rFonts w:ascii="Arial" w:cs="Arial" w:eastAsia="Arial" w:hAnsi="Arial"/>
          <w:sz w:val="22"/>
          <w:szCs w:val="22"/>
        </w:rPr>
        <w:t xml:space="preserve">The SAP dunning process is the automated mechanism for sending payment reminders and escalating overdue receivables. Dunning customizing (T047 table family) controls the entire behavior: procedures, levels, escalation timing, charges, interest calculation, and correspondence forms. A transport mistake in dunning configuration does not break postings immediately — but it generates incorrect or missing dunning letters for all affected customers, which is a legal and contractual risk in real estate and public sector contexts.</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17.1  The Dunning Configuration Object Hierarchy</w:t>
      </w:r>
    </w:p>
    <w:p>
      <w:pPr>
        <w:spacing w:after="80" w:before="80"/>
      </w:pPr>
      <w:r>
        <w:rPr>
          <w:rFonts w:ascii="Arial" w:cs="Arial" w:eastAsia="Arial" w:hAnsi="Arial"/>
          <w:sz w:val="22"/>
          <w:szCs w:val="22"/>
        </w:rPr>
        <w:t xml:space="preserve">Dunning configuration is hierarchical. The dunning procedure (FBMP) is the top-level container. All other objects depend on it. When transporting dunning configuration, always transport the full hierarchy — never just one level in isolation:</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400"/>
        <w:gridCol w:w="4360"/>
      </w:tblGrid>
      <w:tr>
        <w:tc>
          <w:tcPr>
            <w:tcW w:type="dxa" w:w="4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Level</w:t>
            </w:r>
          </w:p>
        </w:tc>
        <w:tc>
          <w:tcPr>
            <w:tcW w:type="dxa" w:w="22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Object</w:t>
            </w:r>
          </w:p>
        </w:tc>
        <w:tc>
          <w:tcPr>
            <w:tcW w:type="dxa" w:w="24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Table</w:t>
            </w:r>
          </w:p>
        </w:tc>
        <w:tc>
          <w:tcPr>
            <w:tcW w:type="dxa" w:w="43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Content</w:t>
            </w:r>
          </w:p>
        </w:tc>
      </w:tr>
      <w:tr>
        <w:tc>
          <w:tcPr>
            <w:tcW w:type="dxa" w:w="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1</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Dunning Procedure</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T047T (names), T047A (controls)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Top container. Defines: interval in days between dunning runs, max dunning levels (1–9), total due items aggregation level, grace periods.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2</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Dunning Levels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T047B</w:t>
            </w:r>
          </w:p>
        </w:tc>
        <w:tc>
          <w:tcPr>
            <w:tcW w:type="dxa" w:w="4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Per level: minimum days in arrears, 'always dun' flag, grace period override, print indicator.</w:t>
            </w:r>
          </w:p>
        </w:tc>
      </w:tr>
      <w:tr>
        <w:tc>
          <w:tcPr>
            <w:tcW w:type="dxa" w:w="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3</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Dunning Charges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T047C</w:t>
            </w:r>
          </w:p>
        </w:tc>
        <w:tc>
          <w:tcPr>
            <w:tcW w:type="dxa" w:w="4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Charges posted per dunning level (fixed or percentage). New charge = dunning produces an FI posting. Modified = charge amount changes on future dunning runs.</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4</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Dunning Texts (Form)</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T047E (form selection), T047I (standard texts)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Links dunning level to SAPscript/Smartform/Adobe form. Modified = different letter template used. Legal risk: incorrect notice format.</w:t>
            </w:r>
          </w:p>
        </w:tc>
      </w:tr>
      <w:tr>
        <w:tc>
          <w:tcPr>
            <w:tcW w:type="dxa" w:w="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5</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Dunning Areas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T047M (areas), T047N (texts)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Sub-unit of company code for dunning (e.g. different dunning area per business unit or RE portfolio). New area = new dunning scope. Missing in target = dunning run fails for that area.</w:t>
            </w:r>
          </w:p>
        </w:tc>
      </w:tr>
      <w:tr>
        <w:tc>
          <w:tcPr>
            <w:tcW w:type="dxa" w:w="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6</w:t>
            </w:r>
          </w:p>
        </w:tc>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Grouping Rules</w:t>
            </w:r>
          </w:p>
        </w:tc>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T047R, T047S</w:t>
            </w:r>
          </w:p>
        </w:tc>
        <w:tc>
          <w:tcPr>
            <w:tcW w:type="dxa" w:w="4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Controls how line items are grouped on the same dunning notice. Modified = grouping logic changes → tenant may receive multiple letters instead of one.</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17.2  Critical Dunning Tables — Transport Semantics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360"/>
      </w:tblGrid>
      <w:tr>
        <w:tc>
          <w:tcPr>
            <w:tcW w:type="dxa" w:w="22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Table</w:t>
            </w:r>
          </w:p>
        </w:tc>
        <w:tc>
          <w:tcPr>
            <w:tcW w:type="dxa" w:w="18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T-Code</w:t>
            </w:r>
          </w:p>
        </w:tc>
        <w:tc>
          <w:tcPr>
            <w:tcW w:type="dxa" w:w="53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New vs. Modified — Impact</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T047 (Company Code Control)</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FBMP / OBD3</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Company-code-level dunning activation. New = dunning activated for a company code. Modified = dunning clerk assignment or dunning area default changed.</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T047A (Account Level Control)</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FBMP</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Dunning procedure definition header. Contains: interval (days), max level, minimum amounts. Modified interval = dunning runs more or less frequently. Modified max level = customers never escalate beyond a lower level.</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T047B (Level Control)</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FBMP → Levels</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CRITICAL for timing. Modified 'days in arrears' = dunning level 3 (e.g. 'legal warning') triggers earlier or later. Modified 'always dun' flag = items included/excluded from notice regardless of amount. Legal risk in RE-FX: incorrect legal dunning timing violates tenancy law in many countries.</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T047C (Charges)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FBMP → Charges</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Dunning charge amounts per level. New charge at level 3 = automatic FI posting when legal notice issued. Modified amount = different charge applied. Must align with contracts and legal requirements.</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T047E (Form Selection)</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FBMP → Dunning Texts</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Links dunning level to a specific form/template. Modified = wrong form printed. If GDPR, tenancy law, or UN compliance requires specific notice language, a wrong form transport is a legal compliance risk.</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T047H (Marginal Amounts)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FBMP → Amounts</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Minimum overdue amount before dunning triggers. Modified = customers with small balances may start or stop receiving notices. Affects cash collection completeness.</w:t>
            </w:r>
          </w:p>
        </w:tc>
      </w:tr>
      <w:tr>
        <w:tc>
          <w:tcPr>
            <w:tcW w:type="dxa" w:w="22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T047M (Dunning Areas)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OBD2</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New dunning area = new organizational dunning scope. Must exist in target before F150 dunning run references it.</w:t>
            </w:r>
          </w:p>
        </w:tc>
      </w:tr>
      <w:tr>
        <w:tc>
          <w:tcPr>
            <w:tcW w:type="dxa" w:w="22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KNB5 (Customer Dunning Data)</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XD02 / FD02</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Customer master dunning procedure assignment. This is MASTER DATA — not customizing. Should NOT be in a transport. If present, review whether developer captured customer master changes accidentally.</w:t>
            </w:r>
          </w:p>
        </w:tc>
      </w:tr>
      <w:tr>
        <w:tc>
          <w:tcPr>
            <w:tcW w:type="dxa" w:w="2200"/>
            <w:tcBorders>
              <w:top w:val="single" w:color="BBBBBB" w:sz="1"/>
              <w:left w:val="single" w:color="BBBBBB" w:sz="1"/>
              <w:bottom w:val="single" w:color="BBBBBB" w:sz="1"/>
              <w:right w:val="single" w:color="BBBBBB" w:sz="1"/>
            </w:tcBorders>
            <w:shd w:fill="FFE0E0" w:val="clear"/>
            <w:tcMar>
              <w:top w:type="dxa" w:w="80"/>
              <w:left w:type="dxa" w:w="100"/>
              <w:bottom w:type="dxa" w:w="80"/>
              <w:right w:type="dxa" w:w="100"/>
            </w:tcMar>
          </w:tcPr>
          <w:p>
            <w:r>
              <w:rPr>
                <w:rFonts w:ascii="Arial" w:cs="Arial" w:eastAsia="Arial" w:hAnsi="Arial"/>
                <w:b w:val="false"/>
                <w:bCs w:val="false"/>
                <w:color w:val="000000"/>
                <w:sz w:val="20"/>
                <w:szCs w:val="20"/>
              </w:rPr>
              <w:t xml:space="preserve">MHND (Dunning History)</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F150 operational</w:t>
            </w:r>
          </w:p>
        </w:tc>
        <w:tc>
          <w:tcPr>
            <w:tcW w:type="dxa" w:w="53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ALARM: MHND is the dunning history table — operational data. NEVER transport. If present in a transport, reject immediately. Transporting dunning history corrupts the dunning run base data in target.</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17.3  RE-FX Dunning — How It Differs From Standard FI Dunning</w:t>
      </w:r>
    </w:p>
    <w:p>
      <w:pPr>
        <w:spacing w:after="80" w:before="80"/>
      </w:pPr>
      <w:r>
        <w:rPr>
          <w:rFonts w:ascii="Arial" w:cs="Arial" w:eastAsia="Arial" w:hAnsi="Arial"/>
          <w:sz w:val="22"/>
          <w:szCs w:val="22"/>
        </w:rPr>
        <w:t xml:space="preserve">RE-FX uses the standard FI dunning engine (F150/FBMP) but adds a layer of contract-specific dunning configuration via RECACUST. For real estate contracts, dunning is linked to the posting term within the contract, which determines the dunning area and dunning procedure applicable to each tenant:</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RE-FX Dunning Object</w:t>
            </w:r>
          </w:p>
        </w:tc>
        <w:tc>
          <w:tcPr>
            <w:tcW w:type="dxa" w:w="20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Where Configured</w:t>
            </w:r>
          </w:p>
        </w:tc>
        <w:tc>
          <w:tcPr>
            <w:tcW w:type="dxa" w:w="47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Transport Consideration</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Posting Term → Dunning Parameters</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RECACUST / Contract type</w:t>
            </w:r>
          </w:p>
        </w:tc>
        <w:tc>
          <w:tcPr>
            <w:tcW w:type="dxa" w:w="4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Dunning procedure and dunning area assigned at the contract posting term level. New contract type transport must include consistent dunning term defaults. If dunning procedure referenced doesn't exist in target → contract cannot be processed by F150.</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Correspondence Activity: Dun Approval</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RECACUST → Correspondence</w:t>
            </w:r>
          </w:p>
        </w:tc>
        <w:tc>
          <w:tcPr>
            <w:tcW w:type="dxa" w:w="4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RE-FX uses correspondence activities for dunning approval workflow. Transport must include correspondence activity types. Missing activity type = dunning approval workflow cannot start.</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Dunning Procedure on Contract Account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Operational (contract)</w:t>
            </w:r>
          </w:p>
        </w:tc>
        <w:tc>
          <w:tcPr>
            <w:tcW w:type="dxa" w:w="4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The actual dunning procedure assignment per contract account is OPERATIONAL data — not customizing. Set automatically from contract type defaults or manually per contract. Not transported.</w:t>
            </w:r>
          </w:p>
        </w:tc>
      </w:tr>
      <w:tr>
        <w:tc>
          <w:tcPr>
            <w:tcW w:type="dxa" w:w="26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Dunning Block on Contract</w:t>
            </w:r>
          </w:p>
        </w:tc>
        <w:tc>
          <w:tcPr>
            <w:tcW w:type="dxa" w:w="2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Operational (contract)</w:t>
            </w:r>
          </w:p>
        </w:tc>
        <w:tc>
          <w:tcPr>
            <w:tcW w:type="dxa" w:w="47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Dunning block flag per contract or line item. Operational. Never transport. Set directly in RECN or FD02.</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2E75B6" w:sz="8"/>
              <w:bottom w:val="none" w:color="FFFFFF" w:sz="0"/>
              <w:right w:val="none" w:color="FFFFFF" w:sz="0"/>
            </w:tcBorders>
            <w:shd w:fill="F2F2F2" w:val="clear"/>
            <w:tcMar>
              <w:top w:type="dxa" w:w="80"/>
              <w:left w:type="dxa" w:w="160"/>
              <w:bottom w:type="dxa" w:w="20"/>
              <w:right w:type="dxa" w:w="80"/>
            </w:tcMar>
          </w:tcPr>
          <w:p>
            <w:r>
              <w:rPr>
                <w:rFonts w:ascii="Arial" w:cs="Arial" w:eastAsia="Arial" w:hAnsi="Arial"/>
                <w:b/>
                <w:bCs/>
                <w:color w:val="2E75B6"/>
                <w:sz w:val="22"/>
                <w:szCs w:val="22"/>
              </w:rPr>
              <w:t xml:space="preserve">⚠ RE-FX Dunning Transport Sequence</w:t>
            </w:r>
          </w:p>
        </w:tc>
      </w:tr>
      <w:tr>
        <w:tc>
          <w:tcPr>
            <w:tcW w:type="dxa" w:w="9360"/>
            <w:tcBorders>
              <w:top w:val="none" w:color="FFFFFF" w:sz="0"/>
              <w:left w:val="single" w:color="2E75B6"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1. Transport dunning procedures (T047 family via FBMP customizing) — this is standard FI customizing.</w:t>
            </w:r>
          </w:p>
        </w:tc>
      </w:tr>
      <w:tr>
        <w:tc>
          <w:tcPr>
            <w:tcW w:type="dxa" w:w="9360"/>
            <w:tcBorders>
              <w:top w:val="none" w:color="FFFFFF" w:sz="0"/>
              <w:left w:val="single" w:color="2E75B6"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2. Transport RE-FX contract types with dunning procedure defaults (TIVOBCONTYPE + posting term defaults).</w:t>
            </w:r>
          </w:p>
        </w:tc>
      </w:tr>
      <w:tr>
        <w:tc>
          <w:tcPr>
            <w:tcW w:type="dxa" w:w="9360"/>
            <w:tcBorders>
              <w:top w:val="none" w:color="FFFFFF" w:sz="0"/>
              <w:left w:val="single" w:color="2E75B6"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3. Transport correspondence activity types for dunning approval workflow (RECACUST → Correspondence).</w:t>
            </w:r>
          </w:p>
        </w:tc>
      </w:tr>
      <w:tr>
        <w:tc>
          <w:tcPr>
            <w:tcW w:type="dxa" w:w="9360"/>
            <w:tcBorders>
              <w:top w:val="none" w:color="FFFFFF" w:sz="0"/>
              <w:left w:val="single" w:color="2E75B6"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4. Verify dunning areas (T047M) exist in target — create manually if not included in transport.</w:t>
            </w:r>
          </w:p>
        </w:tc>
      </w:tr>
      <w:tr>
        <w:tc>
          <w:tcPr>
            <w:tcW w:type="dxa" w:w="9360"/>
            <w:tcBorders>
              <w:top w:val="none" w:color="FFFFFF" w:sz="0"/>
              <w:left w:val="single" w:color="2E75B6"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5. Verify correspondence forms (SAPscript/Smartform) are present in target — these are separate workbench transports.</w:t>
            </w:r>
          </w:p>
        </w:tc>
      </w:tr>
      <w:tr>
        <w:tc>
          <w:tcPr>
            <w:tcW w:type="dxa" w:w="9360"/>
            <w:tcBorders>
              <w:top w:val="none" w:color="FFFFFF" w:sz="0"/>
              <w:left w:val="single" w:color="2E75B6" w:sz="8"/>
              <w:bottom w:val="single" w:color="BBBBBB" w:sz="1"/>
              <w:right w:val="none" w:color="FFFFFF" w:sz="0"/>
            </w:tcBorders>
            <w:shd w:fill="F2F2F2" w:val="clear"/>
            <w:tcMar>
              <w:top w:type="dxa" w:w="60"/>
              <w:left w:type="dxa" w:w="160"/>
              <w:bottom w:type="dxa" w:w="60"/>
              <w:right w:type="dxa" w:w="80"/>
            </w:tcMar>
          </w:tcPr>
          <w:p>
            <w:r>
              <w:rPr>
                <w:rFonts w:ascii="Arial" w:cs="Arial" w:eastAsia="Arial" w:hAnsi="Arial"/>
                <w:sz w:val="20"/>
                <w:szCs w:val="20"/>
              </w:rPr>
              <w:t xml:space="preserve">6. Run F150 in simulation mode in target QA before production — verify correct procedure picked up for RE contracts.</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17.4  Dunning Interest and Charges — The Hidden FI Posting Risk</w:t>
      </w:r>
    </w:p>
    <w:p>
      <w:pPr>
        <w:spacing w:after="80" w:before="80"/>
      </w:pPr>
      <w:r>
        <w:rPr>
          <w:rFonts w:ascii="Arial" w:cs="Arial" w:eastAsia="Arial" w:hAnsi="Arial"/>
          <w:sz w:val="22"/>
          <w:szCs w:val="22"/>
        </w:rPr>
        <w:t xml:space="preserve">When dunning charges (T047C) are configured with non-zero amounts, dunning level escalation POSTS FI documents automatically. This is not a letter — it creates real accounting entries. These postings use the document type and G/L accounts defined in the dunning procedure. A transport mistake here has direct financial consequences:</w:t>
      </w:r>
    </w:p>
    <w:p>
      <w:pPr>
        <w:spacing w:after="80" w:before="80"/>
      </w:pPr>
      <w:r>
        <w:rPr>
          <w:rFonts w:ascii="Arial" w:cs="Arial" w:eastAsia="Arial" w:hAnsi="Arial"/>
          <w:sz w:val="22"/>
          <w:szCs w:val="22"/>
        </w:rPr>
        <w:t xml:space="preserve"/>
      </w:r>
    </w:p>
    <w:p>
      <w:pPr>
        <w:pStyle w:val="ListParagraph"/>
        <w:numPr>
          <w:ilvl w:val="0"/>
          <w:numId w:val="2"/>
        </w:numPr>
        <w:spacing w:after="60" w:before="60"/>
      </w:pPr>
      <w:r>
        <w:rPr>
          <w:rFonts w:ascii="Arial" w:cs="Arial" w:eastAsia="Arial" w:hAnsi="Arial"/>
          <w:b/>
          <w:bCs/>
          <w:sz w:val="22"/>
          <w:szCs w:val="22"/>
        </w:rPr>
        <w:t xml:space="preserve">Dunning charge transport to production with higher amounts: </w:t>
      </w:r>
      <w:r>
        <w:rPr>
          <w:rFonts w:ascii="Arial" w:cs="Arial" w:eastAsia="Arial" w:hAnsi="Arial"/>
          <w:sz w:val="22"/>
          <w:szCs w:val="22"/>
        </w:rPr>
        <w:t xml:space="preserve">All future dunning runs at that level automatically post larger charges. Cannot be reversed retroactively for notices already issued.</w:t>
      </w:r>
    </w:p>
    <w:p>
      <w:pPr>
        <w:pStyle w:val="ListParagraph"/>
        <w:numPr>
          <w:ilvl w:val="0"/>
          <w:numId w:val="2"/>
        </w:numPr>
        <w:spacing w:after="60" w:before="60"/>
      </w:pPr>
      <w:r>
        <w:rPr>
          <w:rFonts w:ascii="Arial" w:cs="Arial" w:eastAsia="Arial" w:hAnsi="Arial"/>
          <w:b/>
          <w:bCs/>
          <w:sz w:val="22"/>
          <w:szCs w:val="22"/>
        </w:rPr>
        <w:t xml:space="preserve">Wrong document type in dunning (T047): </w:t>
      </w:r>
      <w:r>
        <w:rPr>
          <w:rFonts w:ascii="Arial" w:cs="Arial" w:eastAsia="Arial" w:hAnsi="Arial"/>
          <w:sz w:val="22"/>
          <w:szCs w:val="22"/>
        </w:rPr>
        <w:t xml:space="preserve">Charge postings use incorrect FI document type. May not be reversible with standard reversal tools.</w:t>
      </w:r>
    </w:p>
    <w:p>
      <w:pPr>
        <w:pStyle w:val="ListParagraph"/>
        <w:numPr>
          <w:ilvl w:val="0"/>
          <w:numId w:val="2"/>
        </w:numPr>
        <w:spacing w:after="60" w:before="60"/>
      </w:pPr>
      <w:r>
        <w:rPr>
          <w:rFonts w:ascii="Arial" w:cs="Arial" w:eastAsia="Arial" w:hAnsi="Arial"/>
          <w:b/>
          <w:bCs/>
          <w:sz w:val="22"/>
          <w:szCs w:val="22"/>
        </w:rPr>
        <w:t xml:space="preserve">Interest calculation rates (T056Z): </w:t>
      </w:r>
      <w:r>
        <w:rPr>
          <w:rFonts w:ascii="Arial" w:cs="Arial" w:eastAsia="Arial" w:hAnsi="Arial"/>
          <w:sz w:val="22"/>
          <w:szCs w:val="22"/>
        </w:rPr>
        <w:t xml:space="preserve">Modified interest rate table changes the interest calculated for overdue balances at all future dunning runs. Overcharging customers violates consumer protection regulations.</w:t>
      </w:r>
    </w:p>
    <w:p>
      <w:pPr>
        <w:pStyle w:val="ListParagraph"/>
        <w:numPr>
          <w:ilvl w:val="0"/>
          <w:numId w:val="2"/>
        </w:numPr>
        <w:spacing w:after="60" w:before="60"/>
      </w:pPr>
      <w:r>
        <w:rPr>
          <w:rFonts w:ascii="Arial" w:cs="Arial" w:eastAsia="Arial" w:hAnsi="Arial"/>
          <w:b/>
          <w:bCs/>
          <w:sz w:val="22"/>
          <w:szCs w:val="22"/>
        </w:rPr>
        <w:t xml:space="preserve">Missing G/L accounts for dunning charges: </w:t>
      </w:r>
      <w:r>
        <w:rPr>
          <w:rFonts w:ascii="Arial" w:cs="Arial" w:eastAsia="Arial" w:hAnsi="Arial"/>
          <w:sz w:val="22"/>
          <w:szCs w:val="22"/>
        </w:rPr>
        <w:t xml:space="preserve">If the account determination for dunning charge postings is incomplete in target, F150 fails during the activity phase (after proposal is already created). The dunning proposal is locked and cannot be easily restarted.</w:t>
      </w:r>
    </w:p>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17.5  Dunning Form Transport — The Compliance Risk</w:t>
      </w:r>
    </w:p>
    <w:p>
      <w:pPr>
        <w:spacing w:after="80" w:before="80"/>
      </w:pPr>
      <w:r>
        <w:rPr>
          <w:rFonts w:ascii="Arial" w:cs="Arial" w:eastAsia="Arial" w:hAnsi="Arial"/>
          <w:sz w:val="22"/>
          <w:szCs w:val="22"/>
        </w:rPr>
        <w:t xml:space="preserve">Dunning correspondence forms are transported as PROG or FORM objects (SAPscript) or as ABAP classes (Smartforms/Adobe Forms). The link between the dunning level and the form is stored in T047E — this is a customizing table. The form itself is a workbench object. Both must be present and consistent in the target system:</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5160"/>
      </w:tblGrid>
      <w:tr>
        <w:tc>
          <w:tcPr>
            <w:tcW w:type="dxa" w:w="24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Form Object</w:t>
            </w:r>
          </w:p>
        </w:tc>
        <w:tc>
          <w:tcPr>
            <w:tcW w:type="dxa" w:w="18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Object Type</w:t>
            </w:r>
          </w:p>
        </w:tc>
        <w:tc>
          <w:tcPr>
            <w:tcW w:type="dxa" w:w="51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Transport Risk</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SAPscript Form (old)</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 FORM</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Transports the form definition. Modified = letter text, layout, or legal notice wording changes. Critical for RE-FX: tenancy law letters must meet legal standards.</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Smartform</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 SFON</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Smartform definition. If T047E references a Smartform name that doesn't exist in target, dunning print phase fails.</w:t>
            </w:r>
          </w:p>
        </w:tc>
      </w:tr>
      <w:tr>
        <w:tc>
          <w:tcPr>
            <w:tcW w:type="dxa" w:w="24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Adobe Form (ADS)</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R3TR FP / FPSS</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Adobe Form. Requires ADS (Adobe Document Services) configured in target. Transport of form without ADS configuration = runtime error during dunning print.</w:t>
            </w:r>
          </w:p>
        </w:tc>
      </w:tr>
      <w:tr>
        <w:tc>
          <w:tcPr>
            <w:tcW w:type="dxa" w:w="2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T047E (Form Assignment)</w:t>
            </w:r>
          </w:p>
        </w:tc>
        <w:tc>
          <w:tcPr>
            <w:tcW w:type="dxa" w:w="18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 Customizing</w:t>
            </w:r>
          </w:p>
        </w:tc>
        <w:tc>
          <w:tcPr>
            <w:tcW w:type="dxa" w:w="51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Links dunning level to form name. New = new form used for a level. Modified = different form printed. Must match form name exactly in target.</w:t>
            </w:r>
          </w:p>
        </w:tc>
      </w:tr>
    </w:tbl>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C00000" w:sz="8"/>
              <w:bottom w:val="none" w:color="FFFFFF" w:sz="0"/>
              <w:right w:val="none" w:color="FFFFFF" w:sz="0"/>
            </w:tcBorders>
            <w:shd w:fill="F2F2F2" w:val="clear"/>
            <w:tcMar>
              <w:top w:type="dxa" w:w="80"/>
              <w:left w:type="dxa" w:w="160"/>
              <w:bottom w:type="dxa" w:w="20"/>
              <w:right w:type="dxa" w:w="80"/>
            </w:tcMar>
          </w:tcPr>
          <w:p>
            <w:r>
              <w:rPr>
                <w:rFonts w:ascii="Arial" w:cs="Arial" w:eastAsia="Arial" w:hAnsi="Arial"/>
                <w:b/>
                <w:bCs/>
                <w:color w:val="C00000"/>
                <w:sz w:val="22"/>
                <w:szCs w:val="22"/>
              </w:rPr>
              <w:t xml:space="preserve">⚠ Dunning Form Not Transported — Silent Failure</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The most common dunning transport mistake: T047E is transported (form assignment) but the actual form (FORM/SFON) is NOT included in the transport.</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Result in target: F150 dunning run completes proposal and activity phase, but print phase fails with 'Form XXX not found'.</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All dunning notices for that run are marked as printed in the dunning history (MHND) but no physical letters are generated.</w:t>
            </w:r>
          </w:p>
        </w:tc>
      </w:tr>
      <w:tr>
        <w:tc>
          <w:tcPr>
            <w:tcW w:type="dxa" w:w="9360"/>
            <w:tcBorders>
              <w:top w:val="none" w:color="FFFFFF" w:sz="0"/>
              <w:left w:val="single" w:color="C00000" w:sz="8"/>
              <w:bottom w:val="none" w:color="FFFFFF" w:sz="0"/>
              <w:right w:val="none" w:color="FFFFFF" w:sz="0"/>
            </w:tcBorders>
            <w:shd w:fill="F2F2F2" w:val="clear"/>
            <w:tcMar>
              <w:top w:type="dxa" w:w="20"/>
              <w:left w:type="dxa" w:w="160"/>
              <w:bottom w:type="dxa" w:w="20"/>
              <w:right w:type="dxa" w:w="80"/>
            </w:tcMar>
          </w:tcPr>
          <w:p>
            <w:r>
              <w:rPr>
                <w:rFonts w:ascii="Arial" w:cs="Arial" w:eastAsia="Arial" w:hAnsi="Arial"/>
                <w:sz w:val="20"/>
                <w:szCs w:val="20"/>
              </w:rPr>
              <w:t xml:space="preserve">The dunning history is updated — the run cannot simply be re-executed. Reversal and re-run required.</w:t>
            </w:r>
          </w:p>
        </w:tc>
      </w:tr>
      <w:tr>
        <w:tc>
          <w:tcPr>
            <w:tcW w:type="dxa" w:w="9360"/>
            <w:tcBorders>
              <w:top w:val="none" w:color="FFFFFF" w:sz="0"/>
              <w:left w:val="single" w:color="C00000" w:sz="8"/>
              <w:bottom w:val="single" w:color="BBBBBB" w:sz="1"/>
              <w:right w:val="none" w:color="FFFFFF" w:sz="0"/>
            </w:tcBorders>
            <w:shd w:fill="F2F2F2" w:val="clear"/>
            <w:tcMar>
              <w:top w:type="dxa" w:w="60"/>
              <w:left w:type="dxa" w:w="160"/>
              <w:bottom w:type="dxa" w:w="60"/>
              <w:right w:type="dxa" w:w="80"/>
            </w:tcMar>
          </w:tcPr>
          <w:p>
            <w:r>
              <w:rPr>
                <w:rFonts w:ascii="Arial" w:cs="Arial" w:eastAsia="Arial" w:hAnsi="Arial"/>
                <w:sz w:val="20"/>
                <w:szCs w:val="20"/>
              </w:rPr>
              <w:t xml:space="preserve">Always check: FORM/SFON object name in T047E → verify same name exists as workbench object in target.</w:t>
            </w:r>
          </w:p>
        </w:tc>
      </w:tr>
    </w:tbl>
    <w:p>
      <w:pPr>
        <w:spacing w:after="80" w:before="80"/>
      </w:pPr>
      <w:r>
        <w:rPr>
          <w:rFonts w:ascii="Arial" w:cs="Arial" w:eastAsia="Arial" w:hAnsi="Arial"/>
          <w:sz w:val="22"/>
          <w:szCs w:val="22"/>
        </w:rPr>
        <w:t xml:space="preserve"/>
      </w:r>
    </w:p>
    <w:p>
      <w:pPr>
        <w:pStyle w:val="Heading2"/>
        <w:spacing w:after="120" w:before="320"/>
      </w:pPr>
      <w:r>
        <w:rPr>
          <w:rFonts w:ascii="Arial" w:cs="Arial" w:eastAsia="Arial" w:hAnsi="Arial"/>
          <w:b/>
          <w:bCs/>
          <w:color w:val="2E75B6"/>
          <w:sz w:val="28"/>
          <w:szCs w:val="28"/>
        </w:rPr>
        <w:t xml:space="preserve">17.6  Dunning Transport Impact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960"/>
      </w:tblGrid>
      <w:tr>
        <w:tc>
          <w:tcPr>
            <w:tcW w:type="dxa" w:w="26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Object Pattern</w:t>
            </w:r>
          </w:p>
        </w:tc>
        <w:tc>
          <w:tcPr>
            <w:tcW w:type="dxa" w:w="14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Impact</w:t>
            </w:r>
          </w:p>
        </w:tc>
        <w:tc>
          <w:tcPr>
            <w:tcW w:type="dxa" w:w="14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Reversible?</w:t>
            </w:r>
          </w:p>
        </w:tc>
        <w:tc>
          <w:tcPr>
            <w:tcW w:type="dxa" w:w="39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Notes</w:t>
            </w:r>
          </w:p>
        </w:tc>
      </w:tr>
      <w:tr>
        <w:tc>
          <w:tcPr>
            <w:tcW w:type="dxa" w:w="2600"/>
            <w:tcBorders>
              <w:top w:val="single" w:color="BBBBBB" w:sz="1"/>
              <w:left w:val="single" w:color="BBBBBB" w:sz="1"/>
              <w:bottom w:val="single" w:color="BBBBBB" w:sz="1"/>
              <w:right w:val="single" w:color="BBBBBB" w:sz="1"/>
            </w:tcBorders>
            <w:shd w:fill="FFE0E0" w:val="clear"/>
            <w:tcMar>
              <w:top w:type="dxa" w:w="80"/>
              <w:left w:type="dxa" w:w="100"/>
              <w:bottom w:type="dxa" w:w="80"/>
              <w:right w:type="dxa" w:w="100"/>
            </w:tcMar>
          </w:tcPr>
          <w:p>
            <w:r>
              <w:rPr>
                <w:rFonts w:ascii="Arial" w:cs="Arial" w:eastAsia="Arial" w:hAnsi="Arial"/>
                <w:b w:val="false"/>
                <w:bCs w:val="false"/>
                <w:color w:val="000000"/>
                <w:sz w:val="20"/>
                <w:szCs w:val="20"/>
              </w:rPr>
              <w:t xml:space="preserve">T047B days-in-arrears reduction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C00000"/>
                <w:sz w:val="20"/>
                <w:szCs w:val="20"/>
              </w:rPr>
              <w:t xml:space="preserve">HIGH</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Immediately by counter-transport</w:t>
            </w:r>
          </w:p>
        </w:tc>
        <w:tc>
          <w:tcPr>
            <w:tcW w:type="dxa" w:w="3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Dunning escalates faster — legal notices issued earlier than intended.</w:t>
            </w:r>
          </w:p>
        </w:tc>
      </w:tr>
      <w:tr>
        <w:tc>
          <w:tcPr>
            <w:tcW w:type="dxa" w:w="2600"/>
            <w:tcBorders>
              <w:top w:val="single" w:color="BBBBBB" w:sz="1"/>
              <w:left w:val="single" w:color="BBBBBB" w:sz="1"/>
              <w:bottom w:val="single" w:color="BBBBBB" w:sz="1"/>
              <w:right w:val="single" w:color="BBBBBB" w:sz="1"/>
            </w:tcBorders>
            <w:shd w:fill="FFE0E0" w:val="clear"/>
            <w:tcMar>
              <w:top w:type="dxa" w:w="80"/>
              <w:left w:type="dxa" w:w="100"/>
              <w:bottom w:type="dxa" w:w="80"/>
              <w:right w:type="dxa" w:w="100"/>
            </w:tcMar>
          </w:tcPr>
          <w:p>
            <w:r>
              <w:rPr>
                <w:rFonts w:ascii="Arial" w:cs="Arial" w:eastAsia="Arial" w:hAnsi="Arial"/>
                <w:b w:val="false"/>
                <w:bCs w:val="false"/>
                <w:color w:val="000000"/>
                <w:sz w:val="20"/>
                <w:szCs w:val="20"/>
              </w:rPr>
              <w:t xml:space="preserve">T047C charge amount increase</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C00000"/>
                <w:sz w:val="20"/>
                <w:szCs w:val="20"/>
              </w:rPr>
              <w:t xml:space="preserve">HIGH</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Counter-transport for future runs</w:t>
            </w:r>
          </w:p>
        </w:tc>
        <w:tc>
          <w:tcPr>
            <w:tcW w:type="dxa" w:w="3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Higher FI postings on next dunning run for all open items at that level.</w:t>
            </w:r>
          </w:p>
        </w:tc>
      </w:tr>
      <w:tr>
        <w:tc>
          <w:tcPr>
            <w:tcW w:type="dxa" w:w="2600"/>
            <w:tcBorders>
              <w:top w:val="single" w:color="BBBBBB" w:sz="1"/>
              <w:left w:val="single" w:color="BBBBBB" w:sz="1"/>
              <w:bottom w:val="single" w:color="BBBBBB" w:sz="1"/>
              <w:right w:val="single" w:color="BBBBBB" w:sz="1"/>
            </w:tcBorders>
            <w:shd w:fill="FFF0CC" w:val="clear"/>
            <w:tcMar>
              <w:top w:type="dxa" w:w="80"/>
              <w:left w:type="dxa" w:w="100"/>
              <w:bottom w:type="dxa" w:w="80"/>
              <w:right w:type="dxa" w:w="100"/>
            </w:tcMar>
          </w:tcPr>
          <w:p>
            <w:r>
              <w:rPr>
                <w:rFonts w:ascii="Arial" w:cs="Arial" w:eastAsia="Arial" w:hAnsi="Arial"/>
                <w:b w:val="false"/>
                <w:bCs w:val="false"/>
                <w:color w:val="000000"/>
                <w:sz w:val="20"/>
                <w:szCs w:val="20"/>
              </w:rPr>
              <w:t xml:space="preserve">T047E wrong form assignment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C55A00"/>
                <w:sz w:val="20"/>
                <w:szCs w:val="20"/>
              </w:rPr>
              <w:t xml:space="preserve">HIGH</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Counter-transport</w:t>
            </w:r>
          </w:p>
        </w:tc>
        <w:tc>
          <w:tcPr>
            <w:tcW w:type="dxa" w:w="3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Wrong legal notice form — compliance and legal risk in RE/public sector.</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T047A interval days reduction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2E75B6"/>
                <w:sz w:val="20"/>
                <w:szCs w:val="20"/>
              </w:rPr>
              <w:t xml:space="preserve">MEDIUM</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Counter-transport</w:t>
            </w:r>
          </w:p>
        </w:tc>
        <w:tc>
          <w:tcPr>
            <w:tcW w:type="dxa" w:w="3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More frequent dunning runs. Customers receive more reminders.</w:t>
            </w:r>
          </w:p>
        </w:tc>
      </w:tr>
      <w:tr>
        <w:tc>
          <w:tcPr>
            <w:tcW w:type="dxa" w:w="26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T047M missing in target</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2E75B6"/>
                <w:sz w:val="20"/>
                <w:szCs w:val="20"/>
              </w:rPr>
              <w:t xml:space="preserve">MEDIUM</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Create manually in target</w:t>
            </w:r>
          </w:p>
        </w:tc>
        <w:tc>
          <w:tcPr>
            <w:tcW w:type="dxa" w:w="3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F150 fails for company codes using that dunning area.</w:t>
            </w:r>
          </w:p>
        </w:tc>
      </w:tr>
      <w:tr>
        <w:tc>
          <w:tcPr>
            <w:tcW w:type="dxa" w:w="2600"/>
            <w:tcBorders>
              <w:top w:val="single" w:color="BBBBBB" w:sz="1"/>
              <w:left w:val="single" w:color="BBBBBB" w:sz="1"/>
              <w:bottom w:val="single" w:color="BBBBBB" w:sz="1"/>
              <w:right w:val="single" w:color="BBBBBB" w:sz="1"/>
            </w:tcBorders>
            <w:shd w:fill="FFE0E0" w:val="clear"/>
            <w:tcMar>
              <w:top w:type="dxa" w:w="80"/>
              <w:left w:type="dxa" w:w="100"/>
              <w:bottom w:type="dxa" w:w="80"/>
              <w:right w:type="dxa" w:w="100"/>
            </w:tcMar>
          </w:tcPr>
          <w:p>
            <w:r>
              <w:rPr>
                <w:rFonts w:ascii="Arial" w:cs="Arial" w:eastAsia="Arial" w:hAnsi="Arial"/>
                <w:b w:val="false"/>
                <w:bCs w:val="false"/>
                <w:color w:val="000000"/>
                <w:sz w:val="20"/>
                <w:szCs w:val="20"/>
              </w:rPr>
              <w:t xml:space="preserve">MHND in transport (operational data)</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C00000"/>
                <w:sz w:val="20"/>
                <w:szCs w:val="20"/>
              </w:rPr>
              <w:t xml:space="preserve">CRITICAL</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Manual correction only</w:t>
            </w:r>
          </w:p>
        </w:tc>
        <w:tc>
          <w:tcPr>
            <w:tcW w:type="dxa" w:w="3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REJECT transport immediately. Dunning history corruption in target.</w:t>
            </w:r>
          </w:p>
        </w:tc>
      </w:tr>
      <w:tr>
        <w:tc>
          <w:tcPr>
            <w:tcW w:type="dxa" w:w="2600"/>
            <w:tcBorders>
              <w:top w:val="single" w:color="BBBBBB" w:sz="1"/>
              <w:left w:val="single" w:color="BBBBBB" w:sz="1"/>
              <w:bottom w:val="single" w:color="BBBBBB" w:sz="1"/>
              <w:right w:val="single" w:color="BBBBBB" w:sz="1"/>
            </w:tcBorders>
            <w:shd w:fill="FFF0CC" w:val="clear"/>
            <w:tcMar>
              <w:top w:type="dxa" w:w="80"/>
              <w:left w:type="dxa" w:w="100"/>
              <w:bottom w:type="dxa" w:w="80"/>
              <w:right w:type="dxa" w:w="100"/>
            </w:tcMar>
          </w:tcPr>
          <w:p>
            <w:r>
              <w:rPr>
                <w:rFonts w:ascii="Arial" w:cs="Arial" w:eastAsia="Arial" w:hAnsi="Arial"/>
                <w:b w:val="false"/>
                <w:bCs w:val="false"/>
                <w:color w:val="000000"/>
                <w:sz w:val="20"/>
                <w:szCs w:val="20"/>
              </w:rPr>
              <w:t xml:space="preserve">KNB5 in transport (customer master)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bCs/>
                <w:color w:val="C55A00"/>
                <w:sz w:val="20"/>
                <w:szCs w:val="20"/>
              </w:rPr>
              <w:t xml:space="preserve">HIGH</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Check customer master in target</w:t>
            </w:r>
          </w:p>
        </w:tc>
        <w:tc>
          <w:tcPr>
            <w:tcW w:type="dxa" w:w="3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Customer dunning assignment overwritten — wrong procedure applied to customer.</w:t>
            </w:r>
          </w:p>
        </w:tc>
      </w:tr>
    </w:tbl>
    <w:p>
      <w:pPr>
        <w:spacing w:after="80" w:before="80"/>
      </w:pPr>
      <w:r>
        <w:rPr>
          <w:rFonts w:ascii="Arial" w:cs="Arial" w:eastAsia="Arial" w:hAnsi="Arial"/>
          <w:sz w:val="22"/>
          <w:szCs w:val="22"/>
        </w:rPr>
        <w:t xml:space="preserve"/>
      </w:r>
    </w:p>
    <w:p>
      <w:pPr>
        <w:pBdr>
          <w:bottom w:val="single" w:color="DDDDDD" w:sz="1"/>
        </w:pBdr>
        <w:spacing w:after="160" w:before="160"/>
      </w:pPr>
    </w:p>
    <w:p>
      <w:pPr>
        <w:pStyle w:val="Heading1"/>
        <w:spacing w:after="160" w:before="400"/>
      </w:pPr>
      <w:r>
        <w:rPr>
          <w:rFonts w:ascii="Arial" w:cs="Arial" w:eastAsia="Arial" w:hAnsi="Arial"/>
          <w:b/>
          <w:bCs/>
          <w:color w:val="1F3864"/>
          <w:sz w:val="36"/>
          <w:szCs w:val="36"/>
        </w:rPr>
        <w:t xml:space="preserve">RE-FX and Dunning — Cross-Module Pattern Triggers</w:t>
      </w:r>
    </w:p>
    <w:p>
      <w:pPr>
        <w:spacing w:after="80" w:before="80"/>
      </w:pPr>
      <w:r>
        <w:rPr>
          <w:rFonts w:ascii="Arial" w:cs="Arial" w:eastAsia="Arial" w:hAnsi="Arial"/>
          <w:sz w:val="22"/>
          <w:szCs w:val="22"/>
        </w:rPr>
        <w:t xml:space="preserve">Consolidated signal patterns for rapid transport assessment when RE-FX and Dunning objects appear:</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c>
          <w:tcPr>
            <w:tcW w:type="dxa" w:w="30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Pattern in E071</w:t>
            </w:r>
          </w:p>
        </w:tc>
        <w:tc>
          <w:tcPr>
            <w:tcW w:type="dxa" w:w="140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Module</w:t>
            </w:r>
          </w:p>
        </w:tc>
        <w:tc>
          <w:tcPr>
            <w:tcW w:type="dxa" w:w="4960"/>
            <w:tcBorders>
              <w:top w:val="single" w:color="BBBBBB" w:sz="1"/>
              <w:left w:val="single" w:color="BBBBBB" w:sz="1"/>
              <w:bottom w:val="single" w:color="BBBBBB" w:sz="1"/>
              <w:right w:val="single" w:color="BBBBBB" w:sz="1"/>
            </w:tcBorders>
            <w:shd w:fill="2E75B6" w:val="clear"/>
            <w:tcMar>
              <w:top w:type="dxa" w:w="80"/>
              <w:left w:type="dxa" w:w="100"/>
              <w:bottom w:type="dxa" w:w="80"/>
              <w:right w:type="dxa" w:w="100"/>
            </w:tcMar>
          </w:tcPr>
          <w:p>
            <w:r>
              <w:rPr>
                <w:rFonts w:ascii="Arial" w:cs="Arial" w:eastAsia="Arial" w:hAnsi="Arial"/>
                <w:b/>
                <w:bCs/>
                <w:color w:val="FFFFFF"/>
                <w:sz w:val="20"/>
                <w:szCs w:val="20"/>
              </w:rPr>
              <w:t xml:space="preserve">Immediate Action</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TIVCDFLOWREL (Account Determ.)</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RE-FX</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CRITICAL. Equivalent to T030. Verify RERAZA G/L replacements in target after import. Require RE-FX consultant sign-off.</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TIVCDCONDTYPE (Condition Types)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RE-FX</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HIGH. Cash flow recalculation required on affected contracts after import. Run RERAPP simulation before production.</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TIVCDFLOWTYPE (Flow Types)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RE-FX</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CRITICAL. Posting direction change. Test one contract RERAPP in QA before production import.</w:t>
            </w:r>
          </w:p>
        </w:tc>
      </w:tr>
      <w:tr>
        <w:tc>
          <w:tcPr>
            <w:tcW w:type="dxa" w:w="3000"/>
            <w:tcBorders>
              <w:top w:val="single" w:color="BBBBBB" w:sz="1"/>
              <w:left w:val="single" w:color="BBBBBB" w:sz="1"/>
              <w:bottom w:val="single" w:color="BBBBBB" w:sz="1"/>
              <w:right w:val="single" w:color="BBBBBB" w:sz="1"/>
            </w:tcBorders>
            <w:shd w:fill="FFE0E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VIOB01 / VIOB03 / VIMI01</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RE-FX</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ALARM: architectural master data in transport. These are delivery class A. Reject transport.</w:t>
            </w:r>
          </w:p>
        </w:tc>
      </w:tr>
      <w:tr>
        <w:tc>
          <w:tcPr>
            <w:tcW w:type="dxa" w:w="3000"/>
            <w:tcBorders>
              <w:top w:val="single" w:color="BBBBBB" w:sz="1"/>
              <w:left w:val="single" w:color="BBBBBB" w:sz="1"/>
              <w:bottom w:val="single" w:color="BBBBBB" w:sz="1"/>
              <w:right w:val="single" w:color="BBBBBB" w:sz="1"/>
            </w:tcBorders>
            <w:shd w:fill="FFE0E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VICNCN (contracts)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RE-FX</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ALARM: contract master data in transport. Never transport contract records via CTS.</w:t>
            </w:r>
          </w:p>
        </w:tc>
      </w:tr>
      <w:tr>
        <w:tc>
          <w:tcPr>
            <w:tcW w:type="dxa" w:w="3000"/>
            <w:tcBorders>
              <w:top w:val="single" w:color="BBBBBB" w:sz="1"/>
              <w:left w:val="single" w:color="BBBBBB" w:sz="1"/>
              <w:bottom w:val="single" w:color="BBBBBB" w:sz="1"/>
              <w:right w:val="single" w:color="BBBBBB" w:sz="1"/>
            </w:tcBorders>
            <w:shd w:fill="FFE0E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TIVNROBJ (RE Number Ranges)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RE-FX</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ALARM: number range data. Equivalent to NROB risk. Reject. Maintain manually in each system.</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T047B (Dunning Levels)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Dunning</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HIGH. Days-in-arrears or grace period changed. Legal risk in RE. Require business owner sign-off.</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T047C (Dunning Charges)</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Dunning</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HIGH. FI postings will change on next F150 run. Require FI controller and legal approval.</w:t>
            </w:r>
          </w:p>
        </w:tc>
      </w:tr>
      <w:tr>
        <w:tc>
          <w:tcPr>
            <w:tcW w:type="dxa" w:w="3000"/>
            <w:tcBorders>
              <w:top w:val="single" w:color="BBBBBB" w:sz="1"/>
              <w:left w:val="single" w:color="BBBBBB" w:sz="1"/>
              <w:bottom w:val="single" w:color="BBBBBB" w:sz="1"/>
              <w:right w:val="single" w:color="BBBBBB" w:sz="1"/>
            </w:tcBorders>
            <w:shd w:fill="D6E4F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T047E + R3TR FORM/SFON in same TR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Dunning</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Good pattern — form assignment AND form object together. Verify both exist in target after import.</w:t>
            </w:r>
          </w:p>
        </w:tc>
      </w:tr>
      <w:tr>
        <w:tc>
          <w:tcPr>
            <w:tcW w:type="dxa" w:w="3000"/>
            <w:tcBorders>
              <w:top w:val="single" w:color="BBBBBB" w:sz="1"/>
              <w:left w:val="single" w:color="BBBBBB" w:sz="1"/>
              <w:bottom w:val="single" w:color="BBBBBB" w:sz="1"/>
              <w:right w:val="single" w:color="BBBBBB" w:sz="1"/>
            </w:tcBorders>
            <w:shd w:fill="FFE0E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T047E WITHOUT corresponding FORM/SFON</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Dunning</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RISK. Form assignment transported but form object not included. F150 print phase will fail silently.</w:t>
            </w:r>
          </w:p>
        </w:tc>
      </w:tr>
      <w:tr>
        <w:tc>
          <w:tcPr>
            <w:tcW w:type="dxa" w:w="3000"/>
            <w:tcBorders>
              <w:top w:val="single" w:color="BBBBBB" w:sz="1"/>
              <w:left w:val="single" w:color="BBBBBB" w:sz="1"/>
              <w:bottom w:val="single" w:color="BBBBBB" w:sz="1"/>
              <w:right w:val="single" w:color="BBBBBB" w:sz="1"/>
            </w:tcBorders>
            <w:shd w:fill="FFE0E0" w:val="clear"/>
            <w:tcMar>
              <w:top w:type="dxa" w:w="80"/>
              <w:left w:type="dxa" w:w="100"/>
              <w:bottom w:type="dxa" w:w="80"/>
              <w:right w:type="dxa" w:w="100"/>
            </w:tcMar>
          </w:tcPr>
          <w:p>
            <w:r>
              <w:rPr>
                <w:rFonts w:ascii="Arial" w:cs="Arial" w:eastAsia="Arial" w:hAnsi="Arial"/>
                <w:b w:val="false"/>
                <w:bCs w:val="false"/>
                <w:color w:val="000000"/>
                <w:sz w:val="20"/>
                <w:szCs w:val="20"/>
              </w:rPr>
              <w:t xml:space="preserve">TABU MHND (Dunning History)</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Dunning</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ALARM: operational dunning history. Reject transport immediately.</w:t>
            </w:r>
          </w:p>
        </w:tc>
      </w:tr>
      <w:tr>
        <w:tc>
          <w:tcPr>
            <w:tcW w:type="dxa" w:w="30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TIVCDFLOWTYPE + T047C in same TR</w:t>
            </w:r>
          </w:p>
        </w:tc>
        <w:tc>
          <w:tcPr>
            <w:tcW w:type="dxa" w:w="140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RE-FX + Dunning</w:t>
            </w:r>
          </w:p>
        </w:tc>
        <w:tc>
          <w:tcPr>
            <w:tcW w:type="dxa" w:w="4960"/>
            <w:tcBorders>
              <w:top w:val="single" w:color="BBBBBB" w:sz="1"/>
              <w:left w:val="single" w:color="BBBBBB" w:sz="1"/>
              <w:bottom w:val="single" w:color="BBBBBB" w:sz="1"/>
              <w:right w:val="single" w:color="BBBBBB" w:sz="1"/>
            </w:tcBorders>
            <w:shd w:fill="FFFFFF" w:val="clear"/>
            <w:tcMar>
              <w:top w:type="dxa" w:w="80"/>
              <w:left w:type="dxa" w:w="100"/>
              <w:bottom w:type="dxa" w:w="80"/>
              <w:right w:type="dxa" w:w="100"/>
            </w:tcMar>
          </w:tcPr>
          <w:p>
            <w:r>
              <w:rPr>
                <w:rFonts w:ascii="Arial" w:cs="Arial" w:eastAsia="Arial" w:hAnsi="Arial"/>
                <w:b w:val="false"/>
                <w:bCs w:val="false"/>
                <w:color w:val="000000"/>
                <w:sz w:val="20"/>
                <w:szCs w:val="20"/>
              </w:rPr>
              <w:t xml:space="preserve">Two independent FI posting chains changing together. Require dual sign-off: RE-FX lead and FI controller.</w:t>
            </w:r>
          </w:p>
        </w:tc>
      </w:tr>
    </w:tbl>
    <w:p>
      <w:pPr>
        <w:spacing w:after="80" w:before="80"/>
      </w:pPr>
      <w:r>
        <w:rPr>
          <w:rFonts w:ascii="Arial" w:cs="Arial" w:eastAsia="Arial" w:hAnsi="Arial"/>
          <w:sz w:val="22"/>
          <w:szCs w:val="22"/>
        </w:rPr>
        <w:t xml:space="preserve"/>
      </w:r>
    </w:p>
    <w:p>
      <w:pPr>
        <w:pBdr>
          <w:bottom w:val="single" w:color="DDDDDD" w:sz="1"/>
        </w:pBdr>
        <w:spacing w:after="160" w:before="160"/>
      </w:pPr>
    </w:p>
    <w:p>
      <w:pPr>
        <w:spacing w:before="200"/>
        <w:jc w:val="center"/>
      </w:pPr>
      <w:r>
        <w:rPr>
          <w:rFonts w:ascii="Arial" w:cs="Arial" w:eastAsia="Arial" w:hAnsi="Arial"/>
          <w:i/>
          <w:iCs/>
          <w:color w:val="888888"/>
          <w:sz w:val="18"/>
          <w:szCs w:val="18"/>
        </w:rPr>
        <w:t xml:space="preserve">SAP Transport Intelligence — Supplement II (RE-FX · Dunning) — March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4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2026-03-15T12:48:43.067Z</dcterms:created>
  <dcterms:modified xsi:type="dcterms:W3CDTF">2026-03-15T12:48:43.068Z</dcterms:modified>
</cp:coreProperties>
</file>

<file path=docProps/custom.xml><?xml version="1.0" encoding="utf-8"?>
<Properties xmlns="http://schemas.openxmlformats.org/officeDocument/2006/custom-properties" xmlns:vt="http://schemas.openxmlformats.org/officeDocument/2006/docPropsVTypes"/>
</file>