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2ACCC" w14:textId="77777777" w:rsidR="002953B1" w:rsidRDefault="002953B1">
      <w:r>
        <w:t>Data Processing:</w:t>
      </w:r>
    </w:p>
    <w:p w14:paraId="5F2BFC07" w14:textId="77777777" w:rsidR="00E05BF6" w:rsidRDefault="00DC5A1C">
      <w:r>
        <w:t xml:space="preserve">Concentrations measurements were obtained from J. Lang as measured. Raw measurements for each PFAS were left censored according to the </w:t>
      </w:r>
      <w:proofErr w:type="spellStart"/>
      <w:r>
        <w:t>LoQ</w:t>
      </w:r>
      <w:proofErr w:type="spellEnd"/>
      <w:r>
        <w:t xml:space="preserve"> for each chemical. For exploratory data analysis, single value imputation was used for display, with non-detect and zero measurements replaced by 1/10 the compou</w:t>
      </w:r>
      <w:r w:rsidR="004A064A">
        <w:t xml:space="preserve">nds </w:t>
      </w:r>
      <w:proofErr w:type="spellStart"/>
      <w:r w:rsidR="004A064A">
        <w:t>LoQ</w:t>
      </w:r>
      <w:proofErr w:type="spellEnd"/>
      <w:r w:rsidR="004A064A">
        <w:t xml:space="preserve"> and measurements &lt;</w:t>
      </w:r>
      <w:proofErr w:type="spellStart"/>
      <w:r w:rsidR="004A064A">
        <w:t>LoQ</w:t>
      </w:r>
      <w:proofErr w:type="spellEnd"/>
      <w:r w:rsidR="004A064A">
        <w:t xml:space="preserve"> im</w:t>
      </w:r>
      <w:r>
        <w:t xml:space="preserve">puted as the </w:t>
      </w:r>
      <w:proofErr w:type="spellStart"/>
      <w:r>
        <w:t>LoQ</w:t>
      </w:r>
      <w:proofErr w:type="spellEnd"/>
      <w:r>
        <w:t>/</w:t>
      </w:r>
      <w:proofErr w:type="gramStart"/>
      <w:r>
        <w:t>sqrt(</w:t>
      </w:r>
      <w:proofErr w:type="gramEnd"/>
      <w:r>
        <w:t xml:space="preserve">2). </w:t>
      </w:r>
    </w:p>
    <w:p w14:paraId="3570845E" w14:textId="03221107" w:rsidR="00DC5A1C" w:rsidRDefault="00DC5A1C">
      <w:r>
        <w:t xml:space="preserve">Concentration over time was modeled for each PFAS where the maximum abundance over the measurement period exceeded 10ng/L and the PFAS was previously determined to be widely prevalent (REF Lang). </w:t>
      </w:r>
      <w:r w:rsidR="00224E03">
        <w:t>Of the 70 PFAS screened for, 1</w:t>
      </w:r>
      <w:r w:rsidR="005555F1">
        <w:t>8</w:t>
      </w:r>
      <w:r w:rsidR="00224E03">
        <w:t xml:space="preserve"> exhibited a high enough prevalence and concentration to be suitably modeled. Summary statistics for all measurements of these PFAS are in Table “</w:t>
      </w:r>
      <w:proofErr w:type="spellStart"/>
      <w:r w:rsidR="00224E03">
        <w:t>Modeled_PFAS</w:t>
      </w:r>
      <w:proofErr w:type="spellEnd"/>
      <w:r w:rsidR="00224E03">
        <w:t>”. A graphical representation of the raw concentration measurements for these 1</w:t>
      </w:r>
      <w:r w:rsidR="005555F1">
        <w:t>8</w:t>
      </w:r>
      <w:r w:rsidR="00224E03">
        <w:t xml:space="preserve"> PFAS is in “</w:t>
      </w:r>
      <w:proofErr w:type="spellStart"/>
      <w:r w:rsidR="00224E03">
        <w:t>Graphical_Summary</w:t>
      </w:r>
      <w:proofErr w:type="spellEnd"/>
      <w:r w:rsidR="00224E03">
        <w:t xml:space="preserve">”. Each line represents one reactor replicate, colored by biotic or abiotic reactor type. </w:t>
      </w:r>
    </w:p>
    <w:p w14:paraId="3892CC3C" w14:textId="77777777" w:rsidR="00224E03" w:rsidRDefault="00224E03">
      <w:r>
        <w:t>Measured concentrations were corrected for the volume change of repeated sampling by multiplying by the dilution factor at each measurement date. Left censored non-detect and sub LOQ measurements were multi-value i</w:t>
      </w:r>
      <w:r w:rsidR="004A064A">
        <w:t>m</w:t>
      </w:r>
      <w:r>
        <w:t>puted using a truncated log-normal distribution</w:t>
      </w:r>
      <w:r w:rsidR="004A064A">
        <w:t xml:space="preserve"> from the </w:t>
      </w:r>
      <w:proofErr w:type="spellStart"/>
      <w:r w:rsidR="004A064A">
        <w:rPr>
          <w:i/>
        </w:rPr>
        <w:t>fitdistrplus</w:t>
      </w:r>
      <w:proofErr w:type="spellEnd"/>
      <w:r w:rsidR="004A064A">
        <w:t xml:space="preserve"> package in R</w:t>
      </w:r>
      <w:r>
        <w:t xml:space="preserve">. Briefly, the </w:t>
      </w:r>
      <w:r w:rsidR="004A064A">
        <w:t xml:space="preserve">log transformed measurements that exceeded the </w:t>
      </w:r>
      <w:proofErr w:type="spellStart"/>
      <w:r w:rsidR="004A064A">
        <w:t>LoQ</w:t>
      </w:r>
      <w:proofErr w:type="spellEnd"/>
      <w:r w:rsidR="004A064A">
        <w:t xml:space="preserve"> were fit using </w:t>
      </w:r>
      <w:proofErr w:type="spellStart"/>
      <w:r w:rsidR="004A064A">
        <w:rPr>
          <w:i/>
        </w:rPr>
        <w:t>fitdistrplus</w:t>
      </w:r>
      <w:proofErr w:type="spellEnd"/>
      <w:r w:rsidR="004A064A">
        <w:t xml:space="preserve"> and the distribution was extended into the censored concentration levels. The censored measurements were then assigned a random index and fit to the truncated distribution. </w:t>
      </w:r>
    </w:p>
    <w:p w14:paraId="72B1FB93" w14:textId="77777777" w:rsidR="004A064A" w:rsidRDefault="004A064A">
      <w:r>
        <w:t xml:space="preserve">Concentration corrected, log transformed, and zero value imputed data matrixes were modeled using a linear mixed effects model implemented by the </w:t>
      </w:r>
      <w:proofErr w:type="spellStart"/>
      <w:r>
        <w:rPr>
          <w:i/>
        </w:rPr>
        <w:t>lmer</w:t>
      </w:r>
      <w:proofErr w:type="spellEnd"/>
      <w:r>
        <w:t xml:space="preserve"> package. Models contained fixed effects for the Days Elapsed since the reactor initiation with categorical reactor type (abiotic or live) and trash sampling event (coded as “Season”), as well as a random slope and intercept by Reactor. </w:t>
      </w:r>
      <w:r w:rsidR="003138AF">
        <w:t xml:space="preserve">Linear mixed model fits were optimized by restricted maximum likelihood and estimated p-values were calculated using Satterthwaite’s t-test method implemented in the </w:t>
      </w:r>
      <w:proofErr w:type="spellStart"/>
      <w:r w:rsidR="003138AF">
        <w:rPr>
          <w:i/>
        </w:rPr>
        <w:t>lmerModLmerTest</w:t>
      </w:r>
      <w:proofErr w:type="spellEnd"/>
      <w:r w:rsidR="003138AF">
        <w:t xml:space="preserve"> package. A summary table with estimated parameters and associated p-values is in “model estimates”. </w:t>
      </w:r>
    </w:p>
    <w:p w14:paraId="310D382E" w14:textId="77777777" w:rsidR="003138AF" w:rsidRDefault="003138AF">
      <w:r>
        <w:t>Parameter interpretation:</w:t>
      </w:r>
    </w:p>
    <w:p w14:paraId="63310743" w14:textId="3C5BFDC5" w:rsidR="003138AF" w:rsidRDefault="0058121C" w:rsidP="0058121C">
      <w:r>
        <w:t xml:space="preserve">Intercept – Intercept values are log transformed average estimates of the background level of PFAS when the reactor was initiated. On average the PFAS </w:t>
      </w:r>
      <w:r w:rsidR="002953B1">
        <w:t xml:space="preserve">PFBA, </w:t>
      </w:r>
      <w:proofErr w:type="spellStart"/>
      <w:r w:rsidR="002953B1">
        <w:t>PFPeA</w:t>
      </w:r>
      <w:proofErr w:type="spellEnd"/>
      <w:r w:rsidR="002953B1">
        <w:t xml:space="preserve">, </w:t>
      </w:r>
      <w:proofErr w:type="spellStart"/>
      <w:r w:rsidR="005555F1">
        <w:t>PFHxA</w:t>
      </w:r>
      <w:proofErr w:type="spellEnd"/>
      <w:r w:rsidR="005555F1">
        <w:t xml:space="preserve">, </w:t>
      </w:r>
      <w:r w:rsidR="002953B1">
        <w:t xml:space="preserve">PFOA, </w:t>
      </w:r>
      <w:r w:rsidR="005555F1">
        <w:t xml:space="preserve">PFNA, </w:t>
      </w:r>
      <w:r w:rsidR="002953B1">
        <w:t xml:space="preserve">PFDA, FHEA, FHUEA, </w:t>
      </w:r>
      <w:proofErr w:type="spellStart"/>
      <w:r w:rsidR="002953B1">
        <w:t>FPePA</w:t>
      </w:r>
      <w:proofErr w:type="spellEnd"/>
      <w:r w:rsidR="002953B1">
        <w:t xml:space="preserve">, </w:t>
      </w:r>
      <w:proofErr w:type="spellStart"/>
      <w:r w:rsidR="002953B1">
        <w:t>PFHxS</w:t>
      </w:r>
      <w:proofErr w:type="spellEnd"/>
      <w:r w:rsidR="002953B1">
        <w:t xml:space="preserve">, </w:t>
      </w:r>
      <w:r w:rsidR="005555F1">
        <w:t xml:space="preserve">PFOS, </w:t>
      </w:r>
      <w:proofErr w:type="spellStart"/>
      <w:r w:rsidR="002953B1">
        <w:t>MeFBSAA</w:t>
      </w:r>
      <w:proofErr w:type="spellEnd"/>
      <w:r w:rsidR="002953B1">
        <w:t xml:space="preserve">, FTS.6.2, diPAP.6.2, and diPAP.8.2 </w:t>
      </w:r>
      <w:r>
        <w:t xml:space="preserve">have </w:t>
      </w:r>
      <w:r w:rsidR="00847D72">
        <w:t xml:space="preserve">background PFAS concentrations that are statistically significantly different from zero. </w:t>
      </w:r>
    </w:p>
    <w:p w14:paraId="6AF08B46" w14:textId="77777777" w:rsidR="00847D72" w:rsidRDefault="00847D72" w:rsidP="0058121C">
      <w:proofErr w:type="gramStart"/>
      <w:r>
        <w:t>Season(</w:t>
      </w:r>
      <w:proofErr w:type="spellStart"/>
      <w:proofErr w:type="gramEnd"/>
      <w:r>
        <w:t>Spring,Summer,Winter</w:t>
      </w:r>
      <w:proofErr w:type="spellEnd"/>
      <w:r>
        <w:t xml:space="preserve">) – These are modeling specific factors that modify the slope of the regression line based on the sampling event. The Fall sampling event is treated as the comparison sample. Any PFAS with a significant Season parameter has statistically significant variation between the sampling events. </w:t>
      </w:r>
    </w:p>
    <w:p w14:paraId="291BF8E3" w14:textId="7F1512E3" w:rsidR="00847D72" w:rsidRDefault="00847D72" w:rsidP="00847D72">
      <w:proofErr w:type="spellStart"/>
      <w:r>
        <w:t>Days.Elapsed</w:t>
      </w:r>
      <w:proofErr w:type="spellEnd"/>
      <w:r>
        <w:t xml:space="preserve"> – This parameter is the slope of the PFAS production regression of the form ln([PFAS]) </w:t>
      </w:r>
      <w:r w:rsidRPr="00847D72">
        <w:rPr>
          <w:rFonts w:ascii="Cambria Math" w:hAnsi="Cambria Math" w:cs="Cambria Math"/>
        </w:rPr>
        <w:t>∝</w:t>
      </w:r>
      <w:r w:rsidRPr="00847D72">
        <w:t xml:space="preserve"> </w:t>
      </w:r>
      <w:proofErr w:type="spellStart"/>
      <w:r w:rsidRPr="00847D72">
        <w:t>Days.Elapsed</w:t>
      </w:r>
      <w:proofErr w:type="spellEnd"/>
      <w:r w:rsidRPr="00847D72">
        <w:t xml:space="preserve"> for an </w:t>
      </w:r>
      <w:r>
        <w:t xml:space="preserve">abiotic reactor in absence of other correction factors. Statistically significant </w:t>
      </w:r>
      <w:proofErr w:type="spellStart"/>
      <w:r>
        <w:t>Days.Elapsed</w:t>
      </w:r>
      <w:proofErr w:type="spellEnd"/>
      <w:r>
        <w:t xml:space="preserve"> parameters indicate some level of abiotic PFAS production over time, likely due to chemical leaching. The PFAS with significant abiotic production </w:t>
      </w:r>
      <w:r w:rsidR="00ED212D">
        <w:t xml:space="preserve">rates </w:t>
      </w:r>
      <w:proofErr w:type="gramStart"/>
      <w:r>
        <w:t xml:space="preserve">were </w:t>
      </w:r>
      <w:r w:rsidR="005555F1">
        <w:t xml:space="preserve"> P</w:t>
      </w:r>
      <w:r w:rsidR="005555F1" w:rsidRPr="005555F1">
        <w:t>FBA</w:t>
      </w:r>
      <w:proofErr w:type="gramEnd"/>
      <w:r w:rsidR="005555F1" w:rsidRPr="005555F1">
        <w:t>,</w:t>
      </w:r>
      <w:r w:rsidR="005555F1">
        <w:t xml:space="preserve"> </w:t>
      </w:r>
      <w:proofErr w:type="spellStart"/>
      <w:r w:rsidR="005555F1" w:rsidRPr="005555F1">
        <w:t>PFPeA</w:t>
      </w:r>
      <w:proofErr w:type="spellEnd"/>
      <w:r w:rsidR="005555F1" w:rsidRPr="005555F1">
        <w:t>,</w:t>
      </w:r>
      <w:r w:rsidR="005555F1">
        <w:t xml:space="preserve"> </w:t>
      </w:r>
      <w:proofErr w:type="spellStart"/>
      <w:r w:rsidR="005555F1" w:rsidRPr="005555F1">
        <w:t>PFHxA</w:t>
      </w:r>
      <w:proofErr w:type="spellEnd"/>
      <w:r w:rsidR="005555F1" w:rsidRPr="005555F1">
        <w:t>,</w:t>
      </w:r>
      <w:r w:rsidR="005555F1">
        <w:t xml:space="preserve"> </w:t>
      </w:r>
      <w:proofErr w:type="spellStart"/>
      <w:r w:rsidR="005555F1" w:rsidRPr="005555F1">
        <w:t>PFHpA</w:t>
      </w:r>
      <w:proofErr w:type="spellEnd"/>
      <w:r w:rsidR="005555F1" w:rsidRPr="005555F1">
        <w:t>,</w:t>
      </w:r>
      <w:r w:rsidR="005555F1">
        <w:t xml:space="preserve"> </w:t>
      </w:r>
      <w:r w:rsidR="005555F1" w:rsidRPr="005555F1">
        <w:t>PFOA,</w:t>
      </w:r>
      <w:r w:rsidR="005555F1">
        <w:t xml:space="preserve"> </w:t>
      </w:r>
      <w:r w:rsidR="005555F1" w:rsidRPr="005555F1">
        <w:t>PFNA,</w:t>
      </w:r>
      <w:r w:rsidR="005555F1">
        <w:t xml:space="preserve"> </w:t>
      </w:r>
      <w:r w:rsidR="005555F1" w:rsidRPr="005555F1">
        <w:t>PFDA,</w:t>
      </w:r>
      <w:r w:rsidR="005555F1">
        <w:t xml:space="preserve"> </w:t>
      </w:r>
      <w:r w:rsidR="005555F1" w:rsidRPr="005555F1">
        <w:t>FHEA,</w:t>
      </w:r>
      <w:r w:rsidR="005555F1">
        <w:t xml:space="preserve"> </w:t>
      </w:r>
      <w:r w:rsidR="005555F1" w:rsidRPr="005555F1">
        <w:t>FHUEA,</w:t>
      </w:r>
      <w:r w:rsidR="005555F1">
        <w:t xml:space="preserve"> </w:t>
      </w:r>
      <w:proofErr w:type="spellStart"/>
      <w:r w:rsidR="005555F1" w:rsidRPr="005555F1">
        <w:t>FPePA</w:t>
      </w:r>
      <w:proofErr w:type="spellEnd"/>
      <w:r w:rsidR="005555F1" w:rsidRPr="005555F1">
        <w:t>,</w:t>
      </w:r>
      <w:r w:rsidR="005555F1">
        <w:t xml:space="preserve"> </w:t>
      </w:r>
      <w:proofErr w:type="spellStart"/>
      <w:r w:rsidR="005555F1" w:rsidRPr="005555F1">
        <w:t>FHpPA</w:t>
      </w:r>
      <w:proofErr w:type="spellEnd"/>
      <w:r w:rsidR="005555F1" w:rsidRPr="005555F1">
        <w:t>,</w:t>
      </w:r>
      <w:r w:rsidR="005555F1">
        <w:t xml:space="preserve"> </w:t>
      </w:r>
      <w:proofErr w:type="spellStart"/>
      <w:r w:rsidR="005555F1" w:rsidRPr="005555F1">
        <w:t>PFHxS</w:t>
      </w:r>
      <w:proofErr w:type="spellEnd"/>
      <w:r w:rsidR="005555F1">
        <w:t xml:space="preserve"> </w:t>
      </w:r>
      <w:r w:rsidR="005555F1" w:rsidRPr="005555F1">
        <w:t>,</w:t>
      </w:r>
      <w:proofErr w:type="spellStart"/>
      <w:r w:rsidR="005555F1" w:rsidRPr="005555F1">
        <w:t>MeFBSAA</w:t>
      </w:r>
      <w:proofErr w:type="spellEnd"/>
      <w:r w:rsidR="005555F1" w:rsidRPr="005555F1">
        <w:t>,</w:t>
      </w:r>
      <w:r w:rsidR="005555F1">
        <w:t xml:space="preserve"> and </w:t>
      </w:r>
      <w:r w:rsidR="005555F1" w:rsidRPr="005555F1">
        <w:t>FTS.6.2</w:t>
      </w:r>
    </w:p>
    <w:p w14:paraId="3127EB11" w14:textId="46A811DF" w:rsidR="00ED212D" w:rsidRDefault="00ED212D" w:rsidP="00ED212D">
      <w:r>
        <w:lastRenderedPageBreak/>
        <w:t>Biotype – This parameter corrects the regression slope for additional biotic effects on PFAS production. Significant parameters indicate production or consumption of the PFAS through biotic activity. PFAS showing significant variation between biotic and abiotic reactor types wer</w:t>
      </w:r>
      <w:r w:rsidR="0043244F">
        <w:t>e</w:t>
      </w:r>
      <w:r>
        <w:t xml:space="preserve"> </w:t>
      </w:r>
      <w:r w:rsidR="005555F1" w:rsidRPr="005555F1">
        <w:t xml:space="preserve">PFBA, </w:t>
      </w:r>
      <w:proofErr w:type="spellStart"/>
      <w:r w:rsidR="005555F1" w:rsidRPr="005555F1">
        <w:t>PFPeA</w:t>
      </w:r>
      <w:proofErr w:type="spellEnd"/>
      <w:r w:rsidR="005555F1" w:rsidRPr="005555F1">
        <w:t xml:space="preserve">, </w:t>
      </w:r>
      <w:proofErr w:type="spellStart"/>
      <w:r w:rsidR="005555F1" w:rsidRPr="005555F1">
        <w:t>PFHxA</w:t>
      </w:r>
      <w:proofErr w:type="spellEnd"/>
      <w:r w:rsidR="005555F1" w:rsidRPr="005555F1">
        <w:t xml:space="preserve">, </w:t>
      </w:r>
      <w:proofErr w:type="spellStart"/>
      <w:r w:rsidR="005555F1" w:rsidRPr="005555F1">
        <w:t>PFHpA</w:t>
      </w:r>
      <w:proofErr w:type="spellEnd"/>
      <w:r w:rsidR="005555F1" w:rsidRPr="005555F1">
        <w:t xml:space="preserve">, </w:t>
      </w:r>
      <w:proofErr w:type="gramStart"/>
      <w:r w:rsidR="005555F1" w:rsidRPr="005555F1">
        <w:t>PFOA,,</w:t>
      </w:r>
      <w:proofErr w:type="gramEnd"/>
      <w:r w:rsidR="005555F1" w:rsidRPr="005555F1">
        <w:t xml:space="preserve"> PFDA,, FHUEA, </w:t>
      </w:r>
      <w:proofErr w:type="spellStart"/>
      <w:r w:rsidR="005555F1" w:rsidRPr="005555F1">
        <w:t>FPePA</w:t>
      </w:r>
      <w:proofErr w:type="spellEnd"/>
      <w:r w:rsidR="005555F1" w:rsidRPr="005555F1">
        <w:t xml:space="preserve">, </w:t>
      </w:r>
      <w:proofErr w:type="spellStart"/>
      <w:r w:rsidR="005555F1" w:rsidRPr="005555F1">
        <w:t>FHpPA</w:t>
      </w:r>
      <w:proofErr w:type="spellEnd"/>
      <w:r w:rsidR="005555F1" w:rsidRPr="005555F1">
        <w:t xml:space="preserve">, </w:t>
      </w:r>
      <w:proofErr w:type="spellStart"/>
      <w:r w:rsidR="005555F1" w:rsidRPr="005555F1">
        <w:t>PFHxS</w:t>
      </w:r>
      <w:proofErr w:type="spellEnd"/>
      <w:r w:rsidR="005555F1" w:rsidRPr="005555F1">
        <w:t xml:space="preserve">, </w:t>
      </w:r>
      <w:proofErr w:type="spellStart"/>
      <w:r w:rsidR="005555F1" w:rsidRPr="005555F1">
        <w:t>MeFBSAA</w:t>
      </w:r>
      <w:proofErr w:type="spellEnd"/>
      <w:r w:rsidR="005555F1" w:rsidRPr="005555F1">
        <w:t xml:space="preserve">, FTS.6.2, diPAP.6.2, diPAP.6.2.8.2, </w:t>
      </w:r>
      <w:r w:rsidR="005555F1">
        <w:t xml:space="preserve">and </w:t>
      </w:r>
      <w:r w:rsidR="005555F1" w:rsidRPr="005555F1">
        <w:t>diPAP.8.2</w:t>
      </w:r>
    </w:p>
    <w:p w14:paraId="6371B368" w14:textId="77777777" w:rsidR="002953B1" w:rsidRDefault="002953B1" w:rsidP="00ED212D"/>
    <w:p w14:paraId="1BFC7A85" w14:textId="77777777" w:rsidR="002953B1" w:rsidRDefault="002953B1" w:rsidP="00ED212D">
      <w:r>
        <w:t xml:space="preserve">Results: </w:t>
      </w:r>
    </w:p>
    <w:p w14:paraId="3FF4FCB5" w14:textId="1F654C4D" w:rsidR="00ED212D" w:rsidRPr="003138AF" w:rsidRDefault="002953B1" w:rsidP="00847D72">
      <w:r>
        <w:t>Of the 1</w:t>
      </w:r>
      <w:r w:rsidR="005555F1">
        <w:t>8</w:t>
      </w:r>
      <w:r>
        <w:t xml:space="preserve"> PFAS detectable and widely occurring PFAS 1</w:t>
      </w:r>
      <w:r w:rsidR="005555F1">
        <w:t>5/18</w:t>
      </w:r>
      <w:r>
        <w:t xml:space="preserve"> have detectable levels of PFAS in reactors prior to landfill degradation. When treated abiotically, </w:t>
      </w:r>
      <w:r w:rsidR="005555F1">
        <w:t>7/18</w:t>
      </w:r>
      <w:r>
        <w:t xml:space="preserve"> exhibited an increase in their overall concentration as the result of chemical/physical leaching. </w:t>
      </w:r>
      <w:r w:rsidR="00027EAF">
        <w:t xml:space="preserve">With biotic treatment </w:t>
      </w:r>
      <w:r w:rsidR="005555F1">
        <w:t>12/18</w:t>
      </w:r>
      <w:r w:rsidR="00027EAF">
        <w:t xml:space="preserve"> show a statistically significant change in their PFAS production rates compared to abiotic treatment only. T</w:t>
      </w:r>
      <w:r w:rsidR="005555F1">
        <w:t>hree</w:t>
      </w:r>
      <w:r w:rsidR="00027EAF">
        <w:t xml:space="preserve"> PFAS (PFBA</w:t>
      </w:r>
      <w:r w:rsidR="005555F1">
        <w:t>,</w:t>
      </w:r>
      <w:r w:rsidR="00027EAF">
        <w:t xml:space="preserve"> </w:t>
      </w:r>
      <w:proofErr w:type="spellStart"/>
      <w:r w:rsidR="00027EAF">
        <w:t>PFPeA</w:t>
      </w:r>
      <w:proofErr w:type="spellEnd"/>
      <w:r w:rsidR="005555F1">
        <w:t xml:space="preserve">, and </w:t>
      </w:r>
      <w:proofErr w:type="spellStart"/>
      <w:r w:rsidR="005555F1">
        <w:t>PFHxA</w:t>
      </w:r>
      <w:proofErr w:type="spellEnd"/>
      <w:r w:rsidR="00027EAF">
        <w:t xml:space="preserve">) show lower rates of PFAS production with biotic treatment compared to abiotic, while the remaining nine show a statistically significant increase in PFAS production over abiotic treatment. Variation between sampling events (Season) is significant, with </w:t>
      </w:r>
      <w:r w:rsidR="005555F1">
        <w:t>14/18</w:t>
      </w:r>
      <w:r w:rsidR="00027EAF">
        <w:t xml:space="preserve"> have a statistically significant </w:t>
      </w:r>
      <w:r w:rsidR="00812085">
        <w:t>variation</w:t>
      </w:r>
      <w:r w:rsidR="00027EAF">
        <w:t xml:space="preserve"> by Season</w:t>
      </w:r>
      <w:r w:rsidR="00812085">
        <w:t xml:space="preserve">, indicating that the non-homogenous feedstock for the reactor has a significant effect on the long term PFAS production levels. </w:t>
      </w:r>
      <w:bookmarkStart w:id="0" w:name="_GoBack"/>
      <w:bookmarkEnd w:id="0"/>
    </w:p>
    <w:p w14:paraId="348F9507" w14:textId="77777777" w:rsidR="00DC5A1C" w:rsidRDefault="00DC5A1C"/>
    <w:sectPr w:rsidR="00DC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A1C"/>
    <w:rsid w:val="00027EAF"/>
    <w:rsid w:val="00224E03"/>
    <w:rsid w:val="002953B1"/>
    <w:rsid w:val="003138AF"/>
    <w:rsid w:val="0043244F"/>
    <w:rsid w:val="004A064A"/>
    <w:rsid w:val="005555F1"/>
    <w:rsid w:val="0058121C"/>
    <w:rsid w:val="00812085"/>
    <w:rsid w:val="00847D72"/>
    <w:rsid w:val="00B62A0B"/>
    <w:rsid w:val="00CD7EE5"/>
    <w:rsid w:val="00DC5A1C"/>
    <w:rsid w:val="00E207CE"/>
    <w:rsid w:val="00ED2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DEB1"/>
  <w15:chartTrackingRefBased/>
  <w15:docId w15:val="{5D6ED33A-BF1B-4BCC-9FB2-AE3EC5B0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847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044698">
      <w:bodyDiv w:val="1"/>
      <w:marLeft w:val="0"/>
      <w:marRight w:val="0"/>
      <w:marTop w:val="0"/>
      <w:marBottom w:val="0"/>
      <w:divBdr>
        <w:top w:val="none" w:sz="0" w:space="0" w:color="auto"/>
        <w:left w:val="none" w:sz="0" w:space="0" w:color="auto"/>
        <w:bottom w:val="none" w:sz="0" w:space="0" w:color="auto"/>
        <w:right w:val="none" w:sz="0" w:space="0" w:color="auto"/>
      </w:divBdr>
    </w:div>
    <w:div w:id="1613052558">
      <w:bodyDiv w:val="1"/>
      <w:marLeft w:val="0"/>
      <w:marRight w:val="0"/>
      <w:marTop w:val="0"/>
      <w:marBottom w:val="0"/>
      <w:divBdr>
        <w:top w:val="none" w:sz="0" w:space="0" w:color="auto"/>
        <w:left w:val="none" w:sz="0" w:space="0" w:color="auto"/>
        <w:bottom w:val="none" w:sz="0" w:space="0" w:color="auto"/>
        <w:right w:val="none" w:sz="0" w:space="0" w:color="auto"/>
      </w:divBdr>
    </w:div>
    <w:div w:id="2012640035">
      <w:bodyDiv w:val="1"/>
      <w:marLeft w:val="0"/>
      <w:marRight w:val="0"/>
      <w:marTop w:val="0"/>
      <w:marBottom w:val="0"/>
      <w:divBdr>
        <w:top w:val="none" w:sz="0" w:space="0" w:color="auto"/>
        <w:left w:val="none" w:sz="0" w:space="0" w:color="auto"/>
        <w:bottom w:val="none" w:sz="0" w:space="0" w:color="auto"/>
        <w:right w:val="none" w:sz="0" w:space="0" w:color="auto"/>
      </w:divBdr>
      <w:divsChild>
        <w:div w:id="2008166089">
          <w:marLeft w:val="0"/>
          <w:marRight w:val="0"/>
          <w:marTop w:val="0"/>
          <w:marBottom w:val="0"/>
          <w:divBdr>
            <w:top w:val="none" w:sz="0" w:space="0" w:color="auto"/>
            <w:left w:val="none" w:sz="0" w:space="0" w:color="auto"/>
            <w:bottom w:val="none" w:sz="0" w:space="0" w:color="auto"/>
            <w:right w:val="none" w:sz="0" w:space="0" w:color="auto"/>
          </w:divBdr>
          <w:divsChild>
            <w:div w:id="2006740449">
              <w:marLeft w:val="0"/>
              <w:marRight w:val="0"/>
              <w:marTop w:val="0"/>
              <w:marBottom w:val="0"/>
              <w:divBdr>
                <w:top w:val="none" w:sz="0" w:space="0" w:color="auto"/>
                <w:left w:val="none" w:sz="0" w:space="0" w:color="auto"/>
                <w:bottom w:val="none" w:sz="0" w:space="0" w:color="auto"/>
                <w:right w:val="none" w:sz="0" w:space="0" w:color="auto"/>
              </w:divBdr>
              <w:divsChild>
                <w:div w:id="703140495">
                  <w:marLeft w:val="0"/>
                  <w:marRight w:val="0"/>
                  <w:marTop w:val="0"/>
                  <w:marBottom w:val="0"/>
                  <w:divBdr>
                    <w:top w:val="none" w:sz="0" w:space="0" w:color="auto"/>
                    <w:left w:val="none" w:sz="0" w:space="0" w:color="auto"/>
                    <w:bottom w:val="none" w:sz="0" w:space="0" w:color="auto"/>
                    <w:right w:val="none" w:sz="0" w:space="0" w:color="auto"/>
                  </w:divBdr>
                  <w:divsChild>
                    <w:div w:id="1969163409">
                      <w:marLeft w:val="0"/>
                      <w:marRight w:val="0"/>
                      <w:marTop w:val="0"/>
                      <w:marBottom w:val="0"/>
                      <w:divBdr>
                        <w:top w:val="none" w:sz="0" w:space="0" w:color="auto"/>
                        <w:left w:val="none" w:sz="0" w:space="0" w:color="auto"/>
                        <w:bottom w:val="none" w:sz="0" w:space="0" w:color="auto"/>
                        <w:right w:val="none" w:sz="0" w:space="0" w:color="auto"/>
                      </w:divBdr>
                      <w:divsChild>
                        <w:div w:id="149685178">
                          <w:marLeft w:val="0"/>
                          <w:marRight w:val="0"/>
                          <w:marTop w:val="0"/>
                          <w:marBottom w:val="0"/>
                          <w:divBdr>
                            <w:top w:val="none" w:sz="0" w:space="0" w:color="auto"/>
                            <w:left w:val="none" w:sz="0" w:space="0" w:color="auto"/>
                            <w:bottom w:val="none" w:sz="0" w:space="0" w:color="auto"/>
                            <w:right w:val="none" w:sz="0" w:space="0" w:color="auto"/>
                          </w:divBdr>
                          <w:divsChild>
                            <w:div w:id="720714810">
                              <w:marLeft w:val="0"/>
                              <w:marRight w:val="0"/>
                              <w:marTop w:val="0"/>
                              <w:marBottom w:val="0"/>
                              <w:divBdr>
                                <w:top w:val="none" w:sz="0" w:space="0" w:color="auto"/>
                                <w:left w:val="none" w:sz="0" w:space="0" w:color="auto"/>
                                <w:bottom w:val="none" w:sz="0" w:space="0" w:color="auto"/>
                                <w:right w:val="none" w:sz="0" w:space="0" w:color="auto"/>
                              </w:divBdr>
                              <w:divsChild>
                                <w:div w:id="1204368946">
                                  <w:marLeft w:val="0"/>
                                  <w:marRight w:val="0"/>
                                  <w:marTop w:val="0"/>
                                  <w:marBottom w:val="0"/>
                                  <w:divBdr>
                                    <w:top w:val="none" w:sz="0" w:space="0" w:color="auto"/>
                                    <w:left w:val="none" w:sz="0" w:space="0" w:color="auto"/>
                                    <w:bottom w:val="none" w:sz="0" w:space="0" w:color="auto"/>
                                    <w:right w:val="none" w:sz="0" w:space="0" w:color="auto"/>
                                  </w:divBdr>
                                  <w:divsChild>
                                    <w:div w:id="1154224698">
                                      <w:marLeft w:val="0"/>
                                      <w:marRight w:val="0"/>
                                      <w:marTop w:val="0"/>
                                      <w:marBottom w:val="0"/>
                                      <w:divBdr>
                                        <w:top w:val="none" w:sz="0" w:space="0" w:color="auto"/>
                                        <w:left w:val="none" w:sz="0" w:space="0" w:color="auto"/>
                                        <w:bottom w:val="none" w:sz="0" w:space="0" w:color="auto"/>
                                        <w:right w:val="none" w:sz="0" w:space="0" w:color="auto"/>
                                      </w:divBdr>
                                      <w:divsChild>
                                        <w:div w:id="229926023">
                                          <w:marLeft w:val="0"/>
                                          <w:marRight w:val="0"/>
                                          <w:marTop w:val="0"/>
                                          <w:marBottom w:val="0"/>
                                          <w:divBdr>
                                            <w:top w:val="none" w:sz="0" w:space="0" w:color="auto"/>
                                            <w:left w:val="none" w:sz="0" w:space="0" w:color="auto"/>
                                            <w:bottom w:val="none" w:sz="0" w:space="0" w:color="auto"/>
                                            <w:right w:val="none" w:sz="0" w:space="0" w:color="auto"/>
                                          </w:divBdr>
                                          <w:divsChild>
                                            <w:div w:id="1535387284">
                                              <w:marLeft w:val="0"/>
                                              <w:marRight w:val="0"/>
                                              <w:marTop w:val="0"/>
                                              <w:marBottom w:val="0"/>
                                              <w:divBdr>
                                                <w:top w:val="none" w:sz="0" w:space="0" w:color="auto"/>
                                                <w:left w:val="none" w:sz="0" w:space="0" w:color="auto"/>
                                                <w:bottom w:val="none" w:sz="0" w:space="0" w:color="auto"/>
                                                <w:right w:val="none" w:sz="0" w:space="0" w:color="auto"/>
                                              </w:divBdr>
                                              <w:divsChild>
                                                <w:div w:id="1553930948">
                                                  <w:marLeft w:val="0"/>
                                                  <w:marRight w:val="0"/>
                                                  <w:marTop w:val="0"/>
                                                  <w:marBottom w:val="0"/>
                                                  <w:divBdr>
                                                    <w:top w:val="none" w:sz="0" w:space="0" w:color="auto"/>
                                                    <w:left w:val="none" w:sz="0" w:space="0" w:color="auto"/>
                                                    <w:bottom w:val="none" w:sz="0" w:space="0" w:color="auto"/>
                                                    <w:right w:val="none" w:sz="0" w:space="0" w:color="auto"/>
                                                  </w:divBdr>
                                                  <w:divsChild>
                                                    <w:div w:id="1397241008">
                                                      <w:marLeft w:val="0"/>
                                                      <w:marRight w:val="0"/>
                                                      <w:marTop w:val="0"/>
                                                      <w:marBottom w:val="0"/>
                                                      <w:divBdr>
                                                        <w:top w:val="none" w:sz="0" w:space="0" w:color="auto"/>
                                                        <w:left w:val="none" w:sz="0" w:space="0" w:color="auto"/>
                                                        <w:bottom w:val="none" w:sz="0" w:space="0" w:color="auto"/>
                                                        <w:right w:val="none" w:sz="0" w:space="0" w:color="auto"/>
                                                      </w:divBdr>
                                                      <w:divsChild>
                                                        <w:div w:id="542058417">
                                                          <w:marLeft w:val="0"/>
                                                          <w:marRight w:val="0"/>
                                                          <w:marTop w:val="0"/>
                                                          <w:marBottom w:val="0"/>
                                                          <w:divBdr>
                                                            <w:top w:val="none" w:sz="0" w:space="0" w:color="auto"/>
                                                            <w:left w:val="none" w:sz="0" w:space="0" w:color="auto"/>
                                                            <w:bottom w:val="none" w:sz="0" w:space="0" w:color="auto"/>
                                                            <w:right w:val="none" w:sz="0" w:space="0" w:color="auto"/>
                                                          </w:divBdr>
                                                          <w:divsChild>
                                                            <w:div w:id="1525285245">
                                                              <w:marLeft w:val="0"/>
                                                              <w:marRight w:val="0"/>
                                                              <w:marTop w:val="0"/>
                                                              <w:marBottom w:val="0"/>
                                                              <w:divBdr>
                                                                <w:top w:val="none" w:sz="0" w:space="0" w:color="auto"/>
                                                                <w:left w:val="none" w:sz="0" w:space="0" w:color="auto"/>
                                                                <w:bottom w:val="none" w:sz="0" w:space="0" w:color="auto"/>
                                                                <w:right w:val="none" w:sz="0" w:space="0" w:color="auto"/>
                                                              </w:divBdr>
                                                              <w:divsChild>
                                                                <w:div w:id="11873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9309498">
          <w:marLeft w:val="0"/>
          <w:marRight w:val="0"/>
          <w:marTop w:val="0"/>
          <w:marBottom w:val="0"/>
          <w:divBdr>
            <w:top w:val="none" w:sz="0" w:space="0" w:color="auto"/>
            <w:left w:val="none" w:sz="0" w:space="0" w:color="auto"/>
            <w:bottom w:val="none" w:sz="0" w:space="0" w:color="auto"/>
            <w:right w:val="none" w:sz="0" w:space="0" w:color="auto"/>
          </w:divBdr>
        </w:div>
        <w:div w:id="1188447915">
          <w:marLeft w:val="0"/>
          <w:marRight w:val="0"/>
          <w:marTop w:val="0"/>
          <w:marBottom w:val="0"/>
          <w:divBdr>
            <w:top w:val="none" w:sz="0" w:space="0" w:color="auto"/>
            <w:left w:val="none" w:sz="0" w:space="0" w:color="auto"/>
            <w:bottom w:val="none" w:sz="0" w:space="0" w:color="auto"/>
            <w:right w:val="none" w:sz="0" w:space="0" w:color="auto"/>
          </w:divBdr>
        </w:div>
        <w:div w:id="576286335">
          <w:marLeft w:val="0"/>
          <w:marRight w:val="0"/>
          <w:marTop w:val="0"/>
          <w:marBottom w:val="0"/>
          <w:divBdr>
            <w:top w:val="none" w:sz="0" w:space="0" w:color="auto"/>
            <w:left w:val="none" w:sz="0" w:space="0" w:color="auto"/>
            <w:bottom w:val="none" w:sz="0" w:space="0" w:color="auto"/>
            <w:right w:val="none" w:sz="0" w:space="0" w:color="auto"/>
          </w:divBdr>
        </w:div>
        <w:div w:id="830828903">
          <w:marLeft w:val="0"/>
          <w:marRight w:val="0"/>
          <w:marTop w:val="0"/>
          <w:marBottom w:val="0"/>
          <w:divBdr>
            <w:top w:val="none" w:sz="0" w:space="0" w:color="auto"/>
            <w:left w:val="none" w:sz="0" w:space="0" w:color="auto"/>
            <w:bottom w:val="none" w:sz="0" w:space="0" w:color="auto"/>
            <w:right w:val="none" w:sz="0" w:space="0" w:color="auto"/>
          </w:divBdr>
          <w:divsChild>
            <w:div w:id="967516727">
              <w:marLeft w:val="0"/>
              <w:marRight w:val="0"/>
              <w:marTop w:val="0"/>
              <w:marBottom w:val="0"/>
              <w:divBdr>
                <w:top w:val="none" w:sz="0" w:space="0" w:color="auto"/>
                <w:left w:val="none" w:sz="0" w:space="0" w:color="auto"/>
                <w:bottom w:val="none" w:sz="0" w:space="0" w:color="auto"/>
                <w:right w:val="none" w:sz="0" w:space="0" w:color="auto"/>
              </w:divBdr>
            </w:div>
          </w:divsChild>
        </w:div>
        <w:div w:id="1741824160">
          <w:marLeft w:val="0"/>
          <w:marRight w:val="0"/>
          <w:marTop w:val="0"/>
          <w:marBottom w:val="0"/>
          <w:divBdr>
            <w:top w:val="none" w:sz="0" w:space="0" w:color="auto"/>
            <w:left w:val="none" w:sz="0" w:space="0" w:color="auto"/>
            <w:bottom w:val="none" w:sz="0" w:space="0" w:color="auto"/>
            <w:right w:val="none" w:sz="0" w:space="0" w:color="auto"/>
          </w:divBdr>
          <w:divsChild>
            <w:div w:id="1982886205">
              <w:marLeft w:val="0"/>
              <w:marRight w:val="0"/>
              <w:marTop w:val="0"/>
              <w:marBottom w:val="0"/>
              <w:divBdr>
                <w:top w:val="none" w:sz="0" w:space="0" w:color="auto"/>
                <w:left w:val="none" w:sz="0" w:space="0" w:color="auto"/>
                <w:bottom w:val="none" w:sz="0" w:space="0" w:color="auto"/>
                <w:right w:val="none" w:sz="0" w:space="0" w:color="auto"/>
              </w:divBdr>
              <w:divsChild>
                <w:div w:id="1235817580">
                  <w:marLeft w:val="0"/>
                  <w:marRight w:val="0"/>
                  <w:marTop w:val="0"/>
                  <w:marBottom w:val="0"/>
                  <w:divBdr>
                    <w:top w:val="none" w:sz="0" w:space="0" w:color="auto"/>
                    <w:left w:val="none" w:sz="0" w:space="0" w:color="auto"/>
                    <w:bottom w:val="none" w:sz="0" w:space="0" w:color="auto"/>
                    <w:right w:val="none" w:sz="0" w:space="0" w:color="auto"/>
                  </w:divBdr>
                  <w:divsChild>
                    <w:div w:id="522016819">
                      <w:marLeft w:val="0"/>
                      <w:marRight w:val="0"/>
                      <w:marTop w:val="0"/>
                      <w:marBottom w:val="0"/>
                      <w:divBdr>
                        <w:top w:val="none" w:sz="0" w:space="0" w:color="auto"/>
                        <w:left w:val="none" w:sz="0" w:space="0" w:color="auto"/>
                        <w:bottom w:val="none" w:sz="0" w:space="0" w:color="auto"/>
                        <w:right w:val="none" w:sz="0" w:space="0" w:color="auto"/>
                      </w:divBdr>
                      <w:divsChild>
                        <w:div w:id="32535296">
                          <w:marLeft w:val="0"/>
                          <w:marRight w:val="0"/>
                          <w:marTop w:val="0"/>
                          <w:marBottom w:val="0"/>
                          <w:divBdr>
                            <w:top w:val="none" w:sz="0" w:space="0" w:color="auto"/>
                            <w:left w:val="none" w:sz="0" w:space="0" w:color="auto"/>
                            <w:bottom w:val="none" w:sz="0" w:space="0" w:color="auto"/>
                            <w:right w:val="none" w:sz="0" w:space="0" w:color="auto"/>
                          </w:divBdr>
                          <w:divsChild>
                            <w:div w:id="1397624252">
                              <w:marLeft w:val="0"/>
                              <w:marRight w:val="0"/>
                              <w:marTop w:val="0"/>
                              <w:marBottom w:val="0"/>
                              <w:divBdr>
                                <w:top w:val="none" w:sz="0" w:space="0" w:color="auto"/>
                                <w:left w:val="none" w:sz="0" w:space="0" w:color="auto"/>
                                <w:bottom w:val="none" w:sz="0" w:space="0" w:color="auto"/>
                                <w:right w:val="none" w:sz="0" w:space="0" w:color="auto"/>
                              </w:divBdr>
                              <w:divsChild>
                                <w:div w:id="197203021">
                                  <w:marLeft w:val="0"/>
                                  <w:marRight w:val="0"/>
                                  <w:marTop w:val="0"/>
                                  <w:marBottom w:val="0"/>
                                  <w:divBdr>
                                    <w:top w:val="none" w:sz="0" w:space="0" w:color="auto"/>
                                    <w:left w:val="none" w:sz="0" w:space="0" w:color="auto"/>
                                    <w:bottom w:val="none" w:sz="0" w:space="0" w:color="auto"/>
                                    <w:right w:val="none" w:sz="0" w:space="0" w:color="auto"/>
                                  </w:divBdr>
                                  <w:divsChild>
                                    <w:div w:id="407776002">
                                      <w:marLeft w:val="0"/>
                                      <w:marRight w:val="0"/>
                                      <w:marTop w:val="0"/>
                                      <w:marBottom w:val="0"/>
                                      <w:divBdr>
                                        <w:top w:val="none" w:sz="0" w:space="0" w:color="auto"/>
                                        <w:left w:val="none" w:sz="0" w:space="0" w:color="auto"/>
                                        <w:bottom w:val="none" w:sz="0" w:space="0" w:color="auto"/>
                                        <w:right w:val="none" w:sz="0" w:space="0" w:color="auto"/>
                                      </w:divBdr>
                                      <w:divsChild>
                                        <w:div w:id="8645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43272">
                          <w:marLeft w:val="0"/>
                          <w:marRight w:val="0"/>
                          <w:marTop w:val="0"/>
                          <w:marBottom w:val="0"/>
                          <w:divBdr>
                            <w:top w:val="none" w:sz="0" w:space="0" w:color="auto"/>
                            <w:left w:val="none" w:sz="0" w:space="0" w:color="auto"/>
                            <w:bottom w:val="none" w:sz="0" w:space="0" w:color="auto"/>
                            <w:right w:val="none" w:sz="0" w:space="0" w:color="auto"/>
                          </w:divBdr>
                          <w:divsChild>
                            <w:div w:id="463235966">
                              <w:marLeft w:val="0"/>
                              <w:marRight w:val="0"/>
                              <w:marTop w:val="0"/>
                              <w:marBottom w:val="0"/>
                              <w:divBdr>
                                <w:top w:val="none" w:sz="0" w:space="0" w:color="auto"/>
                                <w:left w:val="none" w:sz="0" w:space="0" w:color="auto"/>
                                <w:bottom w:val="none" w:sz="0" w:space="0" w:color="auto"/>
                                <w:right w:val="none" w:sz="0" w:space="0" w:color="auto"/>
                              </w:divBdr>
                              <w:divsChild>
                                <w:div w:id="592326823">
                                  <w:marLeft w:val="0"/>
                                  <w:marRight w:val="0"/>
                                  <w:marTop w:val="0"/>
                                  <w:marBottom w:val="0"/>
                                  <w:divBdr>
                                    <w:top w:val="none" w:sz="0" w:space="0" w:color="auto"/>
                                    <w:left w:val="none" w:sz="0" w:space="0" w:color="auto"/>
                                    <w:bottom w:val="none" w:sz="0" w:space="0" w:color="auto"/>
                                    <w:right w:val="none" w:sz="0" w:space="0" w:color="auto"/>
                                  </w:divBdr>
                                  <w:divsChild>
                                    <w:div w:id="1182624326">
                                      <w:marLeft w:val="0"/>
                                      <w:marRight w:val="0"/>
                                      <w:marTop w:val="0"/>
                                      <w:marBottom w:val="0"/>
                                      <w:divBdr>
                                        <w:top w:val="none" w:sz="0" w:space="0" w:color="auto"/>
                                        <w:left w:val="none" w:sz="0" w:space="0" w:color="auto"/>
                                        <w:bottom w:val="none" w:sz="0" w:space="0" w:color="auto"/>
                                        <w:right w:val="none" w:sz="0" w:space="0" w:color="auto"/>
                                      </w:divBdr>
                                      <w:divsChild>
                                        <w:div w:id="371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4136">
                          <w:marLeft w:val="0"/>
                          <w:marRight w:val="0"/>
                          <w:marTop w:val="0"/>
                          <w:marBottom w:val="0"/>
                          <w:divBdr>
                            <w:top w:val="none" w:sz="0" w:space="0" w:color="auto"/>
                            <w:left w:val="none" w:sz="0" w:space="0" w:color="auto"/>
                            <w:bottom w:val="none" w:sz="0" w:space="0" w:color="auto"/>
                            <w:right w:val="none" w:sz="0" w:space="0" w:color="auto"/>
                          </w:divBdr>
                          <w:divsChild>
                            <w:div w:id="1282683047">
                              <w:marLeft w:val="0"/>
                              <w:marRight w:val="0"/>
                              <w:marTop w:val="0"/>
                              <w:marBottom w:val="0"/>
                              <w:divBdr>
                                <w:top w:val="none" w:sz="0" w:space="0" w:color="auto"/>
                                <w:left w:val="none" w:sz="0" w:space="0" w:color="auto"/>
                                <w:bottom w:val="none" w:sz="0" w:space="0" w:color="auto"/>
                                <w:right w:val="none" w:sz="0" w:space="0" w:color="auto"/>
                              </w:divBdr>
                              <w:divsChild>
                                <w:div w:id="534197123">
                                  <w:marLeft w:val="0"/>
                                  <w:marRight w:val="0"/>
                                  <w:marTop w:val="0"/>
                                  <w:marBottom w:val="0"/>
                                  <w:divBdr>
                                    <w:top w:val="none" w:sz="0" w:space="0" w:color="auto"/>
                                    <w:left w:val="none" w:sz="0" w:space="0" w:color="auto"/>
                                    <w:bottom w:val="none" w:sz="0" w:space="0" w:color="auto"/>
                                    <w:right w:val="none" w:sz="0" w:space="0" w:color="auto"/>
                                  </w:divBdr>
                                  <w:divsChild>
                                    <w:div w:id="1724520857">
                                      <w:marLeft w:val="0"/>
                                      <w:marRight w:val="0"/>
                                      <w:marTop w:val="0"/>
                                      <w:marBottom w:val="0"/>
                                      <w:divBdr>
                                        <w:top w:val="none" w:sz="0" w:space="0" w:color="auto"/>
                                        <w:left w:val="none" w:sz="0" w:space="0" w:color="auto"/>
                                        <w:bottom w:val="none" w:sz="0" w:space="0" w:color="auto"/>
                                        <w:right w:val="none" w:sz="0" w:space="0" w:color="auto"/>
                                      </w:divBdr>
                                      <w:divsChild>
                                        <w:div w:id="10602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9451">
                          <w:marLeft w:val="0"/>
                          <w:marRight w:val="0"/>
                          <w:marTop w:val="0"/>
                          <w:marBottom w:val="0"/>
                          <w:divBdr>
                            <w:top w:val="none" w:sz="0" w:space="0" w:color="auto"/>
                            <w:left w:val="none" w:sz="0" w:space="0" w:color="auto"/>
                            <w:bottom w:val="none" w:sz="0" w:space="0" w:color="auto"/>
                            <w:right w:val="none" w:sz="0" w:space="0" w:color="auto"/>
                          </w:divBdr>
                          <w:divsChild>
                            <w:div w:id="1716005165">
                              <w:marLeft w:val="0"/>
                              <w:marRight w:val="0"/>
                              <w:marTop w:val="0"/>
                              <w:marBottom w:val="0"/>
                              <w:divBdr>
                                <w:top w:val="none" w:sz="0" w:space="0" w:color="auto"/>
                                <w:left w:val="none" w:sz="0" w:space="0" w:color="auto"/>
                                <w:bottom w:val="none" w:sz="0" w:space="0" w:color="auto"/>
                                <w:right w:val="none" w:sz="0" w:space="0" w:color="auto"/>
                              </w:divBdr>
                              <w:divsChild>
                                <w:div w:id="1401711766">
                                  <w:marLeft w:val="0"/>
                                  <w:marRight w:val="0"/>
                                  <w:marTop w:val="0"/>
                                  <w:marBottom w:val="0"/>
                                  <w:divBdr>
                                    <w:top w:val="none" w:sz="0" w:space="0" w:color="auto"/>
                                    <w:left w:val="none" w:sz="0" w:space="0" w:color="auto"/>
                                    <w:bottom w:val="none" w:sz="0" w:space="0" w:color="auto"/>
                                    <w:right w:val="none" w:sz="0" w:space="0" w:color="auto"/>
                                  </w:divBdr>
                                  <w:divsChild>
                                    <w:div w:id="288054694">
                                      <w:marLeft w:val="0"/>
                                      <w:marRight w:val="0"/>
                                      <w:marTop w:val="0"/>
                                      <w:marBottom w:val="0"/>
                                      <w:divBdr>
                                        <w:top w:val="none" w:sz="0" w:space="0" w:color="auto"/>
                                        <w:left w:val="none" w:sz="0" w:space="0" w:color="auto"/>
                                        <w:bottom w:val="none" w:sz="0" w:space="0" w:color="auto"/>
                                        <w:right w:val="none" w:sz="0" w:space="0" w:color="auto"/>
                                      </w:divBdr>
                                      <w:divsChild>
                                        <w:div w:id="1905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78053">
                          <w:marLeft w:val="0"/>
                          <w:marRight w:val="0"/>
                          <w:marTop w:val="0"/>
                          <w:marBottom w:val="0"/>
                          <w:divBdr>
                            <w:top w:val="none" w:sz="0" w:space="0" w:color="auto"/>
                            <w:left w:val="none" w:sz="0" w:space="0" w:color="auto"/>
                            <w:bottom w:val="none" w:sz="0" w:space="0" w:color="auto"/>
                            <w:right w:val="none" w:sz="0" w:space="0" w:color="auto"/>
                          </w:divBdr>
                          <w:divsChild>
                            <w:div w:id="127478226">
                              <w:marLeft w:val="0"/>
                              <w:marRight w:val="0"/>
                              <w:marTop w:val="0"/>
                              <w:marBottom w:val="0"/>
                              <w:divBdr>
                                <w:top w:val="none" w:sz="0" w:space="0" w:color="auto"/>
                                <w:left w:val="none" w:sz="0" w:space="0" w:color="auto"/>
                                <w:bottom w:val="none" w:sz="0" w:space="0" w:color="auto"/>
                                <w:right w:val="none" w:sz="0" w:space="0" w:color="auto"/>
                              </w:divBdr>
                              <w:divsChild>
                                <w:div w:id="1793403523">
                                  <w:marLeft w:val="0"/>
                                  <w:marRight w:val="0"/>
                                  <w:marTop w:val="0"/>
                                  <w:marBottom w:val="0"/>
                                  <w:divBdr>
                                    <w:top w:val="none" w:sz="0" w:space="0" w:color="auto"/>
                                    <w:left w:val="none" w:sz="0" w:space="0" w:color="auto"/>
                                    <w:bottom w:val="none" w:sz="0" w:space="0" w:color="auto"/>
                                    <w:right w:val="none" w:sz="0" w:space="0" w:color="auto"/>
                                  </w:divBdr>
                                  <w:divsChild>
                                    <w:div w:id="145904588">
                                      <w:marLeft w:val="0"/>
                                      <w:marRight w:val="0"/>
                                      <w:marTop w:val="0"/>
                                      <w:marBottom w:val="0"/>
                                      <w:divBdr>
                                        <w:top w:val="none" w:sz="0" w:space="0" w:color="auto"/>
                                        <w:left w:val="none" w:sz="0" w:space="0" w:color="auto"/>
                                        <w:bottom w:val="none" w:sz="0" w:space="0" w:color="auto"/>
                                        <w:right w:val="none" w:sz="0" w:space="0" w:color="auto"/>
                                      </w:divBdr>
                                      <w:divsChild>
                                        <w:div w:id="17266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262746">
                          <w:marLeft w:val="0"/>
                          <w:marRight w:val="0"/>
                          <w:marTop w:val="0"/>
                          <w:marBottom w:val="0"/>
                          <w:divBdr>
                            <w:top w:val="none" w:sz="0" w:space="0" w:color="auto"/>
                            <w:left w:val="none" w:sz="0" w:space="0" w:color="auto"/>
                            <w:bottom w:val="none" w:sz="0" w:space="0" w:color="auto"/>
                            <w:right w:val="none" w:sz="0" w:space="0" w:color="auto"/>
                          </w:divBdr>
                          <w:divsChild>
                            <w:div w:id="1430736609">
                              <w:marLeft w:val="0"/>
                              <w:marRight w:val="0"/>
                              <w:marTop w:val="0"/>
                              <w:marBottom w:val="0"/>
                              <w:divBdr>
                                <w:top w:val="none" w:sz="0" w:space="0" w:color="auto"/>
                                <w:left w:val="none" w:sz="0" w:space="0" w:color="auto"/>
                                <w:bottom w:val="none" w:sz="0" w:space="0" w:color="auto"/>
                                <w:right w:val="none" w:sz="0" w:space="0" w:color="auto"/>
                              </w:divBdr>
                              <w:divsChild>
                                <w:div w:id="402458243">
                                  <w:marLeft w:val="0"/>
                                  <w:marRight w:val="0"/>
                                  <w:marTop w:val="0"/>
                                  <w:marBottom w:val="0"/>
                                  <w:divBdr>
                                    <w:top w:val="none" w:sz="0" w:space="0" w:color="auto"/>
                                    <w:left w:val="none" w:sz="0" w:space="0" w:color="auto"/>
                                    <w:bottom w:val="none" w:sz="0" w:space="0" w:color="auto"/>
                                    <w:right w:val="none" w:sz="0" w:space="0" w:color="auto"/>
                                  </w:divBdr>
                                  <w:divsChild>
                                    <w:div w:id="1507557195">
                                      <w:marLeft w:val="0"/>
                                      <w:marRight w:val="0"/>
                                      <w:marTop w:val="0"/>
                                      <w:marBottom w:val="0"/>
                                      <w:divBdr>
                                        <w:top w:val="none" w:sz="0" w:space="0" w:color="auto"/>
                                        <w:left w:val="none" w:sz="0" w:space="0" w:color="auto"/>
                                        <w:bottom w:val="none" w:sz="0" w:space="0" w:color="auto"/>
                                        <w:right w:val="none" w:sz="0" w:space="0" w:color="auto"/>
                                      </w:divBdr>
                                      <w:divsChild>
                                        <w:div w:id="15694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890">
                          <w:marLeft w:val="0"/>
                          <w:marRight w:val="0"/>
                          <w:marTop w:val="0"/>
                          <w:marBottom w:val="0"/>
                          <w:divBdr>
                            <w:top w:val="none" w:sz="0" w:space="0" w:color="auto"/>
                            <w:left w:val="none" w:sz="0" w:space="0" w:color="auto"/>
                            <w:bottom w:val="none" w:sz="0" w:space="0" w:color="auto"/>
                            <w:right w:val="none" w:sz="0" w:space="0" w:color="auto"/>
                          </w:divBdr>
                          <w:divsChild>
                            <w:div w:id="285813696">
                              <w:marLeft w:val="0"/>
                              <w:marRight w:val="0"/>
                              <w:marTop w:val="0"/>
                              <w:marBottom w:val="0"/>
                              <w:divBdr>
                                <w:top w:val="none" w:sz="0" w:space="0" w:color="auto"/>
                                <w:left w:val="none" w:sz="0" w:space="0" w:color="auto"/>
                                <w:bottom w:val="none" w:sz="0" w:space="0" w:color="auto"/>
                                <w:right w:val="none" w:sz="0" w:space="0" w:color="auto"/>
                              </w:divBdr>
                              <w:divsChild>
                                <w:div w:id="1885289640">
                                  <w:marLeft w:val="0"/>
                                  <w:marRight w:val="0"/>
                                  <w:marTop w:val="0"/>
                                  <w:marBottom w:val="0"/>
                                  <w:divBdr>
                                    <w:top w:val="none" w:sz="0" w:space="0" w:color="auto"/>
                                    <w:left w:val="none" w:sz="0" w:space="0" w:color="auto"/>
                                    <w:bottom w:val="none" w:sz="0" w:space="0" w:color="auto"/>
                                    <w:right w:val="none" w:sz="0" w:space="0" w:color="auto"/>
                                  </w:divBdr>
                                  <w:divsChild>
                                    <w:div w:id="320156331">
                                      <w:marLeft w:val="0"/>
                                      <w:marRight w:val="0"/>
                                      <w:marTop w:val="0"/>
                                      <w:marBottom w:val="0"/>
                                      <w:divBdr>
                                        <w:top w:val="none" w:sz="0" w:space="0" w:color="auto"/>
                                        <w:left w:val="none" w:sz="0" w:space="0" w:color="auto"/>
                                        <w:bottom w:val="none" w:sz="0" w:space="0" w:color="auto"/>
                                        <w:right w:val="none" w:sz="0" w:space="0" w:color="auto"/>
                                      </w:divBdr>
                                      <w:divsChild>
                                        <w:div w:id="13539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55652">
                          <w:marLeft w:val="0"/>
                          <w:marRight w:val="0"/>
                          <w:marTop w:val="0"/>
                          <w:marBottom w:val="0"/>
                          <w:divBdr>
                            <w:top w:val="none" w:sz="0" w:space="0" w:color="auto"/>
                            <w:left w:val="none" w:sz="0" w:space="0" w:color="auto"/>
                            <w:bottom w:val="none" w:sz="0" w:space="0" w:color="auto"/>
                            <w:right w:val="none" w:sz="0" w:space="0" w:color="auto"/>
                          </w:divBdr>
                          <w:divsChild>
                            <w:div w:id="1365060681">
                              <w:marLeft w:val="0"/>
                              <w:marRight w:val="0"/>
                              <w:marTop w:val="0"/>
                              <w:marBottom w:val="0"/>
                              <w:divBdr>
                                <w:top w:val="none" w:sz="0" w:space="0" w:color="auto"/>
                                <w:left w:val="none" w:sz="0" w:space="0" w:color="auto"/>
                                <w:bottom w:val="none" w:sz="0" w:space="0" w:color="auto"/>
                                <w:right w:val="none" w:sz="0" w:space="0" w:color="auto"/>
                              </w:divBdr>
                              <w:divsChild>
                                <w:div w:id="1766654568">
                                  <w:marLeft w:val="0"/>
                                  <w:marRight w:val="0"/>
                                  <w:marTop w:val="0"/>
                                  <w:marBottom w:val="0"/>
                                  <w:divBdr>
                                    <w:top w:val="none" w:sz="0" w:space="0" w:color="auto"/>
                                    <w:left w:val="none" w:sz="0" w:space="0" w:color="auto"/>
                                    <w:bottom w:val="none" w:sz="0" w:space="0" w:color="auto"/>
                                    <w:right w:val="none" w:sz="0" w:space="0" w:color="auto"/>
                                  </w:divBdr>
                                  <w:divsChild>
                                    <w:div w:id="12852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912273">
          <w:marLeft w:val="0"/>
          <w:marRight w:val="0"/>
          <w:marTop w:val="0"/>
          <w:marBottom w:val="0"/>
          <w:divBdr>
            <w:top w:val="none" w:sz="0" w:space="0" w:color="auto"/>
            <w:left w:val="none" w:sz="0" w:space="0" w:color="auto"/>
            <w:bottom w:val="none" w:sz="0" w:space="0" w:color="auto"/>
            <w:right w:val="none" w:sz="0" w:space="0" w:color="auto"/>
          </w:divBdr>
        </w:div>
        <w:div w:id="1384595857">
          <w:marLeft w:val="510"/>
          <w:marRight w:val="900"/>
          <w:marTop w:val="0"/>
          <w:marBottom w:val="0"/>
          <w:divBdr>
            <w:top w:val="none" w:sz="0" w:space="0" w:color="auto"/>
            <w:left w:val="none" w:sz="0" w:space="0" w:color="auto"/>
            <w:bottom w:val="none" w:sz="0" w:space="0" w:color="auto"/>
            <w:right w:val="none" w:sz="0" w:space="0" w:color="auto"/>
          </w:divBdr>
          <w:divsChild>
            <w:div w:id="631906829">
              <w:marLeft w:val="0"/>
              <w:marRight w:val="0"/>
              <w:marTop w:val="0"/>
              <w:marBottom w:val="0"/>
              <w:divBdr>
                <w:top w:val="none" w:sz="0" w:space="0" w:color="auto"/>
                <w:left w:val="none" w:sz="0" w:space="0" w:color="auto"/>
                <w:bottom w:val="none" w:sz="0" w:space="0" w:color="auto"/>
                <w:right w:val="none" w:sz="0" w:space="0" w:color="auto"/>
              </w:divBdr>
            </w:div>
          </w:divsChild>
        </w:div>
        <w:div w:id="1712683505">
          <w:marLeft w:val="0"/>
          <w:marRight w:val="0"/>
          <w:marTop w:val="0"/>
          <w:marBottom w:val="0"/>
          <w:divBdr>
            <w:top w:val="none" w:sz="0" w:space="0" w:color="auto"/>
            <w:left w:val="none" w:sz="0" w:space="0" w:color="auto"/>
            <w:bottom w:val="none" w:sz="0" w:space="0" w:color="auto"/>
            <w:right w:val="none" w:sz="0" w:space="0" w:color="auto"/>
          </w:divBdr>
        </w:div>
        <w:div w:id="982739309">
          <w:marLeft w:val="0"/>
          <w:marRight w:val="0"/>
          <w:marTop w:val="0"/>
          <w:marBottom w:val="0"/>
          <w:divBdr>
            <w:top w:val="none" w:sz="0" w:space="0" w:color="auto"/>
            <w:left w:val="none" w:sz="0" w:space="0" w:color="auto"/>
            <w:bottom w:val="none" w:sz="0" w:space="0" w:color="auto"/>
            <w:right w:val="none" w:sz="0" w:space="0" w:color="auto"/>
          </w:divBdr>
        </w:div>
        <w:div w:id="160318438">
          <w:marLeft w:val="0"/>
          <w:marRight w:val="0"/>
          <w:marTop w:val="0"/>
          <w:marBottom w:val="0"/>
          <w:divBdr>
            <w:top w:val="none" w:sz="0" w:space="0" w:color="auto"/>
            <w:left w:val="none" w:sz="0" w:space="0" w:color="auto"/>
            <w:bottom w:val="none" w:sz="0" w:space="0" w:color="auto"/>
            <w:right w:val="none" w:sz="0" w:space="0" w:color="auto"/>
          </w:divBdr>
          <w:divsChild>
            <w:div w:id="1278215712">
              <w:marLeft w:val="0"/>
              <w:marRight w:val="0"/>
              <w:marTop w:val="0"/>
              <w:marBottom w:val="0"/>
              <w:divBdr>
                <w:top w:val="none" w:sz="0" w:space="0" w:color="auto"/>
                <w:left w:val="none" w:sz="0" w:space="0" w:color="auto"/>
                <w:bottom w:val="none" w:sz="0" w:space="0" w:color="auto"/>
                <w:right w:val="none" w:sz="0" w:space="0" w:color="auto"/>
              </w:divBdr>
              <w:divsChild>
                <w:div w:id="74981113">
                  <w:marLeft w:val="0"/>
                  <w:marRight w:val="0"/>
                  <w:marTop w:val="0"/>
                  <w:marBottom w:val="0"/>
                  <w:divBdr>
                    <w:top w:val="none" w:sz="0" w:space="0" w:color="auto"/>
                    <w:left w:val="none" w:sz="0" w:space="0" w:color="auto"/>
                    <w:bottom w:val="none" w:sz="0" w:space="0" w:color="auto"/>
                    <w:right w:val="none" w:sz="0" w:space="0" w:color="auto"/>
                  </w:divBdr>
                  <w:divsChild>
                    <w:div w:id="8389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26382">
          <w:marLeft w:val="0"/>
          <w:marRight w:val="0"/>
          <w:marTop w:val="0"/>
          <w:marBottom w:val="0"/>
          <w:divBdr>
            <w:top w:val="none" w:sz="0" w:space="0" w:color="auto"/>
            <w:left w:val="none" w:sz="0" w:space="0" w:color="auto"/>
            <w:bottom w:val="none" w:sz="0" w:space="0" w:color="auto"/>
            <w:right w:val="none" w:sz="0" w:space="0" w:color="auto"/>
          </w:divBdr>
          <w:divsChild>
            <w:div w:id="1669400534">
              <w:marLeft w:val="0"/>
              <w:marRight w:val="0"/>
              <w:marTop w:val="0"/>
              <w:marBottom w:val="0"/>
              <w:divBdr>
                <w:top w:val="none" w:sz="0" w:space="0" w:color="auto"/>
                <w:left w:val="none" w:sz="0" w:space="0" w:color="auto"/>
                <w:bottom w:val="none" w:sz="0" w:space="0" w:color="auto"/>
                <w:right w:val="none" w:sz="0" w:space="0" w:color="auto"/>
              </w:divBdr>
              <w:divsChild>
                <w:div w:id="1205631834">
                  <w:marLeft w:val="0"/>
                  <w:marRight w:val="0"/>
                  <w:marTop w:val="0"/>
                  <w:marBottom w:val="0"/>
                  <w:divBdr>
                    <w:top w:val="none" w:sz="0" w:space="0" w:color="auto"/>
                    <w:left w:val="none" w:sz="0" w:space="0" w:color="auto"/>
                    <w:bottom w:val="none" w:sz="0" w:space="0" w:color="auto"/>
                    <w:right w:val="none" w:sz="0" w:space="0" w:color="auto"/>
                  </w:divBdr>
                  <w:divsChild>
                    <w:div w:id="600376555">
                      <w:marLeft w:val="0"/>
                      <w:marRight w:val="0"/>
                      <w:marTop w:val="0"/>
                      <w:marBottom w:val="0"/>
                      <w:divBdr>
                        <w:top w:val="none" w:sz="0" w:space="0" w:color="auto"/>
                        <w:left w:val="none" w:sz="0" w:space="0" w:color="auto"/>
                        <w:bottom w:val="none" w:sz="0" w:space="0" w:color="auto"/>
                        <w:right w:val="none" w:sz="0" w:space="0" w:color="auto"/>
                      </w:divBdr>
                      <w:divsChild>
                        <w:div w:id="15304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823353">
          <w:marLeft w:val="0"/>
          <w:marRight w:val="0"/>
          <w:marTop w:val="0"/>
          <w:marBottom w:val="0"/>
          <w:divBdr>
            <w:top w:val="none" w:sz="0" w:space="0" w:color="auto"/>
            <w:left w:val="none" w:sz="0" w:space="0" w:color="auto"/>
            <w:bottom w:val="none" w:sz="0" w:space="0" w:color="auto"/>
            <w:right w:val="none" w:sz="0" w:space="0" w:color="auto"/>
          </w:divBdr>
          <w:divsChild>
            <w:div w:id="1016075162">
              <w:marLeft w:val="0"/>
              <w:marRight w:val="0"/>
              <w:marTop w:val="0"/>
              <w:marBottom w:val="0"/>
              <w:divBdr>
                <w:top w:val="none" w:sz="0" w:space="0" w:color="auto"/>
                <w:left w:val="none" w:sz="0" w:space="0" w:color="auto"/>
                <w:bottom w:val="none" w:sz="0" w:space="0" w:color="auto"/>
                <w:right w:val="none" w:sz="0" w:space="0" w:color="auto"/>
              </w:divBdr>
              <w:divsChild>
                <w:div w:id="1526868136">
                  <w:marLeft w:val="0"/>
                  <w:marRight w:val="0"/>
                  <w:marTop w:val="0"/>
                  <w:marBottom w:val="0"/>
                  <w:divBdr>
                    <w:top w:val="none" w:sz="0" w:space="0" w:color="auto"/>
                    <w:left w:val="none" w:sz="0" w:space="0" w:color="auto"/>
                    <w:bottom w:val="none" w:sz="0" w:space="0" w:color="auto"/>
                    <w:right w:val="none" w:sz="0" w:space="0" w:color="auto"/>
                  </w:divBdr>
                  <w:divsChild>
                    <w:div w:id="241185191">
                      <w:marLeft w:val="0"/>
                      <w:marRight w:val="0"/>
                      <w:marTop w:val="0"/>
                      <w:marBottom w:val="0"/>
                      <w:divBdr>
                        <w:top w:val="none" w:sz="0" w:space="0" w:color="auto"/>
                        <w:left w:val="none" w:sz="0" w:space="0" w:color="auto"/>
                        <w:bottom w:val="none" w:sz="0" w:space="0" w:color="auto"/>
                        <w:right w:val="none" w:sz="0" w:space="0" w:color="auto"/>
                      </w:divBdr>
                      <w:divsChild>
                        <w:div w:id="443236063">
                          <w:marLeft w:val="0"/>
                          <w:marRight w:val="0"/>
                          <w:marTop w:val="0"/>
                          <w:marBottom w:val="0"/>
                          <w:divBdr>
                            <w:top w:val="none" w:sz="0" w:space="0" w:color="auto"/>
                            <w:left w:val="none" w:sz="0" w:space="0" w:color="auto"/>
                            <w:bottom w:val="none" w:sz="0" w:space="0" w:color="auto"/>
                            <w:right w:val="none" w:sz="0" w:space="0" w:color="auto"/>
                          </w:divBdr>
                          <w:divsChild>
                            <w:div w:id="18937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McCord</dc:creator>
  <cp:keywords/>
  <dc:description/>
  <cp:lastModifiedBy>James McCord</cp:lastModifiedBy>
  <cp:revision>2</cp:revision>
  <dcterms:created xsi:type="dcterms:W3CDTF">2018-12-09T17:02:00Z</dcterms:created>
  <dcterms:modified xsi:type="dcterms:W3CDTF">2018-12-17T20:04:00Z</dcterms:modified>
</cp:coreProperties>
</file>