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4240" w14:textId="29124804" w:rsidR="00575E98" w:rsidRDefault="00575E98" w:rsidP="00575E98">
      <w:pPr>
        <w:pStyle w:val="NormalWeb"/>
        <w:jc w:val="center"/>
        <w:rPr>
          <w:rFonts w:ascii="TimesNewRomanPSMT" w:hAnsi="TimesNewRomanPSMT"/>
          <w:b/>
          <w:bCs/>
          <w:sz w:val="30"/>
          <w:szCs w:val="36"/>
        </w:rPr>
      </w:pPr>
      <w:r w:rsidRPr="00575E98">
        <w:rPr>
          <w:rFonts w:ascii="TimesNewRomanPSMT" w:hAnsi="TimesNewRomanPSMT"/>
          <w:b/>
          <w:bCs/>
          <w:sz w:val="30"/>
          <w:szCs w:val="36"/>
        </w:rPr>
        <w:t>Occupational Licensing in Brazil</w:t>
      </w:r>
    </w:p>
    <w:p w14:paraId="27B90071" w14:textId="28F33C20" w:rsidR="00575E98" w:rsidRPr="001B1EA1" w:rsidRDefault="00575E98" w:rsidP="001B1EA1">
      <w:pPr>
        <w:pStyle w:val="NormalWeb"/>
        <w:jc w:val="center"/>
        <w:rPr>
          <w:rFonts w:ascii="TimesNewRomanPSMT" w:hAnsi="TimesNewRomanPSMT"/>
          <w:sz w:val="26"/>
          <w:szCs w:val="28"/>
        </w:rPr>
      </w:pPr>
      <w:r w:rsidRPr="00575E98">
        <w:rPr>
          <w:rFonts w:ascii="TimesNewRomanPSMT" w:hAnsi="TimesNewRomanPSMT"/>
          <w:sz w:val="26"/>
          <w:szCs w:val="28"/>
        </w:rPr>
        <w:t>João Pedro Basto</w:t>
      </w:r>
      <w:r>
        <w:rPr>
          <w:rFonts w:ascii="TimesNewRomanPSMT" w:hAnsi="TimesNewRomanPSMT"/>
          <w:sz w:val="26"/>
          <w:szCs w:val="28"/>
        </w:rPr>
        <w:t>s</w:t>
      </w:r>
      <w:r w:rsidRPr="00575E98">
        <w:rPr>
          <w:rFonts w:ascii="TimesNewRomanPSMT" w:hAnsi="TimesNewRomanPSMT"/>
          <w:sz w:val="26"/>
          <w:szCs w:val="28"/>
          <w:vertAlign w:val="superscript"/>
        </w:rPr>
        <w:t>*</w:t>
      </w:r>
    </w:p>
    <w:p w14:paraId="639781BE" w14:textId="68097075" w:rsidR="00492C61" w:rsidRDefault="00492C61" w:rsidP="00492C61">
      <w:pPr>
        <w:pStyle w:val="NormalWeb"/>
        <w:jc w:val="both"/>
        <w:rPr>
          <w:rFonts w:ascii="TimesNewRomanPSMT" w:hAnsi="TimesNewRomanPSMT"/>
        </w:rPr>
      </w:pPr>
      <w:r w:rsidRPr="009C3105">
        <w:rPr>
          <w:rFonts w:ascii="TimesNewRomanPSMT" w:hAnsi="TimesNewRomanPSMT"/>
          <w:b/>
          <w:bCs/>
        </w:rPr>
        <w:t>Institutional Overview:</w:t>
      </w:r>
      <w:r w:rsidRPr="009C3105">
        <w:rPr>
          <w:rFonts w:ascii="TimesNewRomanPSMT" w:hAnsi="TimesNewRomanPSMT"/>
        </w:rPr>
        <w:t> </w:t>
      </w:r>
    </w:p>
    <w:p w14:paraId="46593688" w14:textId="40510067" w:rsidR="00492C61" w:rsidRDefault="00492C61" w:rsidP="00492C61">
      <w:pPr>
        <w:pStyle w:val="NormalWeb"/>
        <w:jc w:val="both"/>
        <w:rPr>
          <w:rFonts w:ascii="TimesNewRomanPSMT" w:hAnsi="TimesNewRomanPSMT"/>
        </w:rPr>
      </w:pPr>
      <w:r>
        <w:rPr>
          <w:rFonts w:ascii="TimesNewRomanPSMT" w:hAnsi="TimesNewRomanPSMT"/>
        </w:rPr>
        <w:t xml:space="preserve">Occupational licensing has </w:t>
      </w:r>
      <w:r w:rsidR="0080687F">
        <w:rPr>
          <w:rFonts w:ascii="TimesNewRomanPSMT" w:hAnsi="TimesNewRomanPSMT"/>
        </w:rPr>
        <w:t xml:space="preserve">had </w:t>
      </w:r>
      <w:r>
        <w:rPr>
          <w:rFonts w:ascii="TimesNewRomanPSMT" w:hAnsi="TimesNewRomanPSMT"/>
        </w:rPr>
        <w:t>a long history in Brazil. Occupations such as medical doctors and land surveyors were regulated since the 1850s and 1860s, respectively, when the country was still the Empire of Brazil. Its current organization, however,</w:t>
      </w:r>
      <w:r w:rsidRPr="008E438E">
        <w:rPr>
          <w:rFonts w:ascii="TimesNewRomanPSMT" w:hAnsi="TimesNewRomanPSMT"/>
        </w:rPr>
        <w:t xml:space="preserve"> started </w:t>
      </w:r>
      <w:r>
        <w:rPr>
          <w:rFonts w:ascii="TimesNewRomanPSMT" w:hAnsi="TimesNewRomanPSMT"/>
        </w:rPr>
        <w:t>in the early 1930s. Among the first occupations requiring licensing by federal law were lawyers (1930-31), veterinary doctors and auctioneers, both in 1932, and engineers, architects</w:t>
      </w:r>
      <w:r w:rsidR="004E466B">
        <w:rPr>
          <w:rFonts w:ascii="TimesNewRomanPSMT" w:hAnsi="TimesNewRomanPSMT"/>
        </w:rPr>
        <w:t>,</w:t>
      </w:r>
      <w:r>
        <w:rPr>
          <w:rFonts w:ascii="TimesNewRomanPSMT" w:hAnsi="TimesNewRomanPSMT"/>
        </w:rPr>
        <w:t xml:space="preserve"> and agronomists, </w:t>
      </w:r>
      <w:r w:rsidR="0080687F">
        <w:rPr>
          <w:rFonts w:ascii="TimesNewRomanPSMT" w:hAnsi="TimesNewRomanPSMT"/>
        </w:rPr>
        <w:t>as well as</w:t>
      </w:r>
      <w:r>
        <w:rPr>
          <w:rFonts w:ascii="TimesNewRomanPSMT" w:hAnsi="TimesNewRomanPSMT"/>
        </w:rPr>
        <w:t xml:space="preserve"> lawyers</w:t>
      </w:r>
      <w:r w:rsidR="0080687F">
        <w:rPr>
          <w:rFonts w:ascii="TimesNewRomanPSMT" w:hAnsi="TimesNewRomanPSMT"/>
        </w:rPr>
        <w:t xml:space="preserve">, all in </w:t>
      </w:r>
      <w:r>
        <w:rPr>
          <w:rFonts w:ascii="TimesNewRomanPSMT" w:hAnsi="TimesNewRomanPSMT"/>
        </w:rPr>
        <w:t>1933.</w:t>
      </w:r>
      <w:r w:rsidRPr="00A32FFA">
        <w:rPr>
          <w:rFonts w:ascii="TimesNewRomanPSMT" w:hAnsi="TimesNewRomanPSMT"/>
        </w:rPr>
        <w:t xml:space="preserve"> </w:t>
      </w:r>
    </w:p>
    <w:p w14:paraId="678DD772" w14:textId="23963CDF" w:rsidR="00492C61" w:rsidRDefault="00492C61" w:rsidP="00492C61">
      <w:pPr>
        <w:pStyle w:val="NormalWeb"/>
        <w:jc w:val="both"/>
        <w:rPr>
          <w:rFonts w:ascii="TimesNewRomanPSMT" w:hAnsi="TimesNewRomanPSMT"/>
        </w:rPr>
      </w:pPr>
      <w:r>
        <w:rPr>
          <w:rFonts w:ascii="TimesNewRomanPSMT" w:hAnsi="TimesNewRomanPSMT"/>
        </w:rPr>
        <w:t xml:space="preserve">In general, licensing requirements were limited to obtaining a valid degree </w:t>
      </w:r>
      <w:r w:rsidR="0080687F">
        <w:rPr>
          <w:rFonts w:ascii="TimesNewRomanPSMT" w:hAnsi="TimesNewRomanPSMT"/>
        </w:rPr>
        <w:t>i</w:t>
      </w:r>
      <w:r>
        <w:rPr>
          <w:rFonts w:ascii="TimesNewRomanPSMT" w:hAnsi="TimesNewRomanPSMT"/>
        </w:rPr>
        <w:t>n the field, but some went further. That of auctioneer, for instance, imposed restrictions based on Brazilian citizenship, a minimum age of 25 years, being a resident of the locality in which one intended to exercise the occupation for at least five years</w:t>
      </w:r>
      <w:r w:rsidR="0070240A">
        <w:rPr>
          <w:rFonts w:ascii="TimesNewRomanPSMT" w:hAnsi="TimesNewRomanPSMT"/>
        </w:rPr>
        <w:t>,</w:t>
      </w:r>
      <w:r>
        <w:rPr>
          <w:rFonts w:ascii="TimesNewRomanPSMT" w:hAnsi="TimesNewRomanPSMT"/>
        </w:rPr>
        <w:t xml:space="preserve"> and proof of no criminal records. Today, there are no nationality-based restrictions</w:t>
      </w:r>
      <w:r w:rsidR="009C3105">
        <w:rPr>
          <w:rFonts w:ascii="TimesNewRomanPSMT" w:hAnsi="TimesNewRomanPSMT"/>
        </w:rPr>
        <w:t xml:space="preserve">. </w:t>
      </w:r>
    </w:p>
    <w:p w14:paraId="478F1AAA" w14:textId="13636E7D" w:rsidR="00492C61" w:rsidRPr="00992848" w:rsidRDefault="00492C61" w:rsidP="00992848">
      <w:pPr>
        <w:pStyle w:val="NormalWeb"/>
        <w:jc w:val="both"/>
        <w:rPr>
          <w:rFonts w:ascii="TimesNewRomanPSMT" w:hAnsi="TimesNewRomanPSMT"/>
        </w:rPr>
      </w:pPr>
      <w:r>
        <w:rPr>
          <w:rFonts w:ascii="TimesNewRomanPSMT" w:hAnsi="TimesNewRomanPSMT"/>
        </w:rPr>
        <w:t>While Brazil is a federalist country, the regulation of all occupations is implemented at the federal level, except for wage agreements. Interestingly, there was no constitutional clause that allowed the federal government to regulate occupations then. This changed in 1934 when a new constitution established that, although free to exercise any occupation, one should observe the “technical capabilities and other conditions that the law should establish, dictated by public interest”</w:t>
      </w:r>
      <w:r w:rsidR="0080687F">
        <w:rPr>
          <w:rFonts w:ascii="TimesNewRomanPSMT" w:hAnsi="TimesNewRomanPSMT"/>
        </w:rPr>
        <w:t xml:space="preserve"> (Article 113, item 13).</w:t>
      </w:r>
      <w:r w:rsidR="0080687F">
        <w:rPr>
          <w:rStyle w:val="FootnoteReference"/>
          <w:rFonts w:ascii="TimesNewRomanPSMT" w:hAnsi="TimesNewRomanPSMT"/>
        </w:rPr>
        <w:footnoteReference w:id="1"/>
      </w:r>
      <w:r>
        <w:rPr>
          <w:rFonts w:ascii="TimesNewRomanPSMT" w:hAnsi="TimesNewRomanPSMT"/>
        </w:rPr>
        <w:t xml:space="preserve"> </w:t>
      </w:r>
      <w:r w:rsidR="0080687F">
        <w:rPr>
          <w:rFonts w:ascii="TimesNewRomanPSMT" w:hAnsi="TimesNewRomanPSMT"/>
        </w:rPr>
        <w:t>Further, s</w:t>
      </w:r>
      <w:r w:rsidR="00992848">
        <w:rPr>
          <w:rFonts w:ascii="TimesNewRomanPSMT" w:hAnsi="TimesNewRomanPSMT"/>
        </w:rPr>
        <w:t>ince 1944, “</w:t>
      </w:r>
      <w:r w:rsidR="00992848" w:rsidRPr="00992848">
        <w:rPr>
          <w:rFonts w:ascii="TimesNewRomanPSMT" w:hAnsi="TimesNewRomanPSMT"/>
        </w:rPr>
        <w:t>Exercising a profession or economic activity, or advertising that one exercises it, without meeting the conditions required by law for its practice</w:t>
      </w:r>
      <w:r w:rsidR="00992848">
        <w:rPr>
          <w:rFonts w:ascii="TimesNewRomanPSMT" w:hAnsi="TimesNewRomanPSMT"/>
        </w:rPr>
        <w:t xml:space="preserve">” is considered a misdemeanor, punishable by </w:t>
      </w:r>
      <w:r w:rsidR="00992848" w:rsidRPr="00992848">
        <w:rPr>
          <w:rFonts w:ascii="TimesNewRomanPSMT" w:hAnsi="TimesNewRomanPSMT"/>
        </w:rPr>
        <w:t>imprisonment, from fifteen days to three months, or a fine</w:t>
      </w:r>
      <w:r w:rsidR="00992848">
        <w:rPr>
          <w:rFonts w:ascii="TimesNewRomanPSMT" w:hAnsi="TimesNewRomanPSMT"/>
        </w:rPr>
        <w:t xml:space="preserve"> (Code of Misdemeanors, Article 47).</w:t>
      </w:r>
      <w:r w:rsidR="00992848">
        <w:rPr>
          <w:rStyle w:val="FootnoteReference"/>
          <w:rFonts w:ascii="TimesNewRomanPSMT" w:hAnsi="TimesNewRomanPSMT"/>
        </w:rPr>
        <w:footnoteReference w:id="2"/>
      </w:r>
      <w:r w:rsidR="00992848">
        <w:rPr>
          <w:rFonts w:ascii="TimesNewRomanPSMT" w:hAnsi="TimesNewRomanPSMT"/>
        </w:rPr>
        <w:t xml:space="preserve"> </w:t>
      </w:r>
    </w:p>
    <w:p w14:paraId="311EF633" w14:textId="6D8D95AB" w:rsidR="0070240A" w:rsidRDefault="00492C61" w:rsidP="00492C61">
      <w:pPr>
        <w:pStyle w:val="NormalWeb"/>
        <w:jc w:val="both"/>
        <w:rPr>
          <w:rFonts w:ascii="TimesNewRomanPSMT" w:hAnsi="TimesNewRomanPSMT"/>
        </w:rPr>
      </w:pPr>
      <w:r>
        <w:rPr>
          <w:rFonts w:ascii="TimesNewRomanPSMT" w:hAnsi="TimesNewRomanPSMT"/>
        </w:rPr>
        <w:t>A new category of occupational regulation began after the introduction of the minimum wage legislation in the 1940s. In the following years, four categories of workers were also able to approve federal legislation fixing “professional wages” – an occupation-specific minimum wage.</w:t>
      </w:r>
      <w:r w:rsidR="00F510A2">
        <w:rPr>
          <w:rStyle w:val="FootnoteReference"/>
          <w:rFonts w:ascii="TimesNewRomanPSMT" w:hAnsi="TimesNewRomanPSMT"/>
        </w:rPr>
        <w:footnoteReference w:id="3"/>
      </w:r>
      <w:r w:rsidR="0070240A">
        <w:rPr>
          <w:rFonts w:ascii="TimesNewRomanPSMT" w:hAnsi="TimesNewRomanPSMT"/>
        </w:rPr>
        <w:t xml:space="preserve"> </w:t>
      </w:r>
      <w:r>
        <w:rPr>
          <w:rFonts w:ascii="TimesNewRomanPSMT" w:hAnsi="TimesNewRomanPSMT"/>
        </w:rPr>
        <w:t>These were journalists (1944), copy-editors (1945), medical doctors, medical assistants, and dental surgeons (1945), and radio presenter/announcer (1945).</w:t>
      </w:r>
      <w:r>
        <w:rPr>
          <w:rStyle w:val="FootnoteReference"/>
          <w:rFonts w:ascii="TimesNewRomanPSMT" w:hAnsi="TimesNewRomanPSMT"/>
        </w:rPr>
        <w:footnoteReference w:id="4"/>
      </w:r>
      <w:r>
        <w:rPr>
          <w:rFonts w:ascii="TimesNewRomanPSMT" w:hAnsi="TimesNewRomanPSMT"/>
        </w:rPr>
        <w:t xml:space="preserve"> In 1966, graduates from schools of engineering, chemistry, architecture, veterinary, and agronomy were able to approve professional minimum wages as well. Finally, in 1985, radiology technicians obtained the same privilege. In </w:t>
      </w:r>
      <w:r>
        <w:rPr>
          <w:rFonts w:ascii="TimesNewRomanPSMT" w:hAnsi="TimesNewRomanPSMT"/>
        </w:rPr>
        <w:lastRenderedPageBreak/>
        <w:t xml:space="preserve">2000, a federal law authorized </w:t>
      </w:r>
      <w:r w:rsidR="00CF3B0C">
        <w:rPr>
          <w:rFonts w:ascii="TimesNewRomanPSMT" w:hAnsi="TimesNewRomanPSMT"/>
        </w:rPr>
        <w:t>state</w:t>
      </w:r>
      <w:r>
        <w:rPr>
          <w:rFonts w:ascii="TimesNewRomanPSMT" w:hAnsi="TimesNewRomanPSMT"/>
        </w:rPr>
        <w:t xml:space="preserve"> government</w:t>
      </w:r>
      <w:r w:rsidR="00CF3B0C">
        <w:rPr>
          <w:rFonts w:ascii="TimesNewRomanPSMT" w:hAnsi="TimesNewRomanPSMT"/>
        </w:rPr>
        <w:t>s</w:t>
      </w:r>
      <w:r>
        <w:rPr>
          <w:rFonts w:ascii="TimesNewRomanPSMT" w:hAnsi="TimesNewRomanPSMT"/>
        </w:rPr>
        <w:t xml:space="preserve"> to fix other </w:t>
      </w:r>
      <w:r w:rsidR="00CF3B0C">
        <w:rPr>
          <w:rFonts w:ascii="TimesNewRomanPSMT" w:hAnsi="TimesNewRomanPSMT"/>
        </w:rPr>
        <w:t>wage floors</w:t>
      </w:r>
      <w:r>
        <w:rPr>
          <w:rFonts w:ascii="TimesNewRomanPSMT" w:hAnsi="TimesNewRomanPSMT"/>
        </w:rPr>
        <w:t>.</w:t>
      </w:r>
      <w:r>
        <w:rPr>
          <w:rStyle w:val="FootnoteReference"/>
          <w:rFonts w:ascii="TimesNewRomanPSMT" w:hAnsi="TimesNewRomanPSMT"/>
        </w:rPr>
        <w:footnoteReference w:id="5"/>
      </w:r>
      <w:r>
        <w:rPr>
          <w:rFonts w:ascii="TimesNewRomanPSMT" w:hAnsi="TimesNewRomanPSMT"/>
        </w:rPr>
        <w:t xml:space="preserve"> Primary and secondary school teachers and nurses are two </w:t>
      </w:r>
      <w:r w:rsidR="00CF3B0C">
        <w:rPr>
          <w:rFonts w:ascii="TimesNewRomanPSMT" w:hAnsi="TimesNewRomanPSMT"/>
        </w:rPr>
        <w:t>occupations</w:t>
      </w:r>
      <w:r>
        <w:rPr>
          <w:rFonts w:ascii="TimesNewRomanPSMT" w:hAnsi="TimesNewRomanPSMT"/>
        </w:rPr>
        <w:t xml:space="preserve"> that have been able to approve “professional wage” legislation since then. Although licensed professions gained an advantage (through clear excludability) in establishing “professional wages”, this privilege was separated from overall licensing.</w:t>
      </w:r>
      <w:r>
        <w:rPr>
          <w:rStyle w:val="FootnoteReference"/>
          <w:rFonts w:ascii="TimesNewRomanPSMT" w:hAnsi="TimesNewRomanPSMT"/>
        </w:rPr>
        <w:footnoteReference w:id="6"/>
      </w:r>
      <w:r>
        <w:rPr>
          <w:rFonts w:ascii="TimesNewRomanPSMT" w:hAnsi="TimesNewRomanPSMT"/>
        </w:rPr>
        <w:t xml:space="preserve"> </w:t>
      </w:r>
    </w:p>
    <w:p w14:paraId="75DE3491" w14:textId="3C91B1B1" w:rsidR="0070240A" w:rsidRDefault="00492C61" w:rsidP="00492C61">
      <w:pPr>
        <w:pStyle w:val="NormalWeb"/>
        <w:jc w:val="both"/>
        <w:rPr>
          <w:rFonts w:ascii="TimesNewRomanPSMT" w:hAnsi="TimesNewRomanPSMT"/>
        </w:rPr>
      </w:pPr>
      <w:r w:rsidRPr="00760135">
        <w:rPr>
          <w:rFonts w:ascii="TimesNewRomanPSMT" w:hAnsi="TimesNewRomanPSMT"/>
        </w:rPr>
        <w:t xml:space="preserve">Currently, there are </w:t>
      </w:r>
      <w:r w:rsidR="00AA40D0">
        <w:rPr>
          <w:rFonts w:ascii="TimesNewRomanPSMT" w:hAnsi="TimesNewRomanPSMT"/>
        </w:rPr>
        <w:t xml:space="preserve">at least </w:t>
      </w:r>
      <w:r w:rsidR="004B4424">
        <w:rPr>
          <w:rFonts w:ascii="TimesNewRomanPSMT" w:hAnsi="TimesNewRomanPSMT"/>
        </w:rPr>
        <w:t>8</w:t>
      </w:r>
      <w:r w:rsidR="00003AA1">
        <w:rPr>
          <w:rFonts w:ascii="TimesNewRomanPSMT" w:hAnsi="TimesNewRomanPSMT"/>
        </w:rPr>
        <w:t>4</w:t>
      </w:r>
      <w:r w:rsidRPr="009547AB">
        <w:rPr>
          <w:rFonts w:ascii="TimesNewRomanPSMT" w:hAnsi="TimesNewRomanPSMT"/>
        </w:rPr>
        <w:t xml:space="preserve"> </w:t>
      </w:r>
      <w:r w:rsidRPr="00760135">
        <w:rPr>
          <w:rFonts w:ascii="TimesNewRomanPSMT" w:hAnsi="TimesNewRomanPSMT"/>
        </w:rPr>
        <w:t>regulated occupations in Brazil.</w:t>
      </w:r>
      <w:r w:rsidR="004B4424">
        <w:rPr>
          <w:rStyle w:val="FootnoteReference"/>
          <w:rFonts w:ascii="TimesNewRomanPSMT" w:hAnsi="TimesNewRomanPSMT"/>
        </w:rPr>
        <w:footnoteReference w:id="7"/>
      </w:r>
      <w:r w:rsidRPr="00760135">
        <w:rPr>
          <w:rFonts w:ascii="TimesNewRomanPSMT" w:hAnsi="TimesNewRomanPSMT"/>
        </w:rPr>
        <w:t xml:space="preserve"> </w:t>
      </w:r>
      <w:r>
        <w:rPr>
          <w:rFonts w:ascii="TimesNewRomanPSMT" w:hAnsi="TimesNewRomanPSMT"/>
        </w:rPr>
        <w:t xml:space="preserve">These are occupations for which the law establishes </w:t>
      </w:r>
      <w:r w:rsidR="00895659">
        <w:rPr>
          <w:rFonts w:ascii="TimesNewRomanPSMT" w:hAnsi="TimesNewRomanPSMT"/>
        </w:rPr>
        <w:t>occupation-</w:t>
      </w:r>
      <w:r>
        <w:rPr>
          <w:rFonts w:ascii="TimesNewRomanPSMT" w:hAnsi="TimesNewRomanPSMT"/>
        </w:rPr>
        <w:t xml:space="preserve">specific norms about (e.g.) duration of employment contract, labor safety standards, and working day length, that differ from the general regulations that should apply to all workers. </w:t>
      </w:r>
      <w:r w:rsidR="00895659">
        <w:rPr>
          <w:rFonts w:ascii="TimesNewRomanPSMT" w:hAnsi="TimesNewRomanPSMT"/>
        </w:rPr>
        <w:t xml:space="preserve">Thus, these tend to be occupations that have unusual employment characteristics. </w:t>
      </w:r>
      <w:r w:rsidR="00132703">
        <w:rPr>
          <w:rFonts w:ascii="TimesNewRomanPSMT" w:hAnsi="TimesNewRomanPSMT"/>
        </w:rPr>
        <w:t xml:space="preserve"> Crucially, </w:t>
      </w:r>
      <w:r w:rsidR="009C3105">
        <w:rPr>
          <w:rFonts w:ascii="TimesNewRomanPSMT" w:hAnsi="TimesNewRomanPSMT"/>
        </w:rPr>
        <w:t xml:space="preserve">only 68 of the </w:t>
      </w:r>
      <w:r w:rsidR="00132703">
        <w:rPr>
          <w:rFonts w:ascii="TimesNewRomanPSMT" w:hAnsi="TimesNewRomanPSMT"/>
        </w:rPr>
        <w:t>regulated occupations have licensing requirements.</w:t>
      </w:r>
    </w:p>
    <w:p w14:paraId="640F4029" w14:textId="27669F61" w:rsidR="004B4424" w:rsidRPr="004B4424" w:rsidRDefault="004B4424" w:rsidP="004B4424">
      <w:pPr>
        <w:pStyle w:val="NormalWeb"/>
        <w:keepNext/>
        <w:jc w:val="both"/>
        <w:rPr>
          <w:b/>
          <w:bCs/>
        </w:rPr>
      </w:pPr>
      <w:r>
        <w:rPr>
          <w:b/>
          <w:bCs/>
        </w:rPr>
        <w:t>Figure 1: Number of Regulated Occupations (1930-2024)</w:t>
      </w:r>
    </w:p>
    <w:p w14:paraId="1505D0D5" w14:textId="6EA0C8F4" w:rsidR="004B4424" w:rsidRDefault="00770666" w:rsidP="00492C61">
      <w:pPr>
        <w:pStyle w:val="NormalWeb"/>
        <w:jc w:val="both"/>
        <w:rPr>
          <w:rFonts w:ascii="TimesNewRomanPSMT" w:hAnsi="TimesNewRomanPSMT"/>
        </w:rPr>
      </w:pPr>
      <w:r>
        <w:rPr>
          <w:noProof/>
        </w:rPr>
        <w:drawing>
          <wp:inline distT="0" distB="0" distL="0" distR="0" wp14:anchorId="294A2237" wp14:editId="1C1EEAAD">
            <wp:extent cx="5943600" cy="3636645"/>
            <wp:effectExtent l="0" t="0" r="12700" b="8255"/>
            <wp:docPr id="1690521247" name="Chart 1">
              <a:extLst xmlns:a="http://schemas.openxmlformats.org/drawingml/2006/main">
                <a:ext uri="{FF2B5EF4-FFF2-40B4-BE49-F238E27FC236}">
                  <a16:creationId xmlns:a16="http://schemas.microsoft.com/office/drawing/2014/main" id="{CD43C66E-931D-2E09-8D2D-50A4DB875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401FDA" w14:textId="7BA8C728" w:rsidR="0070240A" w:rsidRPr="00132703" w:rsidRDefault="00492C61" w:rsidP="00492C61">
      <w:pPr>
        <w:pStyle w:val="NormalWeb"/>
        <w:jc w:val="both"/>
        <w:rPr>
          <w:rFonts w:ascii="TimesNewRomanPSMT" w:hAnsi="TimesNewRomanPSMT"/>
        </w:rPr>
      </w:pPr>
      <w:r>
        <w:rPr>
          <w:rFonts w:ascii="TimesNewRomanPSMT" w:hAnsi="TimesNewRomanPSMT"/>
        </w:rPr>
        <w:lastRenderedPageBreak/>
        <w:t xml:space="preserve">In </w:t>
      </w:r>
      <w:r w:rsidR="009C3105">
        <w:rPr>
          <w:rFonts w:ascii="TimesNewRomanPSMT" w:hAnsi="TimesNewRomanPSMT"/>
        </w:rPr>
        <w:t>nearly</w:t>
      </w:r>
      <w:r>
        <w:rPr>
          <w:rFonts w:ascii="TimesNewRomanPSMT" w:hAnsi="TimesNewRomanPSMT"/>
        </w:rPr>
        <w:t xml:space="preserve"> </w:t>
      </w:r>
      <w:r w:rsidR="00895659">
        <w:rPr>
          <w:rFonts w:ascii="TimesNewRomanPSMT" w:hAnsi="TimesNewRomanPSMT"/>
        </w:rPr>
        <w:t xml:space="preserve">all </w:t>
      </w:r>
      <w:r>
        <w:rPr>
          <w:rFonts w:ascii="TimesNewRomanPSMT" w:hAnsi="TimesNewRomanPSMT"/>
        </w:rPr>
        <w:t xml:space="preserve">cases, </w:t>
      </w:r>
      <w:r w:rsidR="00895659">
        <w:rPr>
          <w:rFonts w:ascii="TimesNewRomanPSMT" w:hAnsi="TimesNewRomanPSMT"/>
        </w:rPr>
        <w:t xml:space="preserve">licensing does not have explicit </w:t>
      </w:r>
      <w:r w:rsidR="00895659">
        <w:rPr>
          <w:rFonts w:ascii="TimesNewRomanPSMT" w:hAnsi="TimesNewRomanPSMT"/>
          <w:i/>
          <w:iCs/>
        </w:rPr>
        <w:t>ex ante</w:t>
      </w:r>
      <w:r w:rsidR="00895659">
        <w:rPr>
          <w:rFonts w:ascii="TimesNewRomanPSMT" w:hAnsi="TimesNewRomanPSMT"/>
        </w:rPr>
        <w:t xml:space="preserve"> ties to quality other than </w:t>
      </w:r>
      <w:r w:rsidR="00132703">
        <w:rPr>
          <w:rFonts w:ascii="TimesNewRomanPSMT" w:hAnsi="TimesNewRomanPSMT"/>
        </w:rPr>
        <w:t xml:space="preserve">some </w:t>
      </w:r>
      <w:r>
        <w:rPr>
          <w:rFonts w:ascii="TimesNewRomanPSMT" w:hAnsi="TimesNewRomanPSMT"/>
        </w:rPr>
        <w:t>minimum educational requirement</w:t>
      </w:r>
      <w:r w:rsidR="00895659">
        <w:rPr>
          <w:rFonts w:ascii="TimesNewRomanPSMT" w:hAnsi="TimesNewRomanPSMT"/>
        </w:rPr>
        <w:t xml:space="preserve"> (</w:t>
      </w:r>
      <w:r w:rsidR="00132703">
        <w:rPr>
          <w:rFonts w:ascii="TimesNewRomanPSMT" w:hAnsi="TimesNewRomanPSMT"/>
        </w:rPr>
        <w:t xml:space="preserve">usually </w:t>
      </w:r>
      <w:r w:rsidR="00895659">
        <w:rPr>
          <w:rFonts w:ascii="TimesNewRomanPSMT" w:hAnsi="TimesNewRomanPSMT"/>
        </w:rPr>
        <w:t>a degree in the field).</w:t>
      </w:r>
      <w:r w:rsidR="00575E98">
        <w:rPr>
          <w:rFonts w:ascii="TimesNewRomanPSMT" w:hAnsi="TimesNewRomanPSMT"/>
        </w:rPr>
        <w:t xml:space="preserve"> Among</w:t>
      </w:r>
      <w:r w:rsidR="00132703">
        <w:rPr>
          <w:rFonts w:ascii="TimesNewRomanPSMT" w:hAnsi="TimesNewRomanPSMT"/>
        </w:rPr>
        <w:t xml:space="preserve"> occupations where </w:t>
      </w:r>
      <w:r>
        <w:rPr>
          <w:rFonts w:ascii="TimesNewRomanPSMT" w:hAnsi="TimesNewRomanPSMT"/>
        </w:rPr>
        <w:t>registration under professional boards or regulatory agencies</w:t>
      </w:r>
      <w:r w:rsidR="00132703">
        <w:rPr>
          <w:rFonts w:ascii="TimesNewRomanPSMT" w:hAnsi="TimesNewRomanPSMT"/>
        </w:rPr>
        <w:t xml:space="preserve"> is required</w:t>
      </w:r>
      <w:r>
        <w:rPr>
          <w:rFonts w:ascii="TimesNewRomanPSMT" w:hAnsi="TimesNewRomanPSMT"/>
        </w:rPr>
        <w:t xml:space="preserve">, </w:t>
      </w:r>
      <w:r w:rsidR="00132703">
        <w:rPr>
          <w:rFonts w:ascii="TimesNewRomanPSMT" w:hAnsi="TimesNewRomanPSMT"/>
        </w:rPr>
        <w:t xml:space="preserve">quality is only ascertained </w:t>
      </w:r>
      <w:r w:rsidR="00132703">
        <w:rPr>
          <w:rFonts w:ascii="TimesNewRomanPSMT" w:hAnsi="TimesNewRomanPSMT"/>
          <w:i/>
          <w:iCs/>
        </w:rPr>
        <w:t>ex post</w:t>
      </w:r>
      <w:r w:rsidR="00132703">
        <w:rPr>
          <w:rFonts w:ascii="TimesNewRomanPSMT" w:hAnsi="TimesNewRomanPSMT"/>
        </w:rPr>
        <w:t xml:space="preserve"> if a complaint arises. The only exception </w:t>
      </w:r>
      <w:r w:rsidR="00575E98">
        <w:rPr>
          <w:rFonts w:ascii="TimesNewRomanPSMT" w:hAnsi="TimesNewRomanPSMT"/>
        </w:rPr>
        <w:t>is</w:t>
      </w:r>
      <w:r w:rsidR="00132703">
        <w:rPr>
          <w:rFonts w:ascii="TimesNewRomanPSMT" w:hAnsi="TimesNewRomanPSMT"/>
        </w:rPr>
        <w:t xml:space="preserve"> lawyers, for which a national examination is required </w:t>
      </w:r>
      <w:r w:rsidR="009C3105">
        <w:rPr>
          <w:rFonts w:ascii="TimesNewRomanPSMT" w:hAnsi="TimesNewRomanPSMT"/>
        </w:rPr>
        <w:t>to</w:t>
      </w:r>
      <w:r w:rsidR="00132703">
        <w:rPr>
          <w:rFonts w:ascii="TimesNewRomanPSMT" w:hAnsi="TimesNewRomanPSMT"/>
        </w:rPr>
        <w:t xml:space="preserve"> obtain a license.</w:t>
      </w:r>
    </w:p>
    <w:p w14:paraId="4DD6D346" w14:textId="7AC80F8C" w:rsidR="00492C61" w:rsidRPr="00A32FFA" w:rsidRDefault="009C3105" w:rsidP="00492C61">
      <w:pPr>
        <w:pStyle w:val="NormalWeb"/>
        <w:jc w:val="both"/>
        <w:rPr>
          <w:rFonts w:ascii="TimesNewRomanPSMT" w:hAnsi="TimesNewRomanPSMT"/>
          <w:i/>
          <w:iCs/>
        </w:rPr>
      </w:pPr>
      <w:r>
        <w:rPr>
          <w:rFonts w:ascii="TimesNewRomanPSMT" w:hAnsi="TimesNewRomanPSMT"/>
          <w:b/>
          <w:bCs/>
        </w:rPr>
        <w:t xml:space="preserve">2. </w:t>
      </w:r>
      <w:r w:rsidR="00492C61" w:rsidRPr="00A32FFA">
        <w:rPr>
          <w:rFonts w:ascii="TimesNewRomanPSMT" w:hAnsi="TimesNewRomanPSMT"/>
          <w:b/>
          <w:bCs/>
        </w:rPr>
        <w:t>Literature Overview</w:t>
      </w:r>
    </w:p>
    <w:p w14:paraId="45741293" w14:textId="312ADD0B" w:rsidR="00492C61" w:rsidRDefault="00492C61" w:rsidP="00492C61">
      <w:pPr>
        <w:pStyle w:val="NormalWeb"/>
        <w:jc w:val="both"/>
        <w:rPr>
          <w:rFonts w:ascii="TimesNewRomanPSMT" w:hAnsi="TimesNewRomanPSMT"/>
        </w:rPr>
      </w:pPr>
      <w:r>
        <w:rPr>
          <w:rFonts w:ascii="TimesNewRomanPSMT" w:hAnsi="TimesNewRomanPSMT"/>
        </w:rPr>
        <w:t>The academic literature on occupational licensing in Brazil is</w:t>
      </w:r>
      <w:r w:rsidR="00043E51">
        <w:rPr>
          <w:rFonts w:ascii="TimesNewRomanPSMT" w:hAnsi="TimesNewRomanPSMT"/>
        </w:rPr>
        <w:t>,</w:t>
      </w:r>
      <w:r>
        <w:rPr>
          <w:rFonts w:ascii="TimesNewRomanPSMT" w:hAnsi="TimesNewRomanPSMT"/>
        </w:rPr>
        <w:t xml:space="preserve"> unfortunately, scarce. Studies regarding licensing are mostly limited to two branches. First, there is a group of studies regarding the history of licensing for specific occupations and their professional boards.</w:t>
      </w:r>
      <w:r>
        <w:rPr>
          <w:rStyle w:val="FootnoteReference"/>
          <w:rFonts w:ascii="TimesNewRomanPSMT" w:hAnsi="TimesNewRomanPSMT"/>
        </w:rPr>
        <w:footnoteReference w:id="8"/>
      </w:r>
      <w:r>
        <w:rPr>
          <w:rFonts w:ascii="TimesNewRomanPSMT" w:hAnsi="TimesNewRomanPSMT"/>
        </w:rPr>
        <w:t xml:space="preserve"> Second, studies that discuss, in broad terms, the trade-offs of regulation for a given occupation, their current state of affairs, and how it could be improved (e.g. Vieira, 2020; de Almeida, </w:t>
      </w:r>
      <w:proofErr w:type="spellStart"/>
      <w:r>
        <w:rPr>
          <w:rFonts w:ascii="TimesNewRomanPSMT" w:hAnsi="TimesNewRomanPSMT"/>
        </w:rPr>
        <w:t>Montagner</w:t>
      </w:r>
      <w:proofErr w:type="spellEnd"/>
      <w:r>
        <w:rPr>
          <w:rFonts w:ascii="TimesNewRomanPSMT" w:hAnsi="TimesNewRomanPSMT"/>
        </w:rPr>
        <w:t xml:space="preserve">, and Gutierrez, 2009; </w:t>
      </w:r>
      <w:proofErr w:type="spellStart"/>
      <w:r>
        <w:rPr>
          <w:rFonts w:ascii="TimesNewRomanPSMT" w:hAnsi="TimesNewRomanPSMT"/>
        </w:rPr>
        <w:t>Guimarães</w:t>
      </w:r>
      <w:proofErr w:type="spellEnd"/>
      <w:r>
        <w:rPr>
          <w:rFonts w:ascii="TimesNewRomanPSMT" w:hAnsi="TimesNewRomanPSMT"/>
        </w:rPr>
        <w:t xml:space="preserve"> e Rego, 2005). For instance, Nascimento (2011) surveys legal decisions regarding the regulation of professional journalists. He reports that the Supreme Court weighed that, in this case, freedom of occupation is implied by freedom of speech. Thus, any limitations (such as requiring a formal degree) would in practice be at odds with the freedom of the press. </w:t>
      </w:r>
    </w:p>
    <w:p w14:paraId="10F96BB2" w14:textId="6AA97F6E" w:rsidR="00492C61" w:rsidRDefault="00492C61" w:rsidP="00492C61">
      <w:pPr>
        <w:pStyle w:val="NormalWeb"/>
        <w:jc w:val="both"/>
        <w:rPr>
          <w:rFonts w:ascii="TimesNewRomanPSMT" w:hAnsi="TimesNewRomanPSMT"/>
        </w:rPr>
      </w:pPr>
      <w:r>
        <w:rPr>
          <w:rFonts w:ascii="TimesNewRomanPSMT" w:hAnsi="TimesNewRomanPSMT"/>
        </w:rPr>
        <w:t xml:space="preserve">Above all, empirical studies are extremely rare. A notable exception is Silva and Vieira (2004), who </w:t>
      </w:r>
      <w:r w:rsidR="001B1EA1">
        <w:rPr>
          <w:rFonts w:ascii="TimesNewRomanPSMT" w:hAnsi="TimesNewRomanPSMT"/>
        </w:rPr>
        <w:t>surveyed</w:t>
      </w:r>
      <w:r>
        <w:rPr>
          <w:rFonts w:ascii="TimesNewRomanPSMT" w:hAnsi="TimesNewRomanPSMT"/>
        </w:rPr>
        <w:t xml:space="preserve"> pharmacists’ knowledge of sanitary legislation and the attributions of pharmacists.</w:t>
      </w:r>
      <w:r>
        <w:rPr>
          <w:rStyle w:val="FootnoteReference"/>
          <w:rFonts w:ascii="TimesNewRomanPSMT" w:hAnsi="TimesNewRomanPSMT"/>
        </w:rPr>
        <w:footnoteReference w:id="9"/>
      </w:r>
      <w:r>
        <w:rPr>
          <w:rFonts w:ascii="TimesNewRomanPSMT" w:hAnsi="TimesNewRomanPSMT"/>
        </w:rPr>
        <w:t xml:space="preserve"> They find that 28% of pharmacists have insufficient knowledge, 50% are considered regular, and only 22% have good knowledge. For instance, 35.3% of respondents were not aware that drugstores must </w:t>
      </w:r>
      <w:r w:rsidR="001B1EA1">
        <w:rPr>
          <w:rFonts w:ascii="TimesNewRomanPSMT" w:hAnsi="TimesNewRomanPSMT"/>
        </w:rPr>
        <w:t>always have a pharmacist present</w:t>
      </w:r>
      <w:r>
        <w:rPr>
          <w:rFonts w:ascii="TimesNewRomanPSMT" w:hAnsi="TimesNewRomanPSMT"/>
        </w:rPr>
        <w:t xml:space="preserve"> and 46% were unaware that a popular name-brand muscle relaxer required a medical prescription. A similar study by </w:t>
      </w:r>
      <w:proofErr w:type="spellStart"/>
      <w:r>
        <w:rPr>
          <w:rFonts w:ascii="TimesNewRomanPSMT" w:hAnsi="TimesNewRomanPSMT"/>
        </w:rPr>
        <w:t>Gir</w:t>
      </w:r>
      <w:proofErr w:type="spellEnd"/>
      <w:r>
        <w:rPr>
          <w:rFonts w:ascii="TimesNewRomanPSMT" w:hAnsi="TimesNewRomanPSMT"/>
        </w:rPr>
        <w:t xml:space="preserve"> </w:t>
      </w:r>
      <w:r w:rsidRPr="00043E51">
        <w:rPr>
          <w:rFonts w:ascii="TimesNewRomanPSMT" w:hAnsi="TimesNewRomanPSMT"/>
          <w:i/>
          <w:iCs/>
        </w:rPr>
        <w:t>et al.</w:t>
      </w:r>
      <w:r>
        <w:rPr>
          <w:rFonts w:ascii="TimesNewRomanPSMT" w:hAnsi="TimesNewRomanPSMT"/>
        </w:rPr>
        <w:t xml:space="preserve"> (2003) surveyed pharmacy clerks on their knowledge of gonorrhea, including how to identify and what drugs to prescribe. They concluded that most attendants had insufficient knowledge of the disease and prescribed medications incorrectly.</w:t>
      </w:r>
      <w:r w:rsidR="00043E51">
        <w:rPr>
          <w:rStyle w:val="FootnoteReference"/>
          <w:rFonts w:ascii="TimesNewRomanPSMT" w:hAnsi="TimesNewRomanPSMT"/>
        </w:rPr>
        <w:footnoteReference w:id="10"/>
      </w:r>
    </w:p>
    <w:p w14:paraId="696AB113" w14:textId="75BF79CE" w:rsidR="001B1EA1" w:rsidRDefault="00492C61" w:rsidP="00492C61">
      <w:pPr>
        <w:pStyle w:val="NormalWeb"/>
        <w:jc w:val="both"/>
        <w:rPr>
          <w:rFonts w:ascii="TimesNewRomanPSMT" w:hAnsi="TimesNewRomanPSMT"/>
        </w:rPr>
      </w:pPr>
      <w:r>
        <w:rPr>
          <w:rFonts w:ascii="TimesNewRomanPSMT" w:hAnsi="TimesNewRomanPSMT"/>
        </w:rPr>
        <w:t>In contrast, Brazil has a vibrant literature on the effects of other types of labor regulations and wage dynamics, with a special interest in the effects and determinants of informality. The latter is</w:t>
      </w:r>
      <w:r w:rsidR="001B1EA1">
        <w:rPr>
          <w:rFonts w:ascii="TimesNewRomanPSMT" w:hAnsi="TimesNewRomanPSMT"/>
        </w:rPr>
        <w:t xml:space="preserve"> </w:t>
      </w:r>
      <w:r>
        <w:rPr>
          <w:rFonts w:ascii="TimesNewRomanPSMT" w:hAnsi="TimesNewRomanPSMT"/>
        </w:rPr>
        <w:t>justified by the fact that roughly 50% of the Brazilian workforce is informal.</w:t>
      </w:r>
      <w:r w:rsidR="00720F3B">
        <w:rPr>
          <w:rFonts w:ascii="TimesNewRomanPSMT" w:hAnsi="TimesNewRomanPSMT"/>
        </w:rPr>
        <w:t xml:space="preserve"> </w:t>
      </w:r>
      <w:r w:rsidR="003307F1" w:rsidRPr="003307F1">
        <w:t xml:space="preserve">Amadeo </w:t>
      </w:r>
      <w:r w:rsidR="003307F1" w:rsidRPr="003307F1">
        <w:rPr>
          <w:i/>
          <w:iCs/>
        </w:rPr>
        <w:t xml:space="preserve">et al. </w:t>
      </w:r>
      <w:r w:rsidR="003307F1" w:rsidRPr="003307F1">
        <w:t xml:space="preserve">(1994) </w:t>
      </w:r>
      <w:r w:rsidR="003307F1">
        <w:t xml:space="preserve">and Ramos (2002) both </w:t>
      </w:r>
      <w:r w:rsidR="003307F1" w:rsidRPr="003307F1">
        <w:t xml:space="preserve">argue that </w:t>
      </w:r>
      <w:r w:rsidR="003307F1">
        <w:t>informality increased to these unprecedented levels in the 1990s, from around 30% in the 1980s. In part, this was due to the growth of a mostly informal service sector at the expense of more formalized jobs in the transformation and manufacturing industries (Ramos, 2002).</w:t>
      </w:r>
      <w:r w:rsidR="003307F1" w:rsidRPr="003307F1">
        <w:t xml:space="preserve"> </w:t>
      </w:r>
      <w:r w:rsidR="00720F3B">
        <w:rPr>
          <w:rFonts w:ascii="TimesNewRomanPSMT" w:hAnsi="TimesNewRomanPSMT"/>
        </w:rPr>
        <w:t>This number includes workers “off the books”, hired by either formal or informal firms, and self-employed workers.</w:t>
      </w:r>
      <w:r w:rsidR="00720F3B">
        <w:rPr>
          <w:rStyle w:val="FootnoteReference"/>
          <w:rFonts w:ascii="TimesNewRomanPSMT" w:hAnsi="TimesNewRomanPSMT"/>
        </w:rPr>
        <w:footnoteReference w:id="11"/>
      </w:r>
      <w:r w:rsidR="004D1F0C">
        <w:rPr>
          <w:rFonts w:ascii="TimesNewRomanPSMT" w:hAnsi="TimesNewRomanPSMT"/>
        </w:rPr>
        <w:t xml:space="preserve"> Pires (2008) highlights that part of this problem is that Brazil’s </w:t>
      </w:r>
      <w:r w:rsidR="004D1F0C">
        <w:rPr>
          <w:rFonts w:ascii="TimesNewRomanPSMT" w:hAnsi="TimesNewRomanPSMT"/>
        </w:rPr>
        <w:lastRenderedPageBreak/>
        <w:t>labor code, enacted in 1943, was designed with the typical characteristics of manufacturing jobs in mind (e.g. long-term relationships) but should supposedly apply to workers in all industries. Consequently, firms in industries relying on mostly on temporary or seasonal labor (e.g. services and agriculture) “</w:t>
      </w:r>
      <w:r w:rsidR="004D1F0C" w:rsidRPr="004D1F0C">
        <w:rPr>
          <w:rFonts w:ascii="TimesNewRomanPSMT" w:hAnsi="TimesNewRomanPSMT"/>
        </w:rPr>
        <w:t xml:space="preserve">face costly and bureaucratic hurdles to formalize their temporary </w:t>
      </w:r>
      <w:proofErr w:type="spellStart"/>
      <w:r w:rsidR="004D1F0C" w:rsidRPr="004D1F0C">
        <w:rPr>
          <w:rFonts w:ascii="TimesNewRomanPSMT" w:hAnsi="TimesNewRomanPSMT"/>
        </w:rPr>
        <w:t>labour</w:t>
      </w:r>
      <w:proofErr w:type="spellEnd"/>
      <w:r w:rsidR="004D1F0C" w:rsidRPr="004D1F0C">
        <w:rPr>
          <w:rFonts w:ascii="TimesNewRomanPSMT" w:hAnsi="TimesNewRomanPSMT"/>
        </w:rPr>
        <w:t xml:space="preserve"> force</w:t>
      </w:r>
      <w:r w:rsidR="004D1F0C">
        <w:rPr>
          <w:rFonts w:ascii="TimesNewRomanPSMT" w:hAnsi="TimesNewRomanPSMT"/>
        </w:rPr>
        <w:t>” (Pires, 2008, p. 207).</w:t>
      </w:r>
    </w:p>
    <w:p w14:paraId="7EBE31CE" w14:textId="58C73E66" w:rsidR="007831D6" w:rsidRDefault="00492C61" w:rsidP="00492C61">
      <w:pPr>
        <w:pStyle w:val="NormalWeb"/>
        <w:jc w:val="both"/>
        <w:rPr>
          <w:rFonts w:ascii="TimesNewRomanPSMT" w:hAnsi="TimesNewRomanPSMT"/>
        </w:rPr>
      </w:pPr>
      <w:r>
        <w:rPr>
          <w:rFonts w:ascii="TimesNewRomanPSMT" w:hAnsi="TimesNewRomanPSMT"/>
        </w:rPr>
        <w:t xml:space="preserve">Early research such as </w:t>
      </w:r>
      <w:r w:rsidR="00C85699">
        <w:rPr>
          <w:rFonts w:ascii="TimesNewRomanPSMT" w:hAnsi="TimesNewRomanPSMT"/>
        </w:rPr>
        <w:t xml:space="preserve">Amadeu et al. (1993), </w:t>
      </w:r>
      <w:proofErr w:type="spellStart"/>
      <w:r w:rsidR="008B29D8">
        <w:rPr>
          <w:rFonts w:ascii="TimesNewRomanPSMT" w:hAnsi="TimesNewRomanPSMT"/>
        </w:rPr>
        <w:t>Jatobá</w:t>
      </w:r>
      <w:proofErr w:type="spellEnd"/>
      <w:r w:rsidR="008B29D8">
        <w:rPr>
          <w:rFonts w:ascii="TimesNewRomanPSMT" w:hAnsi="TimesNewRomanPSMT"/>
        </w:rPr>
        <w:t xml:space="preserve"> (1994), and </w:t>
      </w:r>
      <w:r>
        <w:rPr>
          <w:rFonts w:ascii="TimesNewRomanPSMT" w:hAnsi="TimesNewRomanPSMT"/>
        </w:rPr>
        <w:t xml:space="preserve">Barros </w:t>
      </w:r>
      <w:proofErr w:type="gramStart"/>
      <w:r>
        <w:rPr>
          <w:rFonts w:ascii="TimesNewRomanPSMT" w:hAnsi="TimesNewRomanPSMT"/>
        </w:rPr>
        <w:t>and  Mendonça</w:t>
      </w:r>
      <w:proofErr w:type="gramEnd"/>
      <w:r>
        <w:rPr>
          <w:rFonts w:ascii="TimesNewRomanPSMT" w:hAnsi="TimesNewRomanPSMT"/>
        </w:rPr>
        <w:t xml:space="preserve"> (1997)</w:t>
      </w:r>
      <w:r w:rsidR="00180CB3">
        <w:rPr>
          <w:rFonts w:ascii="TimesNewRomanPSMT" w:hAnsi="TimesNewRomanPSMT"/>
        </w:rPr>
        <w:t>,</w:t>
      </w:r>
      <w:r w:rsidR="008B29D8">
        <w:rPr>
          <w:rStyle w:val="FootnoteReference"/>
          <w:rFonts w:ascii="TimesNewRomanPSMT" w:hAnsi="TimesNewRomanPSMT"/>
        </w:rPr>
        <w:footnoteReference w:id="12"/>
      </w:r>
      <w:r>
        <w:rPr>
          <w:rFonts w:ascii="TimesNewRomanPSMT" w:hAnsi="TimesNewRomanPSMT"/>
        </w:rPr>
        <w:t xml:space="preserve"> </w:t>
      </w:r>
      <w:r w:rsidR="00720F3B">
        <w:rPr>
          <w:rFonts w:ascii="TimesNewRomanPSMT" w:hAnsi="TimesNewRomanPSMT"/>
        </w:rPr>
        <w:t xml:space="preserve">were </w:t>
      </w:r>
      <w:r w:rsidR="00C85699">
        <w:rPr>
          <w:rFonts w:ascii="TimesNewRomanPSMT" w:hAnsi="TimesNewRomanPSMT"/>
        </w:rPr>
        <w:t xml:space="preserve">aimed </w:t>
      </w:r>
      <w:r w:rsidR="00720F3B">
        <w:rPr>
          <w:rFonts w:ascii="TimesNewRomanPSMT" w:hAnsi="TimesNewRomanPSMT"/>
        </w:rPr>
        <w:t>at</w:t>
      </w:r>
      <w:r w:rsidR="00C85699">
        <w:rPr>
          <w:rFonts w:ascii="TimesNewRomanPSMT" w:hAnsi="TimesNewRomanPSMT"/>
        </w:rPr>
        <w:t xml:space="preserve"> </w:t>
      </w:r>
      <w:r w:rsidR="006173BC">
        <w:rPr>
          <w:rFonts w:ascii="TimesNewRomanPSMT" w:hAnsi="TimesNewRomanPSMT"/>
        </w:rPr>
        <w:t>evaluating the degree</w:t>
      </w:r>
      <w:r w:rsidR="00C85699">
        <w:rPr>
          <w:rFonts w:ascii="TimesNewRomanPSMT" w:hAnsi="TimesNewRomanPSMT"/>
        </w:rPr>
        <w:t xml:space="preserve"> of wage flexibility</w:t>
      </w:r>
      <w:r w:rsidR="00861F28">
        <w:rPr>
          <w:rFonts w:ascii="TimesNewRomanPSMT" w:hAnsi="TimesNewRomanPSMT"/>
        </w:rPr>
        <w:t xml:space="preserve">, </w:t>
      </w:r>
      <w:r w:rsidR="00C85699">
        <w:rPr>
          <w:rFonts w:ascii="TimesNewRomanPSMT" w:hAnsi="TimesNewRomanPSMT"/>
        </w:rPr>
        <w:t xml:space="preserve">and </w:t>
      </w:r>
      <w:r w:rsidR="00720F3B">
        <w:rPr>
          <w:rFonts w:ascii="TimesNewRomanPSMT" w:hAnsi="TimesNewRomanPSMT"/>
        </w:rPr>
        <w:t xml:space="preserve">later research </w:t>
      </w:r>
      <w:r w:rsidR="006173BC">
        <w:rPr>
          <w:rFonts w:ascii="TimesNewRomanPSMT" w:hAnsi="TimesNewRomanPSMT"/>
        </w:rPr>
        <w:t xml:space="preserve">(e.g. Barros, Corseuil, and Gonzaga, 1999; and Barros and Corseuil, 2004) </w:t>
      </w:r>
      <w:r w:rsidR="00E74335">
        <w:rPr>
          <w:rFonts w:ascii="TimesNewRomanPSMT" w:hAnsi="TimesNewRomanPSMT"/>
        </w:rPr>
        <w:t>focused on the</w:t>
      </w:r>
      <w:r w:rsidR="00C85699">
        <w:rPr>
          <w:rFonts w:ascii="TimesNewRomanPSMT" w:hAnsi="TimesNewRomanPSMT"/>
        </w:rPr>
        <w:t xml:space="preserve"> impact of labor regulations. </w:t>
      </w:r>
      <w:r w:rsidR="00E74335">
        <w:rPr>
          <w:rFonts w:ascii="TimesNewRomanPSMT" w:hAnsi="TimesNewRomanPSMT"/>
        </w:rPr>
        <w:t xml:space="preserve">This research agenda is explained, at least in part, by the several inflationary episodes during from the 1970’s to early 1990’s, including hyperinflation between late 1989 and early 1990. Between 1980 and 1984, average income dropped 35%, then rose 85% until 1986, then fell another 35% until 1990 (Amadeu et al. 1993, p. </w:t>
      </w:r>
      <w:r w:rsidR="00D97A43">
        <w:rPr>
          <w:rFonts w:ascii="TimesNewRomanPSMT" w:hAnsi="TimesNewRomanPSMT"/>
        </w:rPr>
        <w:t xml:space="preserve">584). </w:t>
      </w:r>
      <w:r w:rsidR="00E74335">
        <w:rPr>
          <w:rFonts w:ascii="TimesNewRomanPSMT" w:hAnsi="TimesNewRomanPSMT"/>
        </w:rPr>
        <w:t xml:space="preserve">Given such monumental changes in real income, different degrees of wage flexibility </w:t>
      </w:r>
      <w:r w:rsidR="00D97A43">
        <w:rPr>
          <w:rFonts w:ascii="TimesNewRomanPSMT" w:hAnsi="TimesNewRomanPSMT"/>
        </w:rPr>
        <w:t xml:space="preserve">across industries determined whether workers would face reductions in wages or layoffs. </w:t>
      </w:r>
    </w:p>
    <w:p w14:paraId="2043138E" w14:textId="3805B85D" w:rsidR="00654133" w:rsidRDefault="007831D6" w:rsidP="00492C61">
      <w:pPr>
        <w:pStyle w:val="NormalWeb"/>
        <w:jc w:val="both"/>
        <w:rPr>
          <w:rFonts w:ascii="TimesNewRomanPSMT" w:hAnsi="TimesNewRomanPSMT"/>
        </w:rPr>
      </w:pPr>
      <w:r>
        <w:rPr>
          <w:rFonts w:ascii="TimesNewRomanPSMT" w:hAnsi="TimesNewRomanPSMT"/>
        </w:rPr>
        <w:t>Whereas Amadeu et al. (1993) take a non-econometric approach and discuss how different determinants of flexibility (professional training, spatial mobility, and informality), Barros and Mendonça (1997</w:t>
      </w:r>
      <w:proofErr w:type="gramStart"/>
      <w:r>
        <w:rPr>
          <w:rFonts w:ascii="TimesNewRomanPSMT" w:hAnsi="TimesNewRomanPSMT"/>
        </w:rPr>
        <w:t>)  estimate</w:t>
      </w:r>
      <w:r w:rsidR="00180CB3">
        <w:rPr>
          <w:rFonts w:ascii="TimesNewRomanPSMT" w:hAnsi="TimesNewRomanPSMT"/>
        </w:rPr>
        <w:t>d</w:t>
      </w:r>
      <w:proofErr w:type="gramEnd"/>
      <w:r>
        <w:rPr>
          <w:rFonts w:ascii="TimesNewRomanPSMT" w:hAnsi="TimesNewRomanPSMT"/>
        </w:rPr>
        <w:t xml:space="preserve"> a wage curve following the technique proposed by Blanchflower and Oswald (1994).</w:t>
      </w:r>
      <w:r w:rsidR="00654133">
        <w:rPr>
          <w:rFonts w:ascii="TimesNewRomanPSMT" w:hAnsi="TimesNewRomanPSMT"/>
        </w:rPr>
        <w:t xml:space="preserve"> </w:t>
      </w:r>
      <w:r>
        <w:rPr>
          <w:rFonts w:ascii="TimesNewRomanPSMT" w:hAnsi="TimesNewRomanPSMT"/>
        </w:rPr>
        <w:t>Brazil</w:t>
      </w:r>
      <w:r w:rsidR="00180CB3">
        <w:rPr>
          <w:rFonts w:ascii="TimesNewRomanPSMT" w:hAnsi="TimesNewRomanPSMT"/>
        </w:rPr>
        <w:t>’s wage flexibility wa</w:t>
      </w:r>
      <w:r>
        <w:rPr>
          <w:rFonts w:ascii="TimesNewRomanPSMT" w:hAnsi="TimesNewRomanPSMT"/>
        </w:rPr>
        <w:t xml:space="preserve">s twice that of the world average, and close to industrialized countries </w:t>
      </w:r>
      <w:r w:rsidR="00180CB3">
        <w:rPr>
          <w:rFonts w:ascii="TimesNewRomanPSMT" w:hAnsi="TimesNewRomanPSMT"/>
        </w:rPr>
        <w:t>at the top of the distribution</w:t>
      </w:r>
      <w:r w:rsidR="00654133">
        <w:rPr>
          <w:rFonts w:ascii="TimesNewRomanPSMT" w:hAnsi="TimesNewRomanPSMT"/>
        </w:rPr>
        <w:t>.</w:t>
      </w:r>
      <w:r>
        <w:rPr>
          <w:rStyle w:val="FootnoteReference"/>
          <w:rFonts w:ascii="TimesNewRomanPSMT" w:hAnsi="TimesNewRomanPSMT"/>
        </w:rPr>
        <w:footnoteReference w:id="13"/>
      </w:r>
    </w:p>
    <w:p w14:paraId="4D82F9A8" w14:textId="771F5970" w:rsidR="00821DBB" w:rsidRDefault="00654133" w:rsidP="00492C61">
      <w:pPr>
        <w:pStyle w:val="NormalWeb"/>
        <w:jc w:val="both"/>
        <w:rPr>
          <w:rFonts w:ascii="TimesNewRomanPSMT" w:hAnsi="TimesNewRomanPSMT"/>
        </w:rPr>
      </w:pPr>
      <w:r>
        <w:rPr>
          <w:rFonts w:ascii="TimesNewRomanPSMT" w:hAnsi="TimesNewRomanPSMT"/>
        </w:rPr>
        <w:t>A new constitution in 1988 brought significant changes to labor market regulations.</w:t>
      </w:r>
      <w:r>
        <w:rPr>
          <w:rStyle w:val="FootnoteReference"/>
          <w:rFonts w:ascii="TimesNewRomanPSMT" w:hAnsi="TimesNewRomanPSMT"/>
        </w:rPr>
        <w:footnoteReference w:id="14"/>
      </w:r>
      <w:r>
        <w:rPr>
          <w:rFonts w:ascii="TimesNewRomanPSMT" w:hAnsi="TimesNewRomanPSMT"/>
        </w:rPr>
        <w:t xml:space="preserve"> Before that, the labor code was considerably less strict, and “labor inspections were probably of little relevance during the 1970s and 1980s” (Almeida and Carneiro, 2012, p. 69). </w:t>
      </w:r>
      <w:r w:rsidR="00E217EB">
        <w:rPr>
          <w:rFonts w:ascii="TimesNewRomanPSMT" w:hAnsi="TimesNewRomanPSMT"/>
        </w:rPr>
        <w:t>Barros and Corseuil (2004</w:t>
      </w:r>
      <w:r w:rsidR="008C3AF3">
        <w:rPr>
          <w:rFonts w:ascii="TimesNewRomanPSMT" w:hAnsi="TimesNewRomanPSMT"/>
        </w:rPr>
        <w:t>), who provide an in-depth analysis of the reform</w:t>
      </w:r>
      <w:r w:rsidR="00E217EB">
        <w:rPr>
          <w:rFonts w:ascii="TimesNewRomanPSMT" w:hAnsi="TimesNewRomanPSMT"/>
        </w:rPr>
        <w:t xml:space="preserve"> explain: “</w:t>
      </w:r>
      <w:r w:rsidR="00E217EB" w:rsidRPr="00E217EB">
        <w:rPr>
          <w:rFonts w:ascii="TimesNewRomanPSMT" w:hAnsi="TimesNewRomanPSMT"/>
        </w:rPr>
        <w:t>The increase in protection ensured by the new Constitution considerably increased a firm’s costs of employment. The maximum number of working hours per week dropped from 48 to 44 hours; the maximum number of hours for a continuous work shift dropped from 8 to 6 hours; the minimum overtime premium increased from 20% to 50%; maternity leave increased from three to four months; and the value of paid vacations increased from 1 to, at least, 4/3 of the normal monthly wage.</w:t>
      </w:r>
      <w:r w:rsidR="00E217EB">
        <w:rPr>
          <w:rFonts w:ascii="TimesNewRomanPSMT" w:hAnsi="TimesNewRomanPSMT"/>
        </w:rPr>
        <w:t>”</w:t>
      </w:r>
      <w:r w:rsidR="008C3AF3">
        <w:rPr>
          <w:rFonts w:ascii="TimesNewRomanPSMT" w:hAnsi="TimesNewRomanPSMT"/>
        </w:rPr>
        <w:t xml:space="preserve"> (p. 3).</w:t>
      </w:r>
      <w:r w:rsidR="00E217EB">
        <w:rPr>
          <w:rFonts w:ascii="TimesNewRomanPSMT" w:hAnsi="TimesNewRomanPSMT"/>
        </w:rPr>
        <w:t xml:space="preserve"> There was also a fourfold increase in penalt</w:t>
      </w:r>
      <w:r w:rsidR="00450F18">
        <w:rPr>
          <w:rFonts w:ascii="TimesNewRomanPSMT" w:hAnsi="TimesNewRomanPSMT"/>
        </w:rPr>
        <w:t>ies</w:t>
      </w:r>
      <w:r w:rsidR="00E217EB">
        <w:rPr>
          <w:rFonts w:ascii="TimesNewRomanPSMT" w:hAnsi="TimesNewRomanPSMT"/>
        </w:rPr>
        <w:t xml:space="preserve"> (</w:t>
      </w:r>
      <w:r w:rsidR="008C3AF3">
        <w:rPr>
          <w:rFonts w:ascii="TimesNewRomanPSMT" w:hAnsi="TimesNewRomanPSMT"/>
        </w:rPr>
        <w:t>equivalent to</w:t>
      </w:r>
      <w:r w:rsidR="00E217EB">
        <w:rPr>
          <w:rFonts w:ascii="TimesNewRomanPSMT" w:hAnsi="TimesNewRomanPSMT"/>
        </w:rPr>
        <w:t xml:space="preserve"> 10% and 40% of the worker’s monthly wage per year on the job) whenever workers were dismissed without just cause.</w:t>
      </w:r>
      <w:r w:rsidR="00E217EB">
        <w:rPr>
          <w:rStyle w:val="FootnoteReference"/>
          <w:rFonts w:ascii="TimesNewRomanPSMT" w:hAnsi="TimesNewRomanPSMT"/>
        </w:rPr>
        <w:footnoteReference w:id="15"/>
      </w:r>
      <w:r w:rsidR="00E217EB">
        <w:rPr>
          <w:rFonts w:ascii="TimesNewRomanPSMT" w:hAnsi="TimesNewRomanPSMT"/>
        </w:rPr>
        <w:t xml:space="preserve"> </w:t>
      </w:r>
      <w:r w:rsidR="008C3AF3">
        <w:rPr>
          <w:rFonts w:ascii="TimesNewRomanPSMT" w:hAnsi="TimesNewRomanPSMT"/>
        </w:rPr>
        <w:t xml:space="preserve">This penalty is well known to provide </w:t>
      </w:r>
      <w:r w:rsidR="00821DBB">
        <w:rPr>
          <w:rFonts w:ascii="TimesNewRomanPSMT" w:hAnsi="TimesNewRomanPSMT"/>
        </w:rPr>
        <w:lastRenderedPageBreak/>
        <w:t xml:space="preserve">a </w:t>
      </w:r>
      <w:r w:rsidR="008C3AF3">
        <w:rPr>
          <w:rFonts w:ascii="TimesNewRomanPSMT" w:hAnsi="TimesNewRomanPSMT"/>
        </w:rPr>
        <w:t xml:space="preserve">perverse incentive for workers to promote their own dismissal since it is paid by the employer to the employee (see e.g. Barros and Corseuil 2004; Macedo 1985; Almeida and Carneiro, 2012) </w:t>
      </w:r>
    </w:p>
    <w:p w14:paraId="3E764655" w14:textId="75F857B9" w:rsidR="00312EE0" w:rsidRDefault="00821DBB" w:rsidP="00492C61">
      <w:pPr>
        <w:pStyle w:val="NormalWeb"/>
        <w:jc w:val="both"/>
        <w:rPr>
          <w:rFonts w:ascii="TimesNewRomanPSMT" w:hAnsi="TimesNewRomanPSMT"/>
        </w:rPr>
      </w:pPr>
      <w:r>
        <w:rPr>
          <w:rFonts w:ascii="TimesNewRomanPSMT" w:hAnsi="TimesNewRomanPSMT"/>
        </w:rPr>
        <w:t>Almeida and Carneiro (2012) consider the effects of greater enforcement of mandated benefits (especially severance payments) in the early 2000s. They show that greater enforcement makes formal workers receive lower wages to pay for enhanced mandated benefits. However, because of wage rigidity, formal jobs at the bottom of the wage distribution end up with greater benefits without a significant reduction in wages, attracting more workers from the informal sectors and decreasing the share of informal workers – though at the cost of increasing unemployment overall.</w:t>
      </w:r>
      <w:r w:rsidR="00FE6D6F">
        <w:rPr>
          <w:rStyle w:val="FootnoteReference"/>
          <w:rFonts w:ascii="TimesNewRomanPSMT" w:hAnsi="TimesNewRomanPSMT"/>
        </w:rPr>
        <w:footnoteReference w:id="16"/>
      </w:r>
      <w:r w:rsidR="00312EE0">
        <w:rPr>
          <w:rFonts w:ascii="TimesNewRomanPSMT" w:hAnsi="TimesNewRomanPSMT"/>
        </w:rPr>
        <w:t xml:space="preserve"> </w:t>
      </w:r>
    </w:p>
    <w:p w14:paraId="691C48CA" w14:textId="77777777" w:rsidR="00312EE0" w:rsidRDefault="00312EE0" w:rsidP="00492C61">
      <w:pPr>
        <w:pStyle w:val="NormalWeb"/>
        <w:jc w:val="both"/>
        <w:rPr>
          <w:rFonts w:ascii="TimesNewRomanPSMT" w:hAnsi="TimesNewRomanPSMT"/>
        </w:rPr>
      </w:pPr>
      <w:r>
        <w:rPr>
          <w:rFonts w:ascii="TimesNewRomanPSMT" w:hAnsi="TimesNewRomanPSMT"/>
        </w:rPr>
        <w:t>Pires (2008) suggests that enforcement of labor regulations, under some conditions, may not necessarily be at odds with firm competitiveness. Namely, Pires (2008) analyzes many case studies of inspection strategies across multiple industries and argues that discretion on the part of labor inspectors has been an important tool in finding low-cost alternatives that increase firms’ compliance without substantially raising their production and administrative costs.</w:t>
      </w:r>
      <w:r>
        <w:rPr>
          <w:rStyle w:val="FootnoteReference"/>
          <w:rFonts w:ascii="TimesNewRomanPSMT" w:hAnsi="TimesNewRomanPSMT"/>
        </w:rPr>
        <w:footnoteReference w:id="17"/>
      </w:r>
      <w:r>
        <w:rPr>
          <w:rFonts w:ascii="TimesNewRomanPSMT" w:hAnsi="TimesNewRomanPSMT"/>
        </w:rPr>
        <w:t xml:space="preserve"> </w:t>
      </w:r>
    </w:p>
    <w:p w14:paraId="338E12E9" w14:textId="6AEE089A" w:rsidR="00F04D85" w:rsidRDefault="00312EE0" w:rsidP="00492C61">
      <w:pPr>
        <w:pStyle w:val="NormalWeb"/>
        <w:jc w:val="both"/>
        <w:rPr>
          <w:rFonts w:ascii="TimesNewRomanPSMT" w:hAnsi="TimesNewRomanPSMT"/>
        </w:rPr>
      </w:pPr>
      <w:r>
        <w:rPr>
          <w:rFonts w:ascii="TimesNewRomanPSMT" w:hAnsi="TimesNewRomanPSMT"/>
        </w:rPr>
        <w:t xml:space="preserve">A somewhat similar </w:t>
      </w:r>
      <w:r w:rsidR="00BF6E06">
        <w:rPr>
          <w:rFonts w:ascii="TimesNewRomanPSMT" w:hAnsi="TimesNewRomanPSMT"/>
        </w:rPr>
        <w:t xml:space="preserve">enforcement </w:t>
      </w:r>
      <w:r>
        <w:rPr>
          <w:rFonts w:ascii="TimesNewRomanPSMT" w:hAnsi="TimesNewRomanPSMT"/>
        </w:rPr>
        <w:t xml:space="preserve">dynamic </w:t>
      </w:r>
      <w:r w:rsidR="00BF6E06">
        <w:rPr>
          <w:rFonts w:ascii="TimesNewRomanPSMT" w:hAnsi="TimesNewRomanPSMT"/>
        </w:rPr>
        <w:t xml:space="preserve">by the Labor Justice </w:t>
      </w:r>
      <w:r>
        <w:rPr>
          <w:rFonts w:ascii="TimesNewRomanPSMT" w:hAnsi="TimesNewRomanPSMT"/>
        </w:rPr>
        <w:t xml:space="preserve">leads to a type </w:t>
      </w:r>
      <w:proofErr w:type="gramStart"/>
      <w:r>
        <w:rPr>
          <w:rFonts w:ascii="TimesNewRomanPSMT" w:hAnsi="TimesNewRomanPSMT"/>
        </w:rPr>
        <w:t xml:space="preserve">of </w:t>
      </w:r>
      <w:r w:rsidR="009C3105">
        <w:rPr>
          <w:rFonts w:ascii="TimesNewRomanPSMT" w:hAnsi="TimesNewRomanPSMT"/>
        </w:rPr>
        <w:t xml:space="preserve"> </w:t>
      </w:r>
      <w:r>
        <w:rPr>
          <w:rFonts w:ascii="TimesNewRomanPSMT" w:hAnsi="TimesNewRomanPSMT"/>
        </w:rPr>
        <w:t>“</w:t>
      </w:r>
      <w:proofErr w:type="gramEnd"/>
      <w:r w:rsidRPr="00312EE0">
        <w:rPr>
          <w:rFonts w:ascii="TimesNewRomanPSMT" w:hAnsi="TimesNewRomanPSMT"/>
          <w:i/>
          <w:iCs/>
        </w:rPr>
        <w:t>ex post</w:t>
      </w:r>
      <w:r>
        <w:rPr>
          <w:rFonts w:ascii="TimesNewRomanPSMT" w:hAnsi="TimesNewRomanPSMT"/>
          <w:i/>
          <w:iCs/>
        </w:rPr>
        <w:t xml:space="preserve"> </w:t>
      </w:r>
      <w:r>
        <w:rPr>
          <w:rFonts w:ascii="TimesNewRomanPSMT" w:hAnsi="TimesNewRomanPSMT"/>
        </w:rPr>
        <w:t xml:space="preserve">legality,” where informal workers end up receiving some mandated benefits (Neri, 2000) and even being paid minimum wages (Amadeo </w:t>
      </w:r>
      <w:r>
        <w:rPr>
          <w:rFonts w:ascii="TimesNewRomanPSMT" w:hAnsi="TimesNewRomanPSMT"/>
          <w:i/>
          <w:iCs/>
        </w:rPr>
        <w:t>et al.</w:t>
      </w:r>
      <w:r>
        <w:rPr>
          <w:rFonts w:ascii="TimesNewRomanPSMT" w:hAnsi="TimesNewRomanPSMT"/>
        </w:rPr>
        <w:t xml:space="preserve">, 2000; Camargo, Gonzaga, and Neri, 2000) despite remaining in the informal market. </w:t>
      </w:r>
      <w:r w:rsidR="00F04D85">
        <w:rPr>
          <w:rFonts w:ascii="TimesNewRomanPSMT" w:hAnsi="TimesNewRomanPSMT"/>
        </w:rPr>
        <w:t xml:space="preserve">Nevertheless, </w:t>
      </w:r>
      <w:r w:rsidR="00C32D3C">
        <w:rPr>
          <w:rFonts w:ascii="TimesNewRomanPSMT" w:hAnsi="TimesNewRomanPSMT"/>
        </w:rPr>
        <w:t>most of</w:t>
      </w:r>
      <w:r w:rsidR="00F04D85">
        <w:rPr>
          <w:rFonts w:ascii="TimesNewRomanPSMT" w:hAnsi="TimesNewRomanPSMT"/>
        </w:rPr>
        <w:t xml:space="preserve"> the literature on the institutional determinants of informality in Brazil points to labor market regulations as a major driver of informality</w:t>
      </w:r>
      <w:r w:rsidR="00C32D3C">
        <w:rPr>
          <w:rFonts w:ascii="TimesNewRomanPSMT" w:hAnsi="TimesNewRomanPSMT"/>
        </w:rPr>
        <w:t xml:space="preserve"> (</w:t>
      </w:r>
      <w:proofErr w:type="spellStart"/>
      <w:r w:rsidR="00C32D3C">
        <w:rPr>
          <w:rFonts w:ascii="TimesNewRomanPSMT" w:hAnsi="TimesNewRomanPSMT"/>
        </w:rPr>
        <w:t>Ulyssea</w:t>
      </w:r>
      <w:proofErr w:type="spellEnd"/>
      <w:r w:rsidR="00C32D3C">
        <w:rPr>
          <w:rFonts w:ascii="TimesNewRomanPSMT" w:hAnsi="TimesNewRomanPSMT"/>
        </w:rPr>
        <w:t>, 2006)</w:t>
      </w:r>
      <w:r w:rsidR="00F04D85">
        <w:rPr>
          <w:rFonts w:ascii="TimesNewRomanPSMT" w:hAnsi="TimesNewRomanPSMT"/>
        </w:rPr>
        <w:t>.</w:t>
      </w:r>
      <w:r w:rsidR="00F04D85">
        <w:rPr>
          <w:rStyle w:val="FootnoteReference"/>
          <w:rFonts w:ascii="TimesNewRomanPSMT" w:hAnsi="TimesNewRomanPSMT"/>
        </w:rPr>
        <w:footnoteReference w:id="18"/>
      </w:r>
      <w:r w:rsidR="00F04D85">
        <w:rPr>
          <w:rFonts w:ascii="TimesNewRomanPSMT" w:hAnsi="TimesNewRomanPSMT"/>
        </w:rPr>
        <w:t xml:space="preserve"> </w:t>
      </w:r>
    </w:p>
    <w:p w14:paraId="3EE54CCD" w14:textId="4B35D029" w:rsidR="00492C61" w:rsidRDefault="009C3105" w:rsidP="00492C61">
      <w:pPr>
        <w:pStyle w:val="NormalWeb"/>
        <w:jc w:val="both"/>
        <w:rPr>
          <w:rFonts w:ascii="TimesNewRomanPSMT" w:hAnsi="TimesNewRomanPSMT"/>
          <w:i/>
          <w:iCs/>
        </w:rPr>
      </w:pPr>
      <w:r>
        <w:rPr>
          <w:rFonts w:ascii="TimesNewRomanPSMT" w:hAnsi="TimesNewRomanPSMT"/>
          <w:b/>
          <w:bCs/>
        </w:rPr>
        <w:t xml:space="preserve">3. </w:t>
      </w:r>
      <w:r w:rsidR="00492C61" w:rsidRPr="00A32FFA">
        <w:rPr>
          <w:rFonts w:ascii="TimesNewRomanPSMT" w:hAnsi="TimesNewRomanPSMT"/>
          <w:b/>
          <w:bCs/>
        </w:rPr>
        <w:t>Data Description</w:t>
      </w:r>
    </w:p>
    <w:p w14:paraId="0FD38C2B" w14:textId="4B22A4DD" w:rsidR="00E7030E" w:rsidRPr="00F55991" w:rsidRDefault="004F49DD" w:rsidP="00492C61">
      <w:pPr>
        <w:pStyle w:val="NormalWeb"/>
        <w:jc w:val="both"/>
        <w:rPr>
          <w:rFonts w:ascii="TimesNewRomanPSMT" w:hAnsi="TimesNewRomanPSMT"/>
        </w:rPr>
      </w:pPr>
      <w:r>
        <w:rPr>
          <w:rFonts w:ascii="TimesNewRomanPSMT" w:hAnsi="TimesNewRomanPSMT"/>
        </w:rPr>
        <w:t>I</w:t>
      </w:r>
      <w:r w:rsidR="00E7030E">
        <w:rPr>
          <w:rFonts w:ascii="TimesNewRomanPSMT" w:hAnsi="TimesNewRomanPSMT"/>
        </w:rPr>
        <w:t xml:space="preserve"> have identified regulated occupations following a list provided by the Ministry of Labor and Employment.</w:t>
      </w:r>
      <w:r w:rsidR="00E7030E">
        <w:rPr>
          <w:rStyle w:val="FootnoteReference"/>
          <w:rFonts w:ascii="TimesNewRomanPSMT" w:hAnsi="TimesNewRomanPSMT"/>
        </w:rPr>
        <w:footnoteReference w:id="19"/>
      </w:r>
      <w:r w:rsidR="00E7030E">
        <w:rPr>
          <w:rFonts w:ascii="TimesNewRomanPSMT" w:hAnsi="TimesNewRomanPSMT"/>
        </w:rPr>
        <w:t xml:space="preserve"> However, this list seems slightly outdated and does not report occupations regulated in recent years. Thus, </w:t>
      </w:r>
      <w:r>
        <w:rPr>
          <w:rFonts w:ascii="TimesNewRomanPSMT" w:hAnsi="TimesNewRomanPSMT"/>
        </w:rPr>
        <w:t>I</w:t>
      </w:r>
      <w:r w:rsidR="00E7030E">
        <w:rPr>
          <w:rFonts w:ascii="TimesNewRomanPSMT" w:hAnsi="TimesNewRomanPSMT"/>
        </w:rPr>
        <w:t xml:space="preserve"> have supplemented it with a recent report by the Federal Senate news</w:t>
      </w:r>
      <w:r w:rsidR="00E7030E">
        <w:rPr>
          <w:rStyle w:val="FootnoteReference"/>
          <w:rFonts w:ascii="TimesNewRomanPSMT" w:hAnsi="TimesNewRomanPSMT"/>
        </w:rPr>
        <w:footnoteReference w:id="20"/>
      </w:r>
      <w:r w:rsidR="00E7030E">
        <w:rPr>
          <w:rFonts w:ascii="TimesNewRomanPSMT" w:hAnsi="TimesNewRomanPSMT"/>
        </w:rPr>
        <w:t xml:space="preserve"> and searched extensively on legislative databases. </w:t>
      </w:r>
      <w:r w:rsidR="00F55991">
        <w:rPr>
          <w:rFonts w:ascii="TimesNewRomanPSMT" w:hAnsi="TimesNewRomanPSMT"/>
        </w:rPr>
        <w:t xml:space="preserve">For each occupation, </w:t>
      </w:r>
      <w:r>
        <w:rPr>
          <w:rFonts w:ascii="TimesNewRomanPSMT" w:hAnsi="TimesNewRomanPSMT"/>
        </w:rPr>
        <w:t>I</w:t>
      </w:r>
      <w:r w:rsidR="00F55991">
        <w:rPr>
          <w:rFonts w:ascii="TimesNewRomanPSMT" w:hAnsi="TimesNewRomanPSMT"/>
        </w:rPr>
        <w:t xml:space="preserve"> checked whether the law establishes minimum requirements for work (e.g. a degree in the field), and whether it requires a license. For those occupations that do require minimum standards, but no explicit mention of a license or licensing body exists, </w:t>
      </w:r>
      <w:r>
        <w:rPr>
          <w:rFonts w:ascii="TimesNewRomanPSMT" w:hAnsi="TimesNewRomanPSMT"/>
        </w:rPr>
        <w:t>I</w:t>
      </w:r>
      <w:r w:rsidR="00F55991">
        <w:rPr>
          <w:rFonts w:ascii="TimesNewRomanPSMT" w:hAnsi="TimesNewRomanPSMT"/>
        </w:rPr>
        <w:t xml:space="preserve"> have coded them as having no </w:t>
      </w:r>
      <w:proofErr w:type="gramStart"/>
      <w:r w:rsidR="00F55991">
        <w:rPr>
          <w:rFonts w:ascii="TimesNewRomanPSMT" w:hAnsi="TimesNewRomanPSMT"/>
          <w:i/>
          <w:iCs/>
        </w:rPr>
        <w:t>ex ante</w:t>
      </w:r>
      <w:proofErr w:type="gramEnd"/>
      <w:r w:rsidR="00F55991">
        <w:rPr>
          <w:rFonts w:ascii="TimesNewRomanPSMT" w:hAnsi="TimesNewRomanPSMT"/>
        </w:rPr>
        <w:t xml:space="preserve"> licensing requirement. Finally, for the licensed occupations, </w:t>
      </w:r>
      <w:r w:rsidR="009317AE">
        <w:rPr>
          <w:rFonts w:ascii="TimesNewRomanPSMT" w:hAnsi="TimesNewRomanPSMT"/>
        </w:rPr>
        <w:t xml:space="preserve">I have </w:t>
      </w:r>
      <w:r w:rsidR="00F55991">
        <w:rPr>
          <w:rFonts w:ascii="TimesNewRomanPSMT" w:hAnsi="TimesNewRomanPSMT"/>
        </w:rPr>
        <w:t xml:space="preserve">identified the licensing body or agency and categorized them as </w:t>
      </w:r>
      <w:r>
        <w:rPr>
          <w:rFonts w:ascii="TimesNewRomanPSMT" w:hAnsi="TimesNewRomanPSMT"/>
        </w:rPr>
        <w:t xml:space="preserve">being licensed by </w:t>
      </w:r>
      <w:r w:rsidR="00F55991">
        <w:rPr>
          <w:rFonts w:ascii="TimesNewRomanPSMT" w:hAnsi="TimesNewRomanPSMT"/>
        </w:rPr>
        <w:t xml:space="preserve">either </w:t>
      </w:r>
      <w:r w:rsidR="009317AE">
        <w:rPr>
          <w:rFonts w:ascii="TimesNewRomanPSMT" w:hAnsi="TimesNewRomanPSMT"/>
        </w:rPr>
        <w:t>(</w:t>
      </w:r>
      <w:proofErr w:type="spellStart"/>
      <w:r w:rsidR="009317AE">
        <w:rPr>
          <w:rFonts w:ascii="TimesNewRomanPSMT" w:hAnsi="TimesNewRomanPSMT"/>
        </w:rPr>
        <w:t>i</w:t>
      </w:r>
      <w:proofErr w:type="spellEnd"/>
      <w:r w:rsidR="009317AE">
        <w:rPr>
          <w:rFonts w:ascii="TimesNewRomanPSMT" w:hAnsi="TimesNewRomanPSMT"/>
        </w:rPr>
        <w:t xml:space="preserve">) </w:t>
      </w:r>
      <w:r w:rsidR="00F55991">
        <w:rPr>
          <w:rFonts w:ascii="TimesNewRomanPSMT" w:hAnsi="TimesNewRomanPSMT"/>
        </w:rPr>
        <w:t xml:space="preserve">the federal government, </w:t>
      </w:r>
      <w:r w:rsidR="009317AE">
        <w:rPr>
          <w:rFonts w:ascii="TimesNewRomanPSMT" w:hAnsi="TimesNewRomanPSMT"/>
        </w:rPr>
        <w:t xml:space="preserve">(ii) </w:t>
      </w:r>
      <w:r>
        <w:rPr>
          <w:rFonts w:ascii="TimesNewRomanPSMT" w:hAnsi="TimesNewRomanPSMT"/>
        </w:rPr>
        <w:t xml:space="preserve">a </w:t>
      </w:r>
      <w:r w:rsidR="00F55991">
        <w:rPr>
          <w:rFonts w:ascii="TimesNewRomanPSMT" w:hAnsi="TimesNewRomanPSMT"/>
        </w:rPr>
        <w:t xml:space="preserve">professional </w:t>
      </w:r>
      <w:r w:rsidR="00F55991">
        <w:rPr>
          <w:rFonts w:ascii="TimesNewRomanPSMT" w:hAnsi="TimesNewRomanPSMT"/>
        </w:rPr>
        <w:lastRenderedPageBreak/>
        <w:t xml:space="preserve">board or council, or </w:t>
      </w:r>
      <w:r w:rsidR="009317AE">
        <w:rPr>
          <w:rFonts w:ascii="TimesNewRomanPSMT" w:hAnsi="TimesNewRomanPSMT"/>
        </w:rPr>
        <w:t xml:space="preserve">(iii) </w:t>
      </w:r>
      <w:r>
        <w:rPr>
          <w:rFonts w:ascii="TimesNewRomanPSMT" w:hAnsi="TimesNewRomanPSMT"/>
        </w:rPr>
        <w:t xml:space="preserve">an </w:t>
      </w:r>
      <w:r w:rsidR="00F55991">
        <w:rPr>
          <w:rFonts w:ascii="TimesNewRomanPSMT" w:hAnsi="TimesNewRomanPSMT"/>
        </w:rPr>
        <w:t>external agency, which may include a federal agency, state</w:t>
      </w:r>
      <w:r>
        <w:rPr>
          <w:rFonts w:ascii="TimesNewRomanPSMT" w:hAnsi="TimesNewRomanPSMT"/>
        </w:rPr>
        <w:t>,</w:t>
      </w:r>
      <w:r w:rsidR="00F55991">
        <w:rPr>
          <w:rFonts w:ascii="TimesNewRomanPSMT" w:hAnsi="TimesNewRomanPSMT"/>
        </w:rPr>
        <w:t xml:space="preserve"> or local government. </w:t>
      </w:r>
      <w:r>
        <w:rPr>
          <w:rFonts w:ascii="TimesNewRomanPSMT" w:hAnsi="TimesNewRomanPSMT"/>
        </w:rPr>
        <w:t>Each</w:t>
      </w:r>
      <w:r w:rsidR="00F55991">
        <w:rPr>
          <w:rFonts w:ascii="TimesNewRomanPSMT" w:hAnsi="TimesNewRomanPSMT"/>
        </w:rPr>
        <w:t xml:space="preserve"> of these cases </w:t>
      </w:r>
      <w:r>
        <w:rPr>
          <w:rFonts w:ascii="TimesNewRomanPSMT" w:hAnsi="TimesNewRomanPSMT"/>
        </w:rPr>
        <w:t xml:space="preserve">is described </w:t>
      </w:r>
      <w:r w:rsidR="00F55991">
        <w:rPr>
          <w:rFonts w:ascii="TimesNewRomanPSMT" w:hAnsi="TimesNewRomanPSMT"/>
        </w:rPr>
        <w:t xml:space="preserve">below in Section 4. </w:t>
      </w:r>
    </w:p>
    <w:p w14:paraId="1EE323B4" w14:textId="6C8661DF" w:rsidR="00132703" w:rsidRDefault="00132703" w:rsidP="00492C61">
      <w:pPr>
        <w:pStyle w:val="NormalWeb"/>
        <w:jc w:val="both"/>
        <w:rPr>
          <w:rFonts w:ascii="TimesNewRomanPSMT" w:hAnsi="TimesNewRomanPSMT"/>
        </w:rPr>
      </w:pPr>
      <w:r>
        <w:rPr>
          <w:rFonts w:ascii="TimesNewRomanPSMT" w:hAnsi="TimesNewRomanPSMT"/>
        </w:rPr>
        <w:t xml:space="preserve">Unfortunately, there is </w:t>
      </w:r>
      <w:r w:rsidR="00E7030E">
        <w:rPr>
          <w:rFonts w:ascii="TimesNewRomanPSMT" w:hAnsi="TimesNewRomanPSMT"/>
        </w:rPr>
        <w:t xml:space="preserve">also </w:t>
      </w:r>
      <w:r>
        <w:rPr>
          <w:rFonts w:ascii="TimesNewRomanPSMT" w:hAnsi="TimesNewRomanPSMT"/>
        </w:rPr>
        <w:t>no database with information on licenses issued across all licensed occupations. A small exception is the data on Professional Registrations, made public by the Ministry of Labor and Employment covering 2015-2023 (</w:t>
      </w:r>
      <w:r w:rsidRPr="00A733EF">
        <w:rPr>
          <w:rFonts w:ascii="TimesNewRomanPSMT" w:hAnsi="TimesNewRomanPSMT"/>
        </w:rPr>
        <w:t xml:space="preserve">see Figure </w:t>
      </w:r>
      <w:r w:rsidR="00A733EF" w:rsidRPr="00A733EF">
        <w:rPr>
          <w:rFonts w:ascii="TimesNewRomanPSMT" w:hAnsi="TimesNewRomanPSMT"/>
        </w:rPr>
        <w:t>3</w:t>
      </w:r>
      <w:r w:rsidRPr="00A733EF">
        <w:rPr>
          <w:rFonts w:ascii="TimesNewRomanPSMT" w:hAnsi="TimesNewRomanPSMT"/>
        </w:rPr>
        <w:t>, below</w:t>
      </w:r>
      <w:r>
        <w:rPr>
          <w:rFonts w:ascii="TimesNewRomanPSMT" w:hAnsi="TimesNewRomanPSMT"/>
        </w:rPr>
        <w:t xml:space="preserve">). </w:t>
      </w:r>
    </w:p>
    <w:p w14:paraId="77C2C21D" w14:textId="77777777" w:rsidR="00ED0157" w:rsidRDefault="00770666" w:rsidP="00492C61">
      <w:pPr>
        <w:pStyle w:val="NormalWeb"/>
        <w:jc w:val="both"/>
        <w:rPr>
          <w:rFonts w:ascii="TimesNewRomanPSMT" w:hAnsi="TimesNewRomanPSMT"/>
        </w:rPr>
      </w:pPr>
      <w:r>
        <w:rPr>
          <w:rFonts w:ascii="TimesNewRomanPSMT" w:hAnsi="TimesNewRomanPSMT"/>
        </w:rPr>
        <w:t>To</w:t>
      </w:r>
      <w:r w:rsidR="00132703">
        <w:rPr>
          <w:rFonts w:ascii="TimesNewRomanPSMT" w:hAnsi="TimesNewRomanPSMT"/>
        </w:rPr>
        <w:t xml:space="preserve"> overcome this difficulty, </w:t>
      </w:r>
      <w:r w:rsidR="004F49DD">
        <w:rPr>
          <w:rFonts w:ascii="TimesNewRomanPSMT" w:hAnsi="TimesNewRomanPSMT"/>
        </w:rPr>
        <w:t>I have</w:t>
      </w:r>
      <w:r w:rsidR="007F2FD9">
        <w:rPr>
          <w:rFonts w:ascii="TimesNewRomanPSMT" w:hAnsi="TimesNewRomanPSMT"/>
        </w:rPr>
        <w:t xml:space="preserve"> track</w:t>
      </w:r>
      <w:r w:rsidR="004F49DD">
        <w:rPr>
          <w:rFonts w:ascii="TimesNewRomanPSMT" w:hAnsi="TimesNewRomanPSMT"/>
        </w:rPr>
        <w:t>ed</w:t>
      </w:r>
      <w:r w:rsidR="007F2FD9">
        <w:rPr>
          <w:rFonts w:ascii="TimesNewRomanPSMT" w:hAnsi="TimesNewRomanPSMT"/>
        </w:rPr>
        <w:t xml:space="preserve"> </w:t>
      </w:r>
      <w:r>
        <w:rPr>
          <w:rFonts w:ascii="TimesNewRomanPSMT" w:hAnsi="TimesNewRomanPSMT"/>
        </w:rPr>
        <w:t xml:space="preserve">the </w:t>
      </w:r>
      <w:r w:rsidR="00575E98">
        <w:rPr>
          <w:rFonts w:ascii="TimesNewRomanPSMT" w:hAnsi="TimesNewRomanPSMT"/>
        </w:rPr>
        <w:t>percentage of</w:t>
      </w:r>
      <w:r>
        <w:rPr>
          <w:rFonts w:ascii="TimesNewRomanPSMT" w:hAnsi="TimesNewRomanPSMT"/>
        </w:rPr>
        <w:t xml:space="preserve"> workers </w:t>
      </w:r>
      <w:r w:rsidR="00575E98">
        <w:rPr>
          <w:rFonts w:ascii="TimesNewRomanPSMT" w:hAnsi="TimesNewRomanPSMT"/>
        </w:rPr>
        <w:t>in</w:t>
      </w:r>
      <w:r>
        <w:rPr>
          <w:rFonts w:ascii="TimesNewRomanPSMT" w:hAnsi="TimesNewRomanPSMT"/>
        </w:rPr>
        <w:t xml:space="preserve"> regulated occupations</w:t>
      </w:r>
      <w:r w:rsidR="00E7030E">
        <w:rPr>
          <w:rFonts w:ascii="TimesNewRomanPSMT" w:hAnsi="TimesNewRomanPSMT"/>
        </w:rPr>
        <w:t xml:space="preserve"> </w:t>
      </w:r>
      <w:r>
        <w:rPr>
          <w:rFonts w:ascii="TimesNewRomanPSMT" w:hAnsi="TimesNewRomanPSMT"/>
        </w:rPr>
        <w:t xml:space="preserve">and the </w:t>
      </w:r>
      <w:r w:rsidR="006F3500">
        <w:rPr>
          <w:rFonts w:ascii="TimesNewRomanPSMT" w:hAnsi="TimesNewRomanPSMT"/>
        </w:rPr>
        <w:t>share of workers requiring</w:t>
      </w:r>
      <w:r>
        <w:rPr>
          <w:rFonts w:ascii="TimesNewRomanPSMT" w:hAnsi="TimesNewRomanPSMT"/>
        </w:rPr>
        <w:t xml:space="preserve"> a license to work. </w:t>
      </w:r>
      <w:r w:rsidR="004F49DD">
        <w:rPr>
          <w:rFonts w:ascii="TimesNewRomanPSMT" w:hAnsi="TimesNewRomanPSMT"/>
        </w:rPr>
        <w:t>I have</w:t>
      </w:r>
      <w:r w:rsidR="005B1F7A">
        <w:rPr>
          <w:rFonts w:ascii="TimesNewRomanPSMT" w:hAnsi="TimesNewRomanPSMT"/>
        </w:rPr>
        <w:t xml:space="preserve"> calculate</w:t>
      </w:r>
      <w:r w:rsidR="004F49DD">
        <w:rPr>
          <w:rFonts w:ascii="TimesNewRomanPSMT" w:hAnsi="TimesNewRomanPSMT"/>
        </w:rPr>
        <w:t>d</w:t>
      </w:r>
      <w:r w:rsidR="005B1F7A">
        <w:rPr>
          <w:rFonts w:ascii="TimesNewRomanPSMT" w:hAnsi="TimesNewRomanPSMT"/>
        </w:rPr>
        <w:t xml:space="preserve"> this proxy </w:t>
      </w:r>
      <w:r w:rsidR="00E7030E">
        <w:rPr>
          <w:rFonts w:ascii="TimesNewRomanPSMT" w:hAnsi="TimesNewRomanPSMT"/>
        </w:rPr>
        <w:t>by matching each regulated or licensed occupation to a</w:t>
      </w:r>
      <w:r w:rsidR="006F3500">
        <w:rPr>
          <w:rFonts w:ascii="TimesNewRomanPSMT" w:hAnsi="TimesNewRomanPSMT"/>
        </w:rPr>
        <w:t xml:space="preserve">n occupational code from the </w:t>
      </w:r>
      <w:proofErr w:type="spellStart"/>
      <w:r w:rsidR="006F3500" w:rsidRPr="006F3500">
        <w:rPr>
          <w:rFonts w:ascii="TimesNewRomanPSMT" w:hAnsi="TimesNewRomanPSMT"/>
          <w:i/>
          <w:iCs/>
        </w:rPr>
        <w:t>Cadastro</w:t>
      </w:r>
      <w:proofErr w:type="spellEnd"/>
      <w:r w:rsidR="006F3500" w:rsidRPr="006F3500">
        <w:rPr>
          <w:rFonts w:ascii="TimesNewRomanPSMT" w:hAnsi="TimesNewRomanPSMT"/>
          <w:i/>
          <w:iCs/>
        </w:rPr>
        <w:t xml:space="preserve"> </w:t>
      </w:r>
      <w:proofErr w:type="spellStart"/>
      <w:r w:rsidR="006F3500" w:rsidRPr="006F3500">
        <w:rPr>
          <w:rFonts w:ascii="TimesNewRomanPSMT" w:hAnsi="TimesNewRomanPSMT"/>
          <w:i/>
          <w:iCs/>
        </w:rPr>
        <w:t>Brasileiro</w:t>
      </w:r>
      <w:proofErr w:type="spellEnd"/>
      <w:r w:rsidR="006F3500" w:rsidRPr="006F3500">
        <w:rPr>
          <w:rFonts w:ascii="TimesNewRomanPSMT" w:hAnsi="TimesNewRomanPSMT"/>
          <w:i/>
          <w:iCs/>
        </w:rPr>
        <w:t xml:space="preserve"> de </w:t>
      </w:r>
      <w:proofErr w:type="spellStart"/>
      <w:r w:rsidR="006F3500" w:rsidRPr="006F3500">
        <w:rPr>
          <w:rFonts w:ascii="TimesNewRomanPSMT" w:hAnsi="TimesNewRomanPSMT"/>
          <w:i/>
          <w:iCs/>
        </w:rPr>
        <w:t>Ocupações</w:t>
      </w:r>
      <w:proofErr w:type="spellEnd"/>
      <w:r w:rsidR="006F3500">
        <w:rPr>
          <w:rFonts w:ascii="TimesNewRomanPSMT" w:hAnsi="TimesNewRomanPSMT"/>
        </w:rPr>
        <w:t>.</w:t>
      </w:r>
      <w:r w:rsidR="004F49DD">
        <w:rPr>
          <w:rStyle w:val="FootnoteReference"/>
          <w:rFonts w:ascii="TimesNewRomanPSMT" w:hAnsi="TimesNewRomanPSMT"/>
        </w:rPr>
        <w:footnoteReference w:id="21"/>
      </w:r>
      <w:r w:rsidR="006F3500">
        <w:rPr>
          <w:rFonts w:ascii="TimesNewRomanPSMT" w:hAnsi="TimesNewRomanPSMT"/>
        </w:rPr>
        <w:t xml:space="preserve"> Then, </w:t>
      </w:r>
      <w:r w:rsidR="0073215E">
        <w:rPr>
          <w:rFonts w:ascii="TimesNewRomanPSMT" w:hAnsi="TimesNewRomanPSMT"/>
        </w:rPr>
        <w:t>I</w:t>
      </w:r>
      <w:r w:rsidR="006F3500">
        <w:rPr>
          <w:rFonts w:ascii="TimesNewRomanPSMT" w:hAnsi="TimesNewRomanPSMT"/>
        </w:rPr>
        <w:t xml:space="preserve"> use </w:t>
      </w:r>
      <w:r w:rsidR="00F55991">
        <w:rPr>
          <w:rFonts w:ascii="TimesNewRomanPSMT" w:hAnsi="TimesNewRomanPSMT"/>
        </w:rPr>
        <w:t xml:space="preserve">data from the Continuous National Household Sample Survey </w:t>
      </w:r>
      <w:r w:rsidR="006F3500">
        <w:rPr>
          <w:rFonts w:ascii="TimesNewRomanPSMT" w:hAnsi="TimesNewRomanPSMT"/>
        </w:rPr>
        <w:t>(</w:t>
      </w:r>
      <w:proofErr w:type="spellStart"/>
      <w:r w:rsidR="006F3500">
        <w:rPr>
          <w:rFonts w:ascii="TimesNewRomanPSMT" w:hAnsi="TimesNewRomanPSMT"/>
          <w:i/>
          <w:iCs/>
        </w:rPr>
        <w:t>Pesquisa</w:t>
      </w:r>
      <w:proofErr w:type="spellEnd"/>
      <w:r w:rsidR="006F3500">
        <w:rPr>
          <w:rFonts w:ascii="TimesNewRomanPSMT" w:hAnsi="TimesNewRomanPSMT"/>
          <w:i/>
          <w:iCs/>
        </w:rPr>
        <w:t xml:space="preserve"> Nacional </w:t>
      </w:r>
      <w:proofErr w:type="spellStart"/>
      <w:r w:rsidR="006F3500">
        <w:rPr>
          <w:rFonts w:ascii="TimesNewRomanPSMT" w:hAnsi="TimesNewRomanPSMT"/>
          <w:i/>
          <w:iCs/>
        </w:rPr>
        <w:t>por</w:t>
      </w:r>
      <w:proofErr w:type="spellEnd"/>
      <w:r w:rsidR="006F3500">
        <w:rPr>
          <w:rFonts w:ascii="TimesNewRomanPSMT" w:hAnsi="TimesNewRomanPSMT"/>
          <w:i/>
          <w:iCs/>
        </w:rPr>
        <w:t xml:space="preserve"> </w:t>
      </w:r>
      <w:proofErr w:type="spellStart"/>
      <w:r w:rsidR="006F3500">
        <w:rPr>
          <w:rFonts w:ascii="TimesNewRomanPSMT" w:hAnsi="TimesNewRomanPSMT"/>
          <w:i/>
          <w:iCs/>
        </w:rPr>
        <w:t>Amostra</w:t>
      </w:r>
      <w:proofErr w:type="spellEnd"/>
      <w:r w:rsidR="006F3500">
        <w:rPr>
          <w:rFonts w:ascii="TimesNewRomanPSMT" w:hAnsi="TimesNewRomanPSMT"/>
          <w:i/>
          <w:iCs/>
        </w:rPr>
        <w:t xml:space="preserve"> de </w:t>
      </w:r>
      <w:proofErr w:type="spellStart"/>
      <w:r w:rsidR="006F3500">
        <w:rPr>
          <w:rFonts w:ascii="TimesNewRomanPSMT" w:hAnsi="TimesNewRomanPSMT"/>
          <w:i/>
          <w:iCs/>
        </w:rPr>
        <w:t>Domicílios</w:t>
      </w:r>
      <w:proofErr w:type="spellEnd"/>
      <w:r w:rsidR="006F3500">
        <w:rPr>
          <w:rFonts w:ascii="TimesNewRomanPSMT" w:hAnsi="TimesNewRomanPSMT"/>
          <w:i/>
          <w:iCs/>
        </w:rPr>
        <w:t>, PNAD-</w:t>
      </w:r>
      <w:proofErr w:type="spellStart"/>
      <w:r w:rsidR="006F3500">
        <w:rPr>
          <w:rFonts w:ascii="TimesNewRomanPSMT" w:hAnsi="TimesNewRomanPSMT"/>
          <w:i/>
          <w:iCs/>
        </w:rPr>
        <w:t>Contínua</w:t>
      </w:r>
      <w:proofErr w:type="spellEnd"/>
      <w:r w:rsidR="006F3500">
        <w:rPr>
          <w:rFonts w:ascii="TimesNewRomanPSMT" w:hAnsi="TimesNewRomanPSMT"/>
        </w:rPr>
        <w:t>) to identify the number of workers who report working in these occupations.</w:t>
      </w:r>
      <w:r w:rsidR="00F55991">
        <w:rPr>
          <w:rFonts w:ascii="TimesNewRomanPSMT" w:hAnsi="TimesNewRomanPSMT"/>
        </w:rPr>
        <w:t xml:space="preserve"> </w:t>
      </w:r>
      <w:r w:rsidR="006F3500">
        <w:rPr>
          <w:rFonts w:ascii="TimesNewRomanPSMT" w:hAnsi="TimesNewRomanPSMT"/>
        </w:rPr>
        <w:t xml:space="preserve">This data is available </w:t>
      </w:r>
      <w:r w:rsidR="00F55991">
        <w:rPr>
          <w:rFonts w:ascii="TimesNewRomanPSMT" w:hAnsi="TimesNewRomanPSMT"/>
        </w:rPr>
        <w:t>quarterly from</w:t>
      </w:r>
      <w:r w:rsidR="006F3500">
        <w:rPr>
          <w:rFonts w:ascii="TimesNewRomanPSMT" w:hAnsi="TimesNewRomanPSMT"/>
        </w:rPr>
        <w:t xml:space="preserve"> 2012 to 2024</w:t>
      </w:r>
      <w:r w:rsidR="007E0E15">
        <w:rPr>
          <w:rFonts w:ascii="TimesNewRomanPSMT" w:hAnsi="TimesNewRomanPSMT"/>
        </w:rPr>
        <w:t>.</w:t>
      </w:r>
      <w:r w:rsidR="00F55991">
        <w:rPr>
          <w:rFonts w:ascii="TimesNewRomanPSMT" w:hAnsi="TimesNewRomanPSMT"/>
        </w:rPr>
        <w:t xml:space="preserve"> </w:t>
      </w:r>
    </w:p>
    <w:p w14:paraId="08F2B8A4" w14:textId="781AA003" w:rsidR="006F3500" w:rsidRDefault="00ED0157" w:rsidP="00492C61">
      <w:pPr>
        <w:pStyle w:val="NormalWeb"/>
        <w:jc w:val="both"/>
        <w:rPr>
          <w:rFonts w:ascii="TimesNewRomanPSMT" w:hAnsi="TimesNewRomanPSMT"/>
        </w:rPr>
      </w:pPr>
      <w:r>
        <w:rPr>
          <w:rFonts w:ascii="TimesNewRomanPSMT" w:hAnsi="TimesNewRomanPSMT"/>
        </w:rPr>
        <w:t xml:space="preserve">Relative to other employment data, </w:t>
      </w:r>
      <w:r w:rsidR="0073215E">
        <w:rPr>
          <w:rFonts w:ascii="TimesNewRomanPSMT" w:hAnsi="TimesNewRomanPSMT"/>
        </w:rPr>
        <w:t xml:space="preserve">PNAD offers key advantages. </w:t>
      </w:r>
      <w:r w:rsidR="0073215E">
        <w:t xml:space="preserve">For instance, the </w:t>
      </w:r>
      <w:proofErr w:type="spellStart"/>
      <w:r w:rsidR="0073215E" w:rsidRPr="00E46038">
        <w:rPr>
          <w:i/>
          <w:iCs/>
        </w:rPr>
        <w:t>Cadastro</w:t>
      </w:r>
      <w:proofErr w:type="spellEnd"/>
      <w:r w:rsidR="0073215E" w:rsidRPr="00E46038">
        <w:rPr>
          <w:i/>
          <w:iCs/>
        </w:rPr>
        <w:t xml:space="preserve"> </w:t>
      </w:r>
      <w:proofErr w:type="spellStart"/>
      <w:r w:rsidR="0073215E" w:rsidRPr="00E46038">
        <w:rPr>
          <w:i/>
          <w:iCs/>
        </w:rPr>
        <w:t>Geral</w:t>
      </w:r>
      <w:proofErr w:type="spellEnd"/>
      <w:r w:rsidR="0073215E" w:rsidRPr="00E46038">
        <w:rPr>
          <w:i/>
          <w:iCs/>
        </w:rPr>
        <w:t xml:space="preserve"> de </w:t>
      </w:r>
      <w:proofErr w:type="spellStart"/>
      <w:r w:rsidR="0073215E" w:rsidRPr="00E46038">
        <w:rPr>
          <w:i/>
          <w:iCs/>
        </w:rPr>
        <w:t>Empregados</w:t>
      </w:r>
      <w:proofErr w:type="spellEnd"/>
      <w:r w:rsidR="0073215E" w:rsidRPr="00E46038">
        <w:rPr>
          <w:i/>
          <w:iCs/>
        </w:rPr>
        <w:t xml:space="preserve"> e </w:t>
      </w:r>
      <w:proofErr w:type="spellStart"/>
      <w:r w:rsidR="0073215E" w:rsidRPr="00E46038">
        <w:rPr>
          <w:i/>
          <w:iCs/>
        </w:rPr>
        <w:t>Desempregados</w:t>
      </w:r>
      <w:proofErr w:type="spellEnd"/>
      <w:r w:rsidR="0073215E" w:rsidRPr="00E46038">
        <w:rPr>
          <w:i/>
          <w:iCs/>
        </w:rPr>
        <w:t xml:space="preserve"> </w:t>
      </w:r>
      <w:r w:rsidR="0073215E">
        <w:t>(CAGED) is a rich administrative dataset covering the</w:t>
      </w:r>
      <w:r w:rsidR="00B04DFB">
        <w:t xml:space="preserve"> monthly </w:t>
      </w:r>
      <w:r w:rsidR="0073215E">
        <w:t xml:space="preserve">hiring </w:t>
      </w:r>
      <w:r w:rsidR="00B04DFB">
        <w:t xml:space="preserve">and firing </w:t>
      </w:r>
      <w:r w:rsidR="0073215E">
        <w:t xml:space="preserve">flows in the private sector. </w:t>
      </w:r>
      <w:r w:rsidR="00B04DFB">
        <w:t>However,</w:t>
      </w:r>
      <w:r w:rsidR="0073215E">
        <w:t xml:space="preserve"> it covers only formal workers hired under the standard labor code regulations (</w:t>
      </w:r>
      <w:proofErr w:type="spellStart"/>
      <w:r w:rsidR="0073215E">
        <w:rPr>
          <w:i/>
          <w:iCs/>
        </w:rPr>
        <w:t>celetistas</w:t>
      </w:r>
      <w:proofErr w:type="spellEnd"/>
      <w:r w:rsidR="0073215E">
        <w:t>),</w:t>
      </w:r>
      <w:r w:rsidR="00B04DFB">
        <w:rPr>
          <w:rStyle w:val="FootnoteReference"/>
        </w:rPr>
        <w:footnoteReference w:id="22"/>
      </w:r>
      <w:r w:rsidR="0073215E">
        <w:t xml:space="preserve"> thus excluding self-employed</w:t>
      </w:r>
      <w:r w:rsidR="00B04DFB">
        <w:t>,</w:t>
      </w:r>
      <w:r w:rsidR="0073215E">
        <w:t xml:space="preserve"> public sector</w:t>
      </w:r>
      <w:r w:rsidR="00B04DFB">
        <w:t xml:space="preserve">, and informal </w:t>
      </w:r>
      <w:r w:rsidR="0073215E">
        <w:t>workers</w:t>
      </w:r>
      <w:r w:rsidR="00B04DFB">
        <w:t xml:space="preserve">. Almeida </w:t>
      </w:r>
      <w:r w:rsidR="00B04DFB" w:rsidRPr="00B04DFB">
        <w:rPr>
          <w:i/>
          <w:iCs/>
        </w:rPr>
        <w:t>et al.</w:t>
      </w:r>
      <w:r w:rsidR="00B04DFB">
        <w:rPr>
          <w:i/>
          <w:iCs/>
        </w:rPr>
        <w:t xml:space="preserve"> </w:t>
      </w:r>
      <w:r w:rsidR="00B04DFB">
        <w:t>(2018) provide an extensive comparison between the CAGED and the PNAD-</w:t>
      </w:r>
      <w:proofErr w:type="spellStart"/>
      <w:r w:rsidR="00B04DFB">
        <w:t>Contínua</w:t>
      </w:r>
      <w:proofErr w:type="spellEnd"/>
      <w:r w:rsidR="00B04DFB">
        <w:t xml:space="preserve">. </w:t>
      </w:r>
      <w:r>
        <w:rPr>
          <w:rFonts w:ascii="TimesNewRomanPSMT" w:hAnsi="TimesNewRomanPSMT"/>
        </w:rPr>
        <w:t>In sum</w:t>
      </w:r>
      <w:r w:rsidR="007B4B0C">
        <w:rPr>
          <w:rFonts w:ascii="TimesNewRomanPSMT" w:hAnsi="TimesNewRomanPSMT"/>
        </w:rPr>
        <w:t>, PNAD-</w:t>
      </w:r>
      <w:proofErr w:type="spellStart"/>
      <w:r w:rsidR="007B4B0C">
        <w:rPr>
          <w:rFonts w:ascii="TimesNewRomanPSMT" w:hAnsi="TimesNewRomanPSMT"/>
        </w:rPr>
        <w:t>Contínua</w:t>
      </w:r>
      <w:proofErr w:type="spellEnd"/>
      <w:r w:rsidR="007B4B0C">
        <w:rPr>
          <w:rFonts w:ascii="TimesNewRomanPSMT" w:hAnsi="TimesNewRomanPSMT"/>
        </w:rPr>
        <w:t xml:space="preserve"> </w:t>
      </w:r>
      <w:r>
        <w:rPr>
          <w:rFonts w:ascii="TimesNewRomanPSMT" w:hAnsi="TimesNewRomanPSMT"/>
        </w:rPr>
        <w:t>allows me</w:t>
      </w:r>
      <w:r w:rsidR="007E0E15">
        <w:rPr>
          <w:rFonts w:ascii="TimesNewRomanPSMT" w:hAnsi="TimesNewRomanPSMT"/>
        </w:rPr>
        <w:t xml:space="preserve"> </w:t>
      </w:r>
      <w:r w:rsidR="006F3500">
        <w:rPr>
          <w:rFonts w:ascii="TimesNewRomanPSMT" w:hAnsi="TimesNewRomanPSMT"/>
        </w:rPr>
        <w:t xml:space="preserve">to calculate average and median </w:t>
      </w:r>
      <w:r w:rsidR="00FC657E">
        <w:rPr>
          <w:rFonts w:ascii="TimesNewRomanPSMT" w:hAnsi="TimesNewRomanPSMT"/>
        </w:rPr>
        <w:t>earnings</w:t>
      </w:r>
      <w:r w:rsidR="006F3500">
        <w:rPr>
          <w:rFonts w:ascii="TimesNewRomanPSMT" w:hAnsi="TimesNewRomanPSMT"/>
        </w:rPr>
        <w:t xml:space="preserve"> across licensed and unlicensed occupations</w:t>
      </w:r>
      <w:r>
        <w:rPr>
          <w:rFonts w:ascii="TimesNewRomanPSMT" w:hAnsi="TimesNewRomanPSMT"/>
        </w:rPr>
        <w:t xml:space="preserve"> for all types of workers,</w:t>
      </w:r>
      <w:r w:rsidR="00FC657E">
        <w:rPr>
          <w:rFonts w:ascii="TimesNewRomanPSMT" w:hAnsi="TimesNewRomanPSMT"/>
        </w:rPr>
        <w:t xml:space="preserve"> as well as compare key demographic characteristics between them. </w:t>
      </w:r>
    </w:p>
    <w:p w14:paraId="7DC0374D" w14:textId="4D8D8219" w:rsidR="00492C61" w:rsidRPr="00132703" w:rsidRDefault="009317AE" w:rsidP="00492C61">
      <w:pPr>
        <w:pStyle w:val="NormalWeb"/>
        <w:jc w:val="both"/>
        <w:rPr>
          <w:rFonts w:ascii="TimesNewRomanPSMT" w:hAnsi="TimesNewRomanPSMT"/>
          <w:i/>
          <w:iCs/>
        </w:rPr>
      </w:pPr>
      <w:r>
        <w:rPr>
          <w:rFonts w:ascii="TimesNewRomanPSMT" w:hAnsi="TimesNewRomanPSMT"/>
          <w:b/>
          <w:bCs/>
        </w:rPr>
        <w:t xml:space="preserve">4. </w:t>
      </w:r>
      <w:r w:rsidR="00492C61" w:rsidRPr="00A32FFA">
        <w:rPr>
          <w:rFonts w:ascii="TimesNewRomanPSMT" w:hAnsi="TimesNewRomanPSMT"/>
          <w:b/>
          <w:bCs/>
        </w:rPr>
        <w:t>Country Dynamics</w:t>
      </w:r>
    </w:p>
    <w:p w14:paraId="64A2D176" w14:textId="53C0C86C" w:rsidR="00F54432" w:rsidRDefault="00492C61" w:rsidP="00492C61">
      <w:pPr>
        <w:pStyle w:val="NormalWeb"/>
        <w:jc w:val="both"/>
        <w:rPr>
          <w:rFonts w:ascii="TimesNewRomanPSMT" w:hAnsi="TimesNewRomanPSMT"/>
        </w:rPr>
      </w:pPr>
      <w:r>
        <w:rPr>
          <w:rFonts w:ascii="TimesNewRomanPSMT" w:hAnsi="TimesNewRomanPSMT"/>
        </w:rPr>
        <w:t>Although a federalist country, occupational licensing regulations are implemented</w:t>
      </w:r>
      <w:r w:rsidR="00C06E4B">
        <w:rPr>
          <w:rFonts w:ascii="TimesNewRomanPSMT" w:hAnsi="TimesNewRomanPSMT"/>
        </w:rPr>
        <w:t xml:space="preserve"> virtually</w:t>
      </w:r>
      <w:r>
        <w:rPr>
          <w:rFonts w:ascii="TimesNewRomanPSMT" w:hAnsi="TimesNewRomanPSMT"/>
        </w:rPr>
        <w:t xml:space="preserve"> exclusively at the federal level</w:t>
      </w:r>
      <w:r w:rsidR="0070240A">
        <w:rPr>
          <w:rFonts w:ascii="TimesNewRomanPSMT" w:hAnsi="TimesNewRomanPSMT"/>
        </w:rPr>
        <w:t>.</w:t>
      </w:r>
      <w:r w:rsidR="00C06E4B">
        <w:rPr>
          <w:rStyle w:val="FootnoteReference"/>
          <w:rFonts w:ascii="TimesNewRomanPSMT" w:hAnsi="TimesNewRomanPSMT"/>
        </w:rPr>
        <w:footnoteReference w:id="23"/>
      </w:r>
      <w:r w:rsidR="0070240A">
        <w:rPr>
          <w:rFonts w:ascii="TimesNewRomanPSMT" w:hAnsi="TimesNewRomanPSMT"/>
        </w:rPr>
        <w:t xml:space="preserve"> </w:t>
      </w:r>
      <w:r w:rsidR="00F54432">
        <w:rPr>
          <w:rFonts w:ascii="TimesNewRomanPSMT" w:hAnsi="TimesNewRomanPSMT"/>
        </w:rPr>
        <w:t>There are no restrictions for foreigners with valid visas or permanent residency cards</w:t>
      </w:r>
      <w:r w:rsidR="00C06E4B">
        <w:rPr>
          <w:rFonts w:ascii="TimesNewRomanPSMT" w:hAnsi="TimesNewRomanPSMT"/>
        </w:rPr>
        <w:t>.</w:t>
      </w:r>
      <w:r w:rsidR="00F54432">
        <w:rPr>
          <w:rFonts w:ascii="TimesNewRomanPSMT" w:hAnsi="TimesNewRomanPSMT"/>
        </w:rPr>
        <w:t xml:space="preserve"> </w:t>
      </w:r>
      <w:r w:rsidR="00C06E4B">
        <w:rPr>
          <w:rFonts w:ascii="TimesNewRomanPSMT" w:hAnsi="TimesNewRomanPSMT"/>
        </w:rPr>
        <w:t>However,</w:t>
      </w:r>
      <w:r w:rsidR="00F54432">
        <w:rPr>
          <w:rFonts w:ascii="TimesNewRomanPSMT" w:hAnsi="TimesNewRomanPSMT"/>
        </w:rPr>
        <w:t xml:space="preserve"> one’s foreign degree </w:t>
      </w:r>
      <w:r w:rsidR="00C06E4B">
        <w:rPr>
          <w:rFonts w:ascii="TimesNewRomanPSMT" w:hAnsi="TimesNewRomanPSMT"/>
        </w:rPr>
        <w:t xml:space="preserve">(when required) </w:t>
      </w:r>
      <w:r w:rsidR="00F54432">
        <w:rPr>
          <w:rFonts w:ascii="TimesNewRomanPSMT" w:hAnsi="TimesNewRomanPSMT"/>
        </w:rPr>
        <w:t>would have to be validated by a federal public university, which can be a burdensome process.</w:t>
      </w:r>
    </w:p>
    <w:p w14:paraId="55EAD7F3" w14:textId="774EA2AB" w:rsidR="00C06E4B" w:rsidRDefault="0070240A" w:rsidP="00492C61">
      <w:pPr>
        <w:pStyle w:val="NormalWeb"/>
        <w:jc w:val="both"/>
        <w:rPr>
          <w:rFonts w:ascii="TimesNewRomanPSMT" w:hAnsi="TimesNewRomanPSMT"/>
        </w:rPr>
      </w:pPr>
      <w:r>
        <w:rPr>
          <w:rFonts w:ascii="TimesNewRomanPSMT" w:hAnsi="TimesNewRomanPSMT"/>
        </w:rPr>
        <w:t>The intricacies of regulations may</w:t>
      </w:r>
      <w:r w:rsidR="00492C61">
        <w:rPr>
          <w:rFonts w:ascii="TimesNewRomanPSMT" w:hAnsi="TimesNewRomanPSMT"/>
        </w:rPr>
        <w:t xml:space="preserve"> vary substantially</w:t>
      </w:r>
      <w:r>
        <w:rPr>
          <w:rFonts w:ascii="TimesNewRomanPSMT" w:hAnsi="TimesNewRomanPSMT"/>
        </w:rPr>
        <w:t>,</w:t>
      </w:r>
      <w:r w:rsidR="00492C61">
        <w:rPr>
          <w:rFonts w:ascii="TimesNewRomanPSMT" w:hAnsi="TimesNewRomanPSMT"/>
        </w:rPr>
        <w:t xml:space="preserve"> especially as to who has oversight and enforcement authority. As highlighted by Girardi, Fernandes Júnior, and Carvalho (2000, p. 5), professional regulation is in practice shared by various levels: (</w:t>
      </w:r>
      <w:proofErr w:type="spellStart"/>
      <w:r w:rsidR="00492C61">
        <w:rPr>
          <w:rFonts w:ascii="TimesNewRomanPSMT" w:hAnsi="TimesNewRomanPSMT"/>
        </w:rPr>
        <w:t>i</w:t>
      </w:r>
      <w:proofErr w:type="spellEnd"/>
      <w:r w:rsidR="00492C61">
        <w:rPr>
          <w:rFonts w:ascii="TimesNewRomanPSMT" w:hAnsi="TimesNewRomanPSMT"/>
        </w:rPr>
        <w:t xml:space="preserve">) the National Congress, which creates regulations and requirements, and may establish </w:t>
      </w:r>
      <w:r w:rsidR="00492C61" w:rsidRPr="00A32FFA">
        <w:rPr>
          <w:rFonts w:ascii="TimesNewRomanPSMT" w:hAnsi="TimesNewRomanPSMT"/>
        </w:rPr>
        <w:t>supervisory councils</w:t>
      </w:r>
      <w:r w:rsidR="00492C61">
        <w:rPr>
          <w:rFonts w:ascii="TimesNewRomanPSMT" w:hAnsi="TimesNewRomanPSMT"/>
        </w:rPr>
        <w:t xml:space="preserve"> for specific occupations; (ii) the Ministry of Labor, which regulates labor unions and issues reports on proposals for new regulations; (iii) the Ministry of Education, by establishing minimum curricula and standards; and (iv) the supervisory councils, that directly regulate and enforce quality standards and codes of ethics and conduct for “fully regulated” occupations. </w:t>
      </w:r>
    </w:p>
    <w:p w14:paraId="7E6CB97C" w14:textId="33913B5E" w:rsidR="000B29A4" w:rsidRPr="000B29A4" w:rsidRDefault="000B29A4" w:rsidP="00492C61">
      <w:pPr>
        <w:pStyle w:val="NormalWeb"/>
        <w:jc w:val="both"/>
        <w:rPr>
          <w:rFonts w:ascii="TimesNewRomanPSMT" w:hAnsi="TimesNewRomanPSMT"/>
          <w:b/>
          <w:bCs/>
        </w:rPr>
      </w:pPr>
      <w:r w:rsidRPr="000B29A4">
        <w:rPr>
          <w:rFonts w:ascii="TimesNewRomanPSMT" w:hAnsi="TimesNewRomanPSMT"/>
          <w:b/>
          <w:bCs/>
        </w:rPr>
        <w:t>4.1</w:t>
      </w:r>
      <w:r>
        <w:rPr>
          <w:rFonts w:ascii="TimesNewRomanPSMT" w:hAnsi="TimesNewRomanPSMT"/>
          <w:b/>
          <w:bCs/>
        </w:rPr>
        <w:t xml:space="preserve"> Typology of Licensing in Brazil</w:t>
      </w:r>
    </w:p>
    <w:p w14:paraId="07449ED8" w14:textId="68C9FA37" w:rsidR="00BD787C" w:rsidRPr="00BD787C" w:rsidRDefault="00EF0845" w:rsidP="00492C61">
      <w:pPr>
        <w:pStyle w:val="NormalWeb"/>
        <w:jc w:val="both"/>
        <w:rPr>
          <w:rFonts w:ascii="TimesNewRomanPSMT" w:hAnsi="TimesNewRomanPSMT"/>
        </w:rPr>
      </w:pPr>
      <w:r>
        <w:rPr>
          <w:rFonts w:ascii="TimesNewRomanPSMT" w:hAnsi="TimesNewRomanPSMT"/>
        </w:rPr>
        <w:lastRenderedPageBreak/>
        <w:t xml:space="preserve">This survey </w:t>
      </w:r>
      <w:r w:rsidR="00003AA1">
        <w:rPr>
          <w:rFonts w:ascii="TimesNewRomanPSMT" w:hAnsi="TimesNewRomanPSMT"/>
        </w:rPr>
        <w:t>identified</w:t>
      </w:r>
      <w:r w:rsidR="00AA40D0">
        <w:rPr>
          <w:rFonts w:ascii="TimesNewRomanPSMT" w:hAnsi="TimesNewRomanPSMT"/>
        </w:rPr>
        <w:t xml:space="preserve"> 8</w:t>
      </w:r>
      <w:r w:rsidR="00003AA1">
        <w:rPr>
          <w:rFonts w:ascii="TimesNewRomanPSMT" w:hAnsi="TimesNewRomanPSMT"/>
        </w:rPr>
        <w:t>4</w:t>
      </w:r>
      <w:r w:rsidR="00AA40D0">
        <w:rPr>
          <w:rFonts w:ascii="TimesNewRomanPSMT" w:hAnsi="TimesNewRomanPSMT"/>
        </w:rPr>
        <w:t xml:space="preserve"> regulated occupations in Brazil</w:t>
      </w:r>
      <w:r w:rsidR="00003AA1">
        <w:rPr>
          <w:rFonts w:ascii="TimesNewRomanPSMT" w:hAnsi="TimesNewRomanPSMT"/>
        </w:rPr>
        <w:t xml:space="preserve">, which can be divided according to </w:t>
      </w:r>
      <w:r w:rsidR="00003AA1" w:rsidRPr="00A733EF">
        <w:rPr>
          <w:rFonts w:ascii="TimesNewRomanPSMT" w:hAnsi="TimesNewRomanPSMT"/>
        </w:rPr>
        <w:t>Figure 2.</w:t>
      </w:r>
      <w:r w:rsidR="00003AA1">
        <w:rPr>
          <w:rFonts w:ascii="TimesNewRomanPSMT" w:hAnsi="TimesNewRomanPSMT"/>
          <w:b/>
          <w:bCs/>
        </w:rPr>
        <w:t xml:space="preserve"> </w:t>
      </w:r>
      <w:r w:rsidR="00003AA1">
        <w:rPr>
          <w:rFonts w:ascii="TimesNewRomanPSMT" w:hAnsi="TimesNewRomanPSMT"/>
        </w:rPr>
        <w:t>First, there are nine regulated occupations for which no minimum qualification is necessary. The</w:t>
      </w:r>
      <w:r w:rsidR="00BD787C">
        <w:rPr>
          <w:rFonts w:ascii="TimesNewRomanPSMT" w:hAnsi="TimesNewRomanPSMT"/>
        </w:rPr>
        <w:t xml:space="preserve">se are </w:t>
      </w:r>
      <w:r w:rsidR="00003AA1">
        <w:rPr>
          <w:rFonts w:ascii="TimesNewRomanPSMT" w:hAnsi="TimesNewRomanPSMT"/>
        </w:rPr>
        <w:t xml:space="preserve">cases in which regulation is concerned, first and foremost, with providing minimal standards to protect the worker, either in terms of labor contracts or labor safety. </w:t>
      </w:r>
      <w:r w:rsidR="00BD787C">
        <w:rPr>
          <w:rFonts w:ascii="TimesNewRomanPSMT" w:hAnsi="TimesNewRomanPSMT"/>
        </w:rPr>
        <w:t xml:space="preserve">They also tend to be occupations with rather unusual characteristics. </w:t>
      </w:r>
      <w:r w:rsidR="00003AA1">
        <w:rPr>
          <w:rFonts w:ascii="TimesNewRomanPSMT" w:hAnsi="TimesNewRomanPSMT"/>
        </w:rPr>
        <w:t>For instance, the regulation of rodeo bull riders requires insurance as part of the labor contract.</w:t>
      </w:r>
    </w:p>
    <w:p w14:paraId="65FB0B97" w14:textId="1A310825" w:rsidR="00003AA1" w:rsidRPr="00003AA1" w:rsidRDefault="00003AA1" w:rsidP="00003AA1">
      <w:pPr>
        <w:pStyle w:val="NormalWeb"/>
        <w:keepNext/>
        <w:jc w:val="both"/>
        <w:rPr>
          <w:b/>
          <w:bCs/>
        </w:rPr>
      </w:pPr>
      <w:r>
        <w:rPr>
          <w:b/>
          <w:bCs/>
        </w:rPr>
        <w:t xml:space="preserve">Figure </w:t>
      </w:r>
      <w:r w:rsidR="009317AE">
        <w:rPr>
          <w:b/>
          <w:bCs/>
        </w:rPr>
        <w:t>2</w:t>
      </w:r>
      <w:r>
        <w:rPr>
          <w:b/>
          <w:bCs/>
        </w:rPr>
        <w:t>: Typo</w:t>
      </w:r>
      <w:r w:rsidR="000B29A4">
        <w:rPr>
          <w:b/>
          <w:bCs/>
        </w:rPr>
        <w:t xml:space="preserve">logy </w:t>
      </w:r>
      <w:r>
        <w:rPr>
          <w:b/>
          <w:bCs/>
        </w:rPr>
        <w:t>of Regulated Occupations</w:t>
      </w:r>
    </w:p>
    <w:p w14:paraId="2D63BC9F" w14:textId="77777777" w:rsidR="002F6034" w:rsidRDefault="002F6034" w:rsidP="001451DA">
      <w:pPr>
        <w:pStyle w:val="NormalWeb"/>
        <w:jc w:val="both"/>
        <w:rPr>
          <w:rFonts w:ascii="TimesNewRomanPSMT" w:hAnsi="TimesNewRomanPSMT"/>
          <w:b/>
          <w:bCs/>
        </w:rPr>
      </w:pPr>
      <w:r w:rsidRPr="002F6034">
        <w:rPr>
          <w:rFonts w:ascii="TimesNewRomanPSMT" w:hAnsi="TimesNewRomanPSMT"/>
          <w:b/>
          <w:bCs/>
          <w:noProof/>
        </w:rPr>
        <w:drawing>
          <wp:inline distT="0" distB="0" distL="0" distR="0" wp14:anchorId="1649B113" wp14:editId="4AA740CA">
            <wp:extent cx="5943600" cy="3181985"/>
            <wp:effectExtent l="0" t="0" r="0" b="5715"/>
            <wp:docPr id="88549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90399" name=""/>
                    <pic:cNvPicPr/>
                  </pic:nvPicPr>
                  <pic:blipFill>
                    <a:blip r:embed="rId9"/>
                    <a:stretch>
                      <a:fillRect/>
                    </a:stretch>
                  </pic:blipFill>
                  <pic:spPr>
                    <a:xfrm>
                      <a:off x="0" y="0"/>
                      <a:ext cx="5943600" cy="3181985"/>
                    </a:xfrm>
                    <a:prstGeom prst="rect">
                      <a:avLst/>
                    </a:prstGeom>
                  </pic:spPr>
                </pic:pic>
              </a:graphicData>
            </a:graphic>
          </wp:inline>
        </w:drawing>
      </w:r>
    </w:p>
    <w:p w14:paraId="05E23465" w14:textId="0F60CE67" w:rsidR="001451DA" w:rsidRPr="002F6034" w:rsidRDefault="001451DA" w:rsidP="001451DA">
      <w:pPr>
        <w:pStyle w:val="NormalWeb"/>
        <w:jc w:val="both"/>
        <w:rPr>
          <w:rFonts w:ascii="TimesNewRomanPSMT" w:hAnsi="TimesNewRomanPSMT"/>
          <w:b/>
          <w:bCs/>
        </w:rPr>
      </w:pPr>
      <w:r>
        <w:rPr>
          <w:rFonts w:ascii="TimesNewRomanPSMT" w:hAnsi="TimesNewRomanPSMT"/>
        </w:rPr>
        <w:t xml:space="preserve">The main category of interest includes 75 occupations with minimum requirements for work. What is common for nearly all of them is a bachelor’s or technician degree in the field. For </w:t>
      </w:r>
      <w:r w:rsidR="002F6034">
        <w:rPr>
          <w:rFonts w:ascii="TimesNewRomanPSMT" w:hAnsi="TimesNewRomanPSMT"/>
        </w:rPr>
        <w:t>seven</w:t>
      </w:r>
      <w:r>
        <w:rPr>
          <w:rFonts w:ascii="TimesNewRomanPSMT" w:hAnsi="TimesNewRomanPSMT"/>
        </w:rPr>
        <w:t xml:space="preserve"> of these occupations, there is no </w:t>
      </w:r>
      <w:proofErr w:type="gramStart"/>
      <w:r>
        <w:rPr>
          <w:rFonts w:ascii="TimesNewRomanPSMT" w:hAnsi="TimesNewRomanPSMT"/>
          <w:i/>
          <w:iCs/>
        </w:rPr>
        <w:t>ex ante</w:t>
      </w:r>
      <w:proofErr w:type="gramEnd"/>
      <w:r>
        <w:rPr>
          <w:rFonts w:ascii="TimesNewRomanPSMT" w:hAnsi="TimesNewRomanPSMT"/>
          <w:i/>
          <w:iCs/>
        </w:rPr>
        <w:t xml:space="preserve"> </w:t>
      </w:r>
      <w:r>
        <w:rPr>
          <w:rFonts w:ascii="TimesNewRomanPSMT" w:hAnsi="TimesNewRomanPSMT"/>
        </w:rPr>
        <w:t xml:space="preserve">licensing. </w:t>
      </w:r>
      <w:r w:rsidR="009847E9">
        <w:rPr>
          <w:rFonts w:ascii="TimesNewRomanPSMT" w:hAnsi="TimesNewRomanPSMT"/>
        </w:rPr>
        <w:t>For instance, a 2008 law provides a list of activities</w:t>
      </w:r>
      <w:r w:rsidR="00A40B82">
        <w:rPr>
          <w:rFonts w:ascii="TimesNewRomanPSMT" w:hAnsi="TimesNewRomanPSMT"/>
        </w:rPr>
        <w:t xml:space="preserve"> (e.g. issuing a technical report)</w:t>
      </w:r>
      <w:r w:rsidR="009847E9">
        <w:rPr>
          <w:rFonts w:ascii="TimesNewRomanPSMT" w:hAnsi="TimesNewRomanPSMT"/>
        </w:rPr>
        <w:t xml:space="preserve"> that can only be performed by oceanographers</w:t>
      </w:r>
      <w:r w:rsidR="00A40B82">
        <w:rPr>
          <w:rFonts w:ascii="TimesNewRomanPSMT" w:hAnsi="TimesNewRomanPSMT"/>
        </w:rPr>
        <w:t xml:space="preserve"> – those with a bachelor’s degree in the field</w:t>
      </w:r>
      <w:r>
        <w:rPr>
          <w:rFonts w:ascii="TimesNewRomanPSMT" w:hAnsi="TimesNewRomanPSMT"/>
        </w:rPr>
        <w:t xml:space="preserve"> – but it does not require them to register or obtain a license</w:t>
      </w:r>
      <w:r w:rsidR="002F6034">
        <w:rPr>
          <w:rFonts w:ascii="TimesNewRomanPSMT" w:hAnsi="TimesNewRomanPSMT"/>
        </w:rPr>
        <w:t xml:space="preserve"> in advance</w:t>
      </w:r>
      <w:r>
        <w:rPr>
          <w:rFonts w:ascii="TimesNewRomanPSMT" w:hAnsi="TimesNewRomanPSMT"/>
        </w:rPr>
        <w:t>.</w:t>
      </w:r>
      <w:r w:rsidR="002F6034">
        <w:rPr>
          <w:rFonts w:ascii="TimesNewRomanPSMT" w:hAnsi="TimesNewRomanPSMT"/>
        </w:rPr>
        <w:t xml:space="preserve"> In other words, their degree may be considered sufficient</w:t>
      </w:r>
      <w:r>
        <w:rPr>
          <w:rFonts w:ascii="TimesNewRomanPSMT" w:hAnsi="TimesNewRomanPSMT"/>
        </w:rPr>
        <w:t xml:space="preserve"> </w:t>
      </w:r>
      <w:r w:rsidR="002F6034">
        <w:rPr>
          <w:rFonts w:ascii="TimesNewRomanPSMT" w:hAnsi="TimesNewRomanPSMT"/>
        </w:rPr>
        <w:t>for licensing.</w:t>
      </w:r>
    </w:p>
    <w:p w14:paraId="1E4378EF" w14:textId="77777777" w:rsidR="000B29A4" w:rsidRDefault="0047272F" w:rsidP="000B29A4">
      <w:pPr>
        <w:pStyle w:val="NormalWeb"/>
        <w:jc w:val="both"/>
        <w:rPr>
          <w:rFonts w:ascii="TimesNewRomanPSMT" w:hAnsi="TimesNewRomanPSMT"/>
        </w:rPr>
      </w:pPr>
      <w:r>
        <w:rPr>
          <w:rFonts w:ascii="TimesNewRomanPSMT" w:hAnsi="TimesNewRomanPSMT"/>
        </w:rPr>
        <w:t>While the law may also state that the worker must abide by some vague safety, quality, or health standards, it is usually not clear who should enforce them or whether the measure is not redundant. A case in point is a 2012 law that regulates the occupation of barbers, hairdressers, manicures, and estheticians. The only thing the law established is that they must “</w:t>
      </w:r>
      <w:r w:rsidRPr="00A40B82">
        <w:rPr>
          <w:rFonts w:ascii="TimesNewRomanPSMT" w:hAnsi="TimesNewRomanPSMT"/>
        </w:rPr>
        <w:t>comply with sanitary regulations by sterilizing materials and utensils used in serving clients</w:t>
      </w:r>
      <w:r>
        <w:rPr>
          <w:rFonts w:ascii="TimesNewRomanPSMT" w:hAnsi="TimesNewRomanPSMT"/>
        </w:rPr>
        <w:t xml:space="preserve">” –– something that would already be covered by health codes. </w:t>
      </w:r>
    </w:p>
    <w:p w14:paraId="753738ED" w14:textId="52320959" w:rsidR="006C5474" w:rsidRPr="000B29A4" w:rsidRDefault="0047272F" w:rsidP="000B29A4">
      <w:pPr>
        <w:pStyle w:val="NormalWeb"/>
        <w:jc w:val="both"/>
        <w:rPr>
          <w:rFonts w:ascii="TimesNewRomanPSMT" w:hAnsi="TimesNewRomanPSMT"/>
        </w:rPr>
      </w:pPr>
      <w:r>
        <w:rPr>
          <w:rFonts w:ascii="TimesNewRomanPSMT" w:hAnsi="TimesNewRomanPSMT"/>
        </w:rPr>
        <w:t>Indeed, in many cases, the minimum requirements are not attached to any observable quality outcome and thus seem to be established mostly as a market reserve. Nine</w:t>
      </w:r>
      <w:r w:rsidR="001451DA">
        <w:rPr>
          <w:rFonts w:ascii="TimesNewRomanPSMT" w:hAnsi="TimesNewRomanPSMT"/>
        </w:rPr>
        <w:t xml:space="preserve"> out of ten occupations </w:t>
      </w:r>
      <w:r w:rsidR="001451DA">
        <w:rPr>
          <w:rFonts w:ascii="TimesNewRomanPSMT" w:hAnsi="TimesNewRomanPSMT"/>
        </w:rPr>
        <w:lastRenderedPageBreak/>
        <w:t>with minimum requirements do require a license</w:t>
      </w:r>
      <w:r w:rsidR="00DD5786">
        <w:rPr>
          <w:rFonts w:ascii="TimesNewRomanPSMT" w:hAnsi="TimesNewRomanPSMT"/>
        </w:rPr>
        <w:t xml:space="preserve"> – 68 occupations in total</w:t>
      </w:r>
      <w:r>
        <w:rPr>
          <w:rFonts w:ascii="TimesNewRomanPSMT" w:hAnsi="TimesNewRomanPSMT"/>
        </w:rPr>
        <w:t>. However, the licensing body may vary. The federal government directly licenses 17 of these occupations.</w:t>
      </w:r>
      <w:r>
        <w:rPr>
          <w:rStyle w:val="FootnoteReference"/>
          <w:rFonts w:ascii="TimesNewRomanPSMT" w:hAnsi="TimesNewRomanPSMT"/>
        </w:rPr>
        <w:footnoteReference w:id="24"/>
      </w:r>
      <w:r w:rsidR="00724F66">
        <w:rPr>
          <w:rFonts w:ascii="TimesNewRomanPSMT" w:hAnsi="TimesNewRomanPSMT"/>
        </w:rPr>
        <w:t xml:space="preserve"> </w:t>
      </w:r>
    </w:p>
    <w:p w14:paraId="36953925" w14:textId="77777777" w:rsidR="00E43A34" w:rsidRDefault="00724F66" w:rsidP="00724F66">
      <w:pPr>
        <w:pStyle w:val="NormalWeb"/>
        <w:jc w:val="both"/>
        <w:rPr>
          <w:rFonts w:ascii="TimesNewRomanPSMT" w:hAnsi="TimesNewRomanPSMT"/>
        </w:rPr>
      </w:pPr>
      <w:r>
        <w:rPr>
          <w:rFonts w:ascii="TimesNewRomanPSMT" w:hAnsi="TimesNewRomanPSMT"/>
        </w:rPr>
        <w:t xml:space="preserve">For </w:t>
      </w:r>
      <w:r w:rsidR="007727F0">
        <w:rPr>
          <w:rFonts w:ascii="TimesNewRomanPSMT" w:hAnsi="TimesNewRomanPSMT"/>
        </w:rPr>
        <w:t>nine</w:t>
      </w:r>
      <w:r>
        <w:rPr>
          <w:rFonts w:ascii="TimesNewRomanPSMT" w:hAnsi="TimesNewRomanPSMT"/>
        </w:rPr>
        <w:t xml:space="preserve"> occupations, the regulatory process or the registration/licensing of workers is handled by external agencies not directly related to the federal government. The</w:t>
      </w:r>
      <w:r w:rsidR="007727F0">
        <w:rPr>
          <w:rFonts w:ascii="TimesNewRomanPSMT" w:hAnsi="TimesNewRomanPSMT"/>
        </w:rPr>
        <w:t xml:space="preserve">se </w:t>
      </w:r>
      <w:r>
        <w:rPr>
          <w:rFonts w:ascii="TimesNewRomanPSMT" w:hAnsi="TimesNewRomanPSMT"/>
        </w:rPr>
        <w:t xml:space="preserve">are flight crew, which are regulated and licensed by the National Agency of Civil Aviation (ANAC); autonomous investment agents, regulated and licensed by the </w:t>
      </w:r>
      <w:r w:rsidRPr="00AA40D0">
        <w:rPr>
          <w:rFonts w:ascii="TimesNewRomanPSMT" w:hAnsi="TimesNewRomanPSMT"/>
        </w:rPr>
        <w:t>National Association of Securities, Foreign Exchange, and Commodities Brokers and Distributors</w:t>
      </w:r>
      <w:r>
        <w:rPr>
          <w:rFonts w:ascii="TimesNewRomanPSMT" w:hAnsi="TimesNewRomanPSMT"/>
        </w:rPr>
        <w:t xml:space="preserve"> (ANCORD)</w:t>
      </w:r>
      <w:r w:rsidR="007727F0">
        <w:rPr>
          <w:rFonts w:ascii="TimesNewRomanPSMT" w:hAnsi="TimesNewRomanPSMT"/>
        </w:rPr>
        <w:t>;</w:t>
      </w:r>
      <w:r>
        <w:rPr>
          <w:rFonts w:ascii="TimesNewRomanPSMT" w:hAnsi="TimesNewRomanPSMT"/>
        </w:rPr>
        <w:t xml:space="preserve"> and </w:t>
      </w:r>
      <w:r w:rsidR="007727F0">
        <w:rPr>
          <w:rFonts w:ascii="TimesNewRomanPSMT" w:hAnsi="TimesNewRomanPSMT"/>
        </w:rPr>
        <w:t>t</w:t>
      </w:r>
      <w:r>
        <w:rPr>
          <w:rFonts w:ascii="TimesNewRomanPSMT" w:hAnsi="TimesNewRomanPSMT"/>
        </w:rPr>
        <w:t xml:space="preserve">ourist </w:t>
      </w:r>
      <w:r w:rsidR="007727F0">
        <w:rPr>
          <w:rFonts w:ascii="TimesNewRomanPSMT" w:hAnsi="TimesNewRomanPSMT"/>
        </w:rPr>
        <w:t>g</w:t>
      </w:r>
      <w:r>
        <w:rPr>
          <w:rFonts w:ascii="TimesNewRomanPSMT" w:hAnsi="TimesNewRomanPSMT"/>
        </w:rPr>
        <w:t>uides, by Brazilian Institute of Tourism (EMBRATUR)</w:t>
      </w:r>
      <w:r w:rsidR="007727F0">
        <w:rPr>
          <w:rFonts w:ascii="TimesNewRomanPSMT" w:hAnsi="TimesNewRomanPSMT"/>
        </w:rPr>
        <w:t xml:space="preserve">; and insurance agents, by the </w:t>
      </w:r>
      <w:r w:rsidR="007727F0" w:rsidRPr="007727F0">
        <w:rPr>
          <w:rFonts w:ascii="TimesNewRomanPSMT" w:hAnsi="TimesNewRomanPSMT"/>
        </w:rPr>
        <w:t>Superintendence of Private Insurance (S</w:t>
      </w:r>
      <w:r w:rsidR="007727F0">
        <w:rPr>
          <w:rFonts w:ascii="TimesNewRomanPSMT" w:hAnsi="TimesNewRomanPSMT"/>
        </w:rPr>
        <w:t>USEP</w:t>
      </w:r>
      <w:r w:rsidR="007727F0" w:rsidRPr="007727F0">
        <w:rPr>
          <w:rFonts w:ascii="TimesNewRomanPSMT" w:hAnsi="TimesNewRomanPSMT"/>
        </w:rPr>
        <w:t>)</w:t>
      </w:r>
      <w:r w:rsidR="007727F0">
        <w:rPr>
          <w:rFonts w:ascii="TimesNewRomanPSMT" w:hAnsi="TimesNewRomanPSMT"/>
        </w:rPr>
        <w:t xml:space="preserve">. The remaining five occupations </w:t>
      </w:r>
      <w:r w:rsidR="00867F94">
        <w:rPr>
          <w:rFonts w:ascii="TimesNewRomanPSMT" w:hAnsi="TimesNewRomanPSMT"/>
        </w:rPr>
        <w:t xml:space="preserve">within this group </w:t>
      </w:r>
      <w:r w:rsidR="007727F0">
        <w:rPr>
          <w:rFonts w:ascii="TimesNewRomanPSMT" w:hAnsi="TimesNewRomanPSMT"/>
        </w:rPr>
        <w:t>comprise interesting exception</w:t>
      </w:r>
      <w:r w:rsidR="00867F94">
        <w:rPr>
          <w:rFonts w:ascii="TimesNewRomanPSMT" w:hAnsi="TimesNewRomanPSMT"/>
        </w:rPr>
        <w:t xml:space="preserve">s of licenses that are issued by state or local governments. Although the overall guidelines are established by federal law, </w:t>
      </w:r>
      <w:r w:rsidR="007727F0">
        <w:rPr>
          <w:rFonts w:ascii="TimesNewRomanPSMT" w:hAnsi="TimesNewRomanPSMT"/>
        </w:rPr>
        <w:t xml:space="preserve">state or local legislation may supplement federal requirements due to </w:t>
      </w:r>
      <w:r w:rsidR="00867F94">
        <w:rPr>
          <w:rFonts w:ascii="TimesNewRomanPSMT" w:hAnsi="TimesNewRomanPSMT"/>
        </w:rPr>
        <w:t>the specificity of local environment. These are auctioneers (state commercial registries), rural auctioneers (association of rural producers), traffic instructors (state departments of traffic), taxi drivers, moto-taxi drivers, and moto-delivery (local governments).</w:t>
      </w:r>
      <w:r w:rsidR="00867F94">
        <w:rPr>
          <w:rStyle w:val="FootnoteReference"/>
          <w:rFonts w:ascii="TimesNewRomanPSMT" w:hAnsi="TimesNewRomanPSMT"/>
        </w:rPr>
        <w:footnoteReference w:id="25"/>
      </w:r>
      <w:r w:rsidR="00867F94">
        <w:rPr>
          <w:rFonts w:ascii="TimesNewRomanPSMT" w:hAnsi="TimesNewRomanPSMT"/>
        </w:rPr>
        <w:t xml:space="preserve"> </w:t>
      </w:r>
    </w:p>
    <w:p w14:paraId="4FBDE5C1" w14:textId="419CC743" w:rsidR="007727F0" w:rsidRDefault="001B1EA1" w:rsidP="00724F66">
      <w:pPr>
        <w:pStyle w:val="NormalWeb"/>
        <w:jc w:val="both"/>
        <w:rPr>
          <w:rFonts w:ascii="TimesNewRomanPSMT" w:hAnsi="TimesNewRomanPSMT"/>
        </w:rPr>
      </w:pPr>
      <w:r>
        <w:rPr>
          <w:rFonts w:ascii="TimesNewRomanPSMT" w:hAnsi="TimesNewRomanPSMT"/>
        </w:rPr>
        <w:t>There are also two occupations whose licensing body is currently unclear, massagists and “social mother”.</w:t>
      </w:r>
      <w:r>
        <w:rPr>
          <w:rStyle w:val="FootnoteReference"/>
          <w:rFonts w:ascii="TimesNewRomanPSMT" w:hAnsi="TimesNewRomanPSMT"/>
        </w:rPr>
        <w:footnoteReference w:id="26"/>
      </w:r>
      <w:r>
        <w:rPr>
          <w:rFonts w:ascii="TimesNewRomanPSMT" w:hAnsi="TimesNewRomanPSMT"/>
        </w:rPr>
        <w:t xml:space="preserve"> The former refers to a 1961 law, and the oversight body is now extinct. The latter establishes several requirements</w:t>
      </w:r>
      <w:r w:rsidR="00E43A34">
        <w:rPr>
          <w:rFonts w:ascii="TimesNewRomanPSMT" w:hAnsi="TimesNewRomanPSMT"/>
        </w:rPr>
        <w:t xml:space="preserve"> for licensing, including psychological and theoretical examinations, </w:t>
      </w:r>
      <w:r>
        <w:rPr>
          <w:rFonts w:ascii="TimesNewRomanPSMT" w:hAnsi="TimesNewRomanPSMT"/>
        </w:rPr>
        <w:t xml:space="preserve">but does not specify who </w:t>
      </w:r>
      <w:r w:rsidR="00E43A34">
        <w:rPr>
          <w:rFonts w:ascii="TimesNewRomanPSMT" w:hAnsi="TimesNewRomanPSMT"/>
        </w:rPr>
        <w:t xml:space="preserve">should apply such tests. </w:t>
      </w:r>
    </w:p>
    <w:p w14:paraId="66D23B7E" w14:textId="09B0131F" w:rsidR="00492C61" w:rsidRDefault="00867F94" w:rsidP="00492C61">
      <w:pPr>
        <w:pStyle w:val="NormalWeb"/>
        <w:jc w:val="both"/>
        <w:rPr>
          <w:rFonts w:ascii="TimesNewRomanPSMT" w:hAnsi="TimesNewRomanPSMT"/>
        </w:rPr>
      </w:pPr>
      <w:r>
        <w:rPr>
          <w:rFonts w:ascii="TimesNewRomanPSMT" w:hAnsi="TimesNewRomanPSMT"/>
        </w:rPr>
        <w:t>Finally,</w:t>
      </w:r>
      <w:r w:rsidR="00492C61">
        <w:rPr>
          <w:rFonts w:ascii="TimesNewRomanPSMT" w:hAnsi="TimesNewRomanPSMT"/>
        </w:rPr>
        <w:t xml:space="preserve"> 3</w:t>
      </w:r>
      <w:r w:rsidR="00DD5786">
        <w:rPr>
          <w:rFonts w:ascii="TimesNewRomanPSMT" w:hAnsi="TimesNewRomanPSMT"/>
        </w:rPr>
        <w:t>8</w:t>
      </w:r>
      <w:r w:rsidR="00492C61">
        <w:rPr>
          <w:rFonts w:ascii="TimesNewRomanPSMT" w:hAnsi="TimesNewRomanPSMT"/>
        </w:rPr>
        <w:t xml:space="preserve"> occupations are regulated by 3</w:t>
      </w:r>
      <w:r w:rsidR="00575E98">
        <w:rPr>
          <w:rFonts w:ascii="TimesNewRomanPSMT" w:hAnsi="TimesNewRomanPSMT"/>
        </w:rPr>
        <w:t>2</w:t>
      </w:r>
      <w:r w:rsidR="00492C61">
        <w:rPr>
          <w:rFonts w:ascii="TimesNewRomanPSMT" w:hAnsi="TimesNewRomanPSMT"/>
        </w:rPr>
        <w:t xml:space="preserve"> councils (</w:t>
      </w:r>
      <w:r w:rsidR="00C06E4B">
        <w:rPr>
          <w:rFonts w:ascii="TimesNewRomanPSMT" w:hAnsi="TimesNewRomanPSMT"/>
        </w:rPr>
        <w:t xml:space="preserve">i.e. </w:t>
      </w:r>
      <w:r w:rsidR="00492C61">
        <w:rPr>
          <w:rFonts w:ascii="TimesNewRomanPSMT" w:hAnsi="TimesNewRomanPSMT"/>
        </w:rPr>
        <w:t>professional boards), implying that a single council can oversee more than one occupation. For instance, engineers, agronomists, and architects were regulated by the same council until 2010, when architects had their own council established. All occupations regulated by councils require a license to practice</w:t>
      </w:r>
      <w:r w:rsidR="00F54432">
        <w:rPr>
          <w:rFonts w:ascii="TimesNewRomanPSMT" w:hAnsi="TimesNewRomanPSMT"/>
        </w:rPr>
        <w:t xml:space="preserve">, subject to a licensing fee that must be renewed annually. </w:t>
      </w:r>
    </w:p>
    <w:p w14:paraId="2A41424B" w14:textId="2549EA2F" w:rsidR="00492C61" w:rsidRDefault="00492C61" w:rsidP="00492C61">
      <w:pPr>
        <w:pStyle w:val="NormalWeb"/>
        <w:jc w:val="both"/>
        <w:rPr>
          <w:rFonts w:ascii="TimesNewRomanPSMT" w:hAnsi="TimesNewRomanPSMT"/>
        </w:rPr>
      </w:pPr>
      <w:r>
        <w:rPr>
          <w:rFonts w:ascii="TimesNewRomanPSMT" w:hAnsi="TimesNewRomanPSMT"/>
        </w:rPr>
        <w:t xml:space="preserve">Councils must be established by federal legislation. Apart from the federal council, each council is subdivided into state chapters. As chapters, they lack independence and thus do </w:t>
      </w:r>
      <w:r>
        <w:rPr>
          <w:rFonts w:ascii="TimesNewRomanPSMT" w:hAnsi="TimesNewRomanPSMT"/>
          <w:i/>
          <w:iCs/>
        </w:rPr>
        <w:t xml:space="preserve">not </w:t>
      </w:r>
      <w:r>
        <w:rPr>
          <w:rFonts w:ascii="TimesNewRomanPSMT" w:hAnsi="TimesNewRomanPSMT"/>
        </w:rPr>
        <w:t>vary in terms of requirements for licensing, which are all established identically to all states at the federal level</w:t>
      </w:r>
      <w:r w:rsidR="00C06E4B">
        <w:rPr>
          <w:rFonts w:ascii="TimesNewRomanPSMT" w:hAnsi="TimesNewRomanPSMT"/>
        </w:rPr>
        <w:t>.</w:t>
      </w:r>
      <w:r>
        <w:rPr>
          <w:rFonts w:ascii="TimesNewRomanPSMT" w:hAnsi="TimesNewRomanPSMT"/>
        </w:rPr>
        <w:t xml:space="preserve"> </w:t>
      </w:r>
      <w:r w:rsidR="00C06E4B">
        <w:rPr>
          <w:rFonts w:ascii="TimesNewRomanPSMT" w:hAnsi="TimesNewRomanPSMT"/>
        </w:rPr>
        <w:t>L</w:t>
      </w:r>
      <w:r>
        <w:rPr>
          <w:rFonts w:ascii="TimesNewRomanPSMT" w:hAnsi="TimesNewRomanPSMT"/>
        </w:rPr>
        <w:t>icensing fees</w:t>
      </w:r>
      <w:r w:rsidR="00C06E4B">
        <w:rPr>
          <w:rFonts w:ascii="TimesNewRomanPSMT" w:hAnsi="TimesNewRomanPSMT"/>
        </w:rPr>
        <w:t xml:space="preserve"> are a potential exception, as they</w:t>
      </w:r>
      <w:r>
        <w:rPr>
          <w:rFonts w:ascii="TimesNewRomanPSMT" w:hAnsi="TimesNewRomanPSMT"/>
        </w:rPr>
        <w:t xml:space="preserve"> </w:t>
      </w:r>
      <w:r w:rsidR="00C06E4B">
        <w:rPr>
          <w:rFonts w:ascii="TimesNewRomanPSMT" w:hAnsi="TimesNewRomanPSMT"/>
        </w:rPr>
        <w:t>may</w:t>
      </w:r>
      <w:r>
        <w:rPr>
          <w:rFonts w:ascii="TimesNewRomanPSMT" w:hAnsi="TimesNewRomanPSMT"/>
        </w:rPr>
        <w:t xml:space="preserve"> vary at the state level for some councils. Additionally, state chapters may offer different club goods to their associates, such as discounts for professional courses or even for some consumer brands.</w:t>
      </w:r>
    </w:p>
    <w:p w14:paraId="1A82A098" w14:textId="7BF4F667" w:rsidR="00492C61" w:rsidRPr="00E60BD9" w:rsidRDefault="00492C61" w:rsidP="00492C61">
      <w:pPr>
        <w:pStyle w:val="NormalWeb"/>
        <w:jc w:val="both"/>
        <w:rPr>
          <w:rFonts w:ascii="TimesNewRomanPSMT" w:hAnsi="TimesNewRomanPSMT"/>
        </w:rPr>
      </w:pPr>
      <w:r>
        <w:rPr>
          <w:rFonts w:ascii="TimesNewRomanPSMT" w:hAnsi="TimesNewRomanPSMT"/>
        </w:rPr>
        <w:t>Licensing requirements are mostly similar across different councils. These entail (</w:t>
      </w:r>
      <w:proofErr w:type="spellStart"/>
      <w:r>
        <w:rPr>
          <w:rFonts w:ascii="TimesNewRomanPSMT" w:hAnsi="TimesNewRomanPSMT"/>
        </w:rPr>
        <w:t>i</w:t>
      </w:r>
      <w:proofErr w:type="spellEnd"/>
      <w:r>
        <w:rPr>
          <w:rFonts w:ascii="TimesNewRomanPSMT" w:hAnsi="TimesNewRomanPSMT"/>
        </w:rPr>
        <w:t xml:space="preserve">) a bachelor’s degree in the area; (ii) a certificate that the individual has voted in previous elections and a certificate of military conscription (for males), as both are mandatory in Brazil; and (iii) some </w:t>
      </w:r>
      <w:r>
        <w:rPr>
          <w:rFonts w:ascii="TimesNewRomanPSMT" w:hAnsi="TimesNewRomanPSMT"/>
        </w:rPr>
        <w:lastRenderedPageBreak/>
        <w:t xml:space="preserve">evidence of “moral integrity” </w:t>
      </w:r>
      <w:r>
        <w:rPr>
          <w:rFonts w:ascii="TimesNewRomanPSMT" w:hAnsi="TimesNewRomanPSMT"/>
        </w:rPr>
        <w:softHyphen/>
      </w:r>
      <w:r>
        <w:rPr>
          <w:rFonts w:ascii="TimesNewRomanPSMT" w:hAnsi="TimesNewRomanPSMT"/>
        </w:rPr>
        <w:softHyphen/>
        <w:t xml:space="preserve">– in practice, usually proof of no criminal records. An exception is the occupation of lawyers, for which the </w:t>
      </w:r>
      <w:proofErr w:type="spellStart"/>
      <w:r>
        <w:rPr>
          <w:rFonts w:ascii="TimesNewRomanPSMT" w:hAnsi="TimesNewRomanPSMT"/>
          <w:i/>
          <w:iCs/>
        </w:rPr>
        <w:t>Ordem</w:t>
      </w:r>
      <w:proofErr w:type="spellEnd"/>
      <w:r>
        <w:rPr>
          <w:rFonts w:ascii="TimesNewRomanPSMT" w:hAnsi="TimesNewRomanPSMT"/>
          <w:i/>
          <w:iCs/>
        </w:rPr>
        <w:t xml:space="preserve"> dos </w:t>
      </w:r>
      <w:proofErr w:type="spellStart"/>
      <w:r>
        <w:rPr>
          <w:rFonts w:ascii="TimesNewRomanPSMT" w:hAnsi="TimesNewRomanPSMT"/>
          <w:i/>
          <w:iCs/>
        </w:rPr>
        <w:t>Advogados</w:t>
      </w:r>
      <w:proofErr w:type="spellEnd"/>
      <w:r>
        <w:rPr>
          <w:rFonts w:ascii="TimesNewRomanPSMT" w:hAnsi="TimesNewRomanPSMT"/>
          <w:i/>
          <w:iCs/>
        </w:rPr>
        <w:t xml:space="preserve"> do </w:t>
      </w:r>
      <w:proofErr w:type="spellStart"/>
      <w:r>
        <w:rPr>
          <w:rFonts w:ascii="TimesNewRomanPSMT" w:hAnsi="TimesNewRomanPSMT"/>
          <w:i/>
          <w:iCs/>
        </w:rPr>
        <w:t>Brasil</w:t>
      </w:r>
      <w:proofErr w:type="spellEnd"/>
      <w:r>
        <w:rPr>
          <w:rFonts w:ascii="TimesNewRomanPSMT" w:hAnsi="TimesNewRomanPSMT"/>
          <w:i/>
          <w:iCs/>
        </w:rPr>
        <w:t xml:space="preserve"> </w:t>
      </w:r>
      <w:r>
        <w:rPr>
          <w:rFonts w:ascii="TimesNewRomanPSMT" w:hAnsi="TimesNewRomanPSMT"/>
        </w:rPr>
        <w:t>(OAB, Brazilian Bar Association)</w:t>
      </w:r>
      <w:r>
        <w:rPr>
          <w:rFonts w:ascii="TimesNewRomanPSMT" w:hAnsi="TimesNewRomanPSMT"/>
          <w:i/>
          <w:iCs/>
        </w:rPr>
        <w:t xml:space="preserve"> </w:t>
      </w:r>
      <w:r>
        <w:rPr>
          <w:rFonts w:ascii="TimesNewRomanPSMT" w:hAnsi="TimesNewRomanPSMT"/>
        </w:rPr>
        <w:t>implements an additional national examination of proficiency standards before conceding the licensing.</w:t>
      </w:r>
      <w:r>
        <w:rPr>
          <w:rStyle w:val="FootnoteReference"/>
          <w:rFonts w:ascii="TimesNewRomanPSMT" w:hAnsi="TimesNewRomanPSMT"/>
        </w:rPr>
        <w:footnoteReference w:id="27"/>
      </w:r>
      <w:r>
        <w:rPr>
          <w:rFonts w:ascii="TimesNewRomanPSMT" w:hAnsi="TimesNewRomanPSMT"/>
        </w:rPr>
        <w:t xml:space="preserve"> </w:t>
      </w:r>
    </w:p>
    <w:p w14:paraId="2057B8BE" w14:textId="137167C2" w:rsidR="00492C61" w:rsidRDefault="00492C61" w:rsidP="00492C61">
      <w:pPr>
        <w:pStyle w:val="NormalWeb"/>
        <w:jc w:val="both"/>
        <w:rPr>
          <w:rFonts w:ascii="TimesNewRomanPSMT" w:hAnsi="TimesNewRomanPSMT"/>
        </w:rPr>
      </w:pPr>
      <w:r>
        <w:rPr>
          <w:rFonts w:ascii="TimesNewRomanPSMT" w:hAnsi="TimesNewRomanPSMT"/>
        </w:rPr>
        <w:t xml:space="preserve">Legally, </w:t>
      </w:r>
      <w:r w:rsidR="00C06E4B">
        <w:rPr>
          <w:rFonts w:ascii="TimesNewRomanPSMT" w:hAnsi="TimesNewRomanPSMT"/>
        </w:rPr>
        <w:t xml:space="preserve">and due to their enforcement authority, </w:t>
      </w:r>
      <w:r>
        <w:rPr>
          <w:rFonts w:ascii="TimesNewRomanPSMT" w:hAnsi="TimesNewRomanPSMT"/>
        </w:rPr>
        <w:t>councils are considered an autarky that is part of the public administration and receives extensive privileges (e.g. tax exemption). They are responsible for general oversight and enforcing codes of ethics and conduct. However, they do not receive public funds. Instead, they rely on mandatory fees from license holders. The largest councils, such as the OAB and the council regulating engineers</w:t>
      </w:r>
      <w:r w:rsidR="00C06E4B">
        <w:rPr>
          <w:rFonts w:ascii="TimesNewRomanPSMT" w:hAnsi="TimesNewRomanPSMT"/>
        </w:rPr>
        <w:t xml:space="preserve"> and agronomists (</w:t>
      </w:r>
      <w:proofErr w:type="spellStart"/>
      <w:r w:rsidR="00C06E4B">
        <w:rPr>
          <w:rFonts w:ascii="TimesNewRomanPSMT" w:hAnsi="TimesNewRomanPSMT"/>
        </w:rPr>
        <w:t>CoFEA</w:t>
      </w:r>
      <w:proofErr w:type="spellEnd"/>
      <w:r w:rsidR="00C06E4B">
        <w:rPr>
          <w:rFonts w:ascii="TimesNewRomanPSMT" w:hAnsi="TimesNewRomanPSMT"/>
        </w:rPr>
        <w:t>)</w:t>
      </w:r>
      <w:r>
        <w:rPr>
          <w:rFonts w:ascii="TimesNewRomanPSMT" w:hAnsi="TimesNewRomanPSMT"/>
        </w:rPr>
        <w:t xml:space="preserve"> can each raise as much as 250 million dollars in fees</w:t>
      </w:r>
      <w:r w:rsidR="00A41FF3">
        <w:rPr>
          <w:rFonts w:ascii="TimesNewRomanPSMT" w:hAnsi="TimesNewRomanPSMT"/>
        </w:rPr>
        <w:t xml:space="preserve"> annually</w:t>
      </w:r>
      <w:r>
        <w:rPr>
          <w:rFonts w:ascii="TimesNewRomanPSMT" w:hAnsi="TimesNewRomanPSMT"/>
        </w:rPr>
        <w:t>.</w:t>
      </w:r>
    </w:p>
    <w:p w14:paraId="6F007393" w14:textId="71FCB0A2" w:rsidR="00DD5786" w:rsidRDefault="00492C61" w:rsidP="00492C61">
      <w:pPr>
        <w:pStyle w:val="NormalWeb"/>
        <w:jc w:val="both"/>
        <w:rPr>
          <w:rFonts w:ascii="TimesNewRomanPSMT" w:hAnsi="TimesNewRomanPSMT"/>
        </w:rPr>
      </w:pPr>
      <w:r>
        <w:rPr>
          <w:rFonts w:ascii="TimesNewRomanPSMT" w:hAnsi="TimesNewRomanPSMT"/>
        </w:rPr>
        <w:t xml:space="preserve">Failure to obtain a license </w:t>
      </w:r>
      <w:r w:rsidR="00A41FF3">
        <w:rPr>
          <w:rFonts w:ascii="TimesNewRomanPSMT" w:hAnsi="TimesNewRomanPSMT"/>
        </w:rPr>
        <w:t xml:space="preserve">is considered a misdemeanor and </w:t>
      </w:r>
      <w:r>
        <w:rPr>
          <w:rFonts w:ascii="TimesNewRomanPSMT" w:hAnsi="TimesNewRomanPSMT"/>
        </w:rPr>
        <w:t xml:space="preserve">may lead to civil and criminal prosecution, though enforcement can often be weak. For instance, for occupations like economists, statisticians, or business administrators, licensing becomes </w:t>
      </w:r>
      <w:r w:rsidR="00A41FF3">
        <w:rPr>
          <w:rFonts w:ascii="TimesNewRomanPSMT" w:hAnsi="TimesNewRomanPSMT"/>
        </w:rPr>
        <w:t>crucial</w:t>
      </w:r>
      <w:r>
        <w:rPr>
          <w:rFonts w:ascii="TimesNewRomanPSMT" w:hAnsi="TimesNewRomanPSMT"/>
        </w:rPr>
        <w:t xml:space="preserve"> when these professionals </w:t>
      </w:r>
      <w:r w:rsidR="00A41FF3">
        <w:rPr>
          <w:rFonts w:ascii="TimesNewRomanPSMT" w:hAnsi="TimesNewRomanPSMT"/>
        </w:rPr>
        <w:t xml:space="preserve">are </w:t>
      </w:r>
      <w:r w:rsidR="009276D2">
        <w:rPr>
          <w:rFonts w:ascii="TimesNewRomanPSMT" w:hAnsi="TimesNewRomanPSMT"/>
        </w:rPr>
        <w:t>issu</w:t>
      </w:r>
      <w:r w:rsidR="00A41FF3">
        <w:rPr>
          <w:rFonts w:ascii="TimesNewRomanPSMT" w:hAnsi="TimesNewRomanPSMT"/>
        </w:rPr>
        <w:t>ing</w:t>
      </w:r>
      <w:r>
        <w:rPr>
          <w:rFonts w:ascii="TimesNewRomanPSMT" w:hAnsi="TimesNewRomanPSMT"/>
        </w:rPr>
        <w:t xml:space="preserve"> technical reports, dossiers, appraisals, or other documents intended to have external legal validity. Alternatively, an economist who works doing market research only intended for a private company’s internal use will very seldomly suffer any consequences, even though she is technically required to be licensed. In contrast, job posts in public administration will not hire unless the candidate is licensed by their occupation’s council.</w:t>
      </w:r>
    </w:p>
    <w:p w14:paraId="0C2E94E5" w14:textId="7006D977" w:rsidR="000B29A4" w:rsidRDefault="000B29A4" w:rsidP="00492C61">
      <w:pPr>
        <w:pStyle w:val="NormalWeb"/>
        <w:jc w:val="both"/>
        <w:rPr>
          <w:rFonts w:ascii="TimesNewRomanPSMT" w:hAnsi="TimesNewRomanPSMT"/>
          <w:b/>
          <w:bCs/>
        </w:rPr>
      </w:pPr>
      <w:r w:rsidRPr="000B29A4">
        <w:rPr>
          <w:rFonts w:ascii="TimesNewRomanPSMT" w:hAnsi="TimesNewRomanPSMT"/>
          <w:b/>
          <w:bCs/>
        </w:rPr>
        <w:t>4.</w:t>
      </w:r>
      <w:r>
        <w:rPr>
          <w:rFonts w:ascii="TimesNewRomanPSMT" w:hAnsi="TimesNewRomanPSMT"/>
          <w:b/>
          <w:bCs/>
        </w:rPr>
        <w:t>2 The Dynamics of Licensing</w:t>
      </w:r>
    </w:p>
    <w:p w14:paraId="1420D06B" w14:textId="3EC76354" w:rsidR="000B29A4" w:rsidRDefault="000B29A4" w:rsidP="000B29A4">
      <w:pPr>
        <w:pStyle w:val="NormalWeb"/>
        <w:jc w:val="both"/>
        <w:rPr>
          <w:rFonts w:ascii="TimesNewRomanPSMT" w:hAnsi="TimesNewRomanPSMT"/>
        </w:rPr>
      </w:pPr>
      <w:r>
        <w:rPr>
          <w:rFonts w:ascii="TimesNewRomanPSMT" w:hAnsi="TimesNewRomanPSMT"/>
        </w:rPr>
        <w:t xml:space="preserve">As mentioned earlier, there is no systematic data on licensing. Fortunately, </w:t>
      </w:r>
      <w:r w:rsidR="004F49DD">
        <w:rPr>
          <w:rFonts w:ascii="TimesNewRomanPSMT" w:hAnsi="TimesNewRomanPSMT"/>
        </w:rPr>
        <w:t xml:space="preserve">there is available </w:t>
      </w:r>
      <w:r>
        <w:rPr>
          <w:rFonts w:ascii="TimesNewRomanPSMT" w:hAnsi="TimesNewRomanPSMT"/>
        </w:rPr>
        <w:t xml:space="preserve">data on the 15 occupations are licensed directly by the Ministry of Labor and Employment. Between 2015 and 2023, 408,322 registrations were issued. Labor safety technicians are by far the most common license issued, followed by artists, journalists, and radio broadcasters. Together, these amount to 85 to 89% of all licenses of this type. </w:t>
      </w:r>
    </w:p>
    <w:p w14:paraId="49E84561" w14:textId="611E3A88" w:rsidR="000B29A4" w:rsidRPr="006C5474" w:rsidRDefault="000B29A4" w:rsidP="000B29A4">
      <w:pPr>
        <w:pStyle w:val="NormalWeb"/>
        <w:keepNext/>
        <w:jc w:val="both"/>
        <w:rPr>
          <w:b/>
          <w:bCs/>
        </w:rPr>
      </w:pPr>
      <w:r>
        <w:rPr>
          <w:b/>
          <w:bCs/>
        </w:rPr>
        <w:lastRenderedPageBreak/>
        <w:t xml:space="preserve">Figure </w:t>
      </w:r>
      <w:r w:rsidR="009317AE">
        <w:rPr>
          <w:b/>
          <w:bCs/>
        </w:rPr>
        <w:t>3</w:t>
      </w:r>
      <w:r>
        <w:rPr>
          <w:b/>
          <w:bCs/>
        </w:rPr>
        <w:t>: Professional Registrations Issued, Ministry of Labor and Employment</w:t>
      </w:r>
    </w:p>
    <w:p w14:paraId="6EBA7007" w14:textId="77777777" w:rsidR="000B29A4" w:rsidRDefault="000B29A4" w:rsidP="000B29A4">
      <w:pPr>
        <w:pStyle w:val="NormalWeb"/>
        <w:keepNext/>
        <w:spacing w:before="0" w:beforeAutospacing="0" w:after="0" w:afterAutospacing="0"/>
        <w:jc w:val="both"/>
      </w:pPr>
      <w:r>
        <w:rPr>
          <w:noProof/>
        </w:rPr>
        <w:drawing>
          <wp:inline distT="0" distB="0" distL="0" distR="0" wp14:anchorId="14E4350C" wp14:editId="402D444D">
            <wp:extent cx="5868035" cy="2636668"/>
            <wp:effectExtent l="0" t="0" r="12065" b="17780"/>
            <wp:docPr id="796904378" name="Chart 1">
              <a:extLst xmlns:a="http://schemas.openxmlformats.org/drawingml/2006/main">
                <a:ext uri="{FF2B5EF4-FFF2-40B4-BE49-F238E27FC236}">
                  <a16:creationId xmlns:a16="http://schemas.microsoft.com/office/drawing/2014/main" id="{7BB548E8-5EF1-FC25-2DEB-408C9A62B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68BBED" w14:textId="77777777" w:rsidR="000B29A4" w:rsidRDefault="000B29A4" w:rsidP="000B29A4">
      <w:pPr>
        <w:pStyle w:val="NormalWeb"/>
        <w:keepNext/>
        <w:spacing w:before="0" w:beforeAutospacing="0"/>
        <w:jc w:val="both"/>
        <w:rPr>
          <w:i/>
          <w:iCs/>
          <w:sz w:val="21"/>
          <w:szCs w:val="21"/>
        </w:rPr>
      </w:pPr>
      <w:r w:rsidRPr="006C5474">
        <w:rPr>
          <w:b/>
          <w:bCs/>
          <w:i/>
          <w:iCs/>
          <w:sz w:val="20"/>
          <w:szCs w:val="20"/>
        </w:rPr>
        <w:t>Note:</w:t>
      </w:r>
      <w:r w:rsidRPr="006C5474">
        <w:rPr>
          <w:i/>
          <w:iCs/>
          <w:sz w:val="20"/>
          <w:szCs w:val="20"/>
        </w:rPr>
        <w:t xml:space="preserve"> “Other” include advertising agent, actuary, archivist, vehicle attendant and washer, advertiser, secretary, sociologist, entertainment technician, occupational safety technician, archival technician, and secretarial technician</w:t>
      </w:r>
      <w:r>
        <w:rPr>
          <w:i/>
          <w:iCs/>
          <w:sz w:val="21"/>
          <w:szCs w:val="21"/>
        </w:rPr>
        <w:t>.</w:t>
      </w:r>
    </w:p>
    <w:p w14:paraId="0BA367C5" w14:textId="0CE2FC7B" w:rsidR="001678F6" w:rsidRDefault="000B29A4" w:rsidP="00492C61">
      <w:pPr>
        <w:pStyle w:val="NormalWeb"/>
        <w:jc w:val="both"/>
        <w:rPr>
          <w:rFonts w:ascii="TimesNewRomanPSMT" w:hAnsi="TimesNewRomanPSMT"/>
        </w:rPr>
      </w:pPr>
      <w:r>
        <w:rPr>
          <w:rFonts w:ascii="TimesNewRomanPSMT" w:hAnsi="TimesNewRomanPSMT"/>
        </w:rPr>
        <w:t xml:space="preserve">Thus, as described in Section 3, </w:t>
      </w:r>
      <w:r w:rsidR="004F49DD">
        <w:rPr>
          <w:rFonts w:ascii="TimesNewRomanPSMT" w:hAnsi="TimesNewRomanPSMT"/>
        </w:rPr>
        <w:t>I</w:t>
      </w:r>
      <w:r>
        <w:rPr>
          <w:rFonts w:ascii="TimesNewRomanPSMT" w:hAnsi="TimesNewRomanPSMT"/>
        </w:rPr>
        <w:t xml:space="preserve"> rely on the data from </w:t>
      </w:r>
      <w:r w:rsidR="004F49DD">
        <w:rPr>
          <w:rFonts w:ascii="TimesNewRomanPSMT" w:hAnsi="TimesNewRomanPSMT"/>
        </w:rPr>
        <w:t>the Continuous National Household Sample Survey (</w:t>
      </w:r>
      <w:proofErr w:type="spellStart"/>
      <w:r w:rsidR="004F49DD">
        <w:rPr>
          <w:rFonts w:ascii="TimesNewRomanPSMT" w:hAnsi="TimesNewRomanPSMT"/>
          <w:i/>
          <w:iCs/>
        </w:rPr>
        <w:t>Pesquisa</w:t>
      </w:r>
      <w:proofErr w:type="spellEnd"/>
      <w:r w:rsidR="004F49DD">
        <w:rPr>
          <w:rFonts w:ascii="TimesNewRomanPSMT" w:hAnsi="TimesNewRomanPSMT"/>
          <w:i/>
          <w:iCs/>
        </w:rPr>
        <w:t xml:space="preserve"> Nacional </w:t>
      </w:r>
      <w:proofErr w:type="spellStart"/>
      <w:r w:rsidR="004F49DD">
        <w:rPr>
          <w:rFonts w:ascii="TimesNewRomanPSMT" w:hAnsi="TimesNewRomanPSMT"/>
          <w:i/>
          <w:iCs/>
        </w:rPr>
        <w:t>por</w:t>
      </w:r>
      <w:proofErr w:type="spellEnd"/>
      <w:r w:rsidR="004F49DD">
        <w:rPr>
          <w:rFonts w:ascii="TimesNewRomanPSMT" w:hAnsi="TimesNewRomanPSMT"/>
          <w:i/>
          <w:iCs/>
        </w:rPr>
        <w:t xml:space="preserve"> </w:t>
      </w:r>
      <w:proofErr w:type="spellStart"/>
      <w:r w:rsidR="004F49DD">
        <w:rPr>
          <w:rFonts w:ascii="TimesNewRomanPSMT" w:hAnsi="TimesNewRomanPSMT"/>
          <w:i/>
          <w:iCs/>
        </w:rPr>
        <w:t>Amostra</w:t>
      </w:r>
      <w:proofErr w:type="spellEnd"/>
      <w:r w:rsidR="004F49DD">
        <w:rPr>
          <w:rFonts w:ascii="TimesNewRomanPSMT" w:hAnsi="TimesNewRomanPSMT"/>
          <w:i/>
          <w:iCs/>
        </w:rPr>
        <w:t xml:space="preserve"> de </w:t>
      </w:r>
      <w:proofErr w:type="spellStart"/>
      <w:r w:rsidR="004F49DD">
        <w:rPr>
          <w:rFonts w:ascii="TimesNewRomanPSMT" w:hAnsi="TimesNewRomanPSMT"/>
          <w:i/>
          <w:iCs/>
        </w:rPr>
        <w:t>Domicílios</w:t>
      </w:r>
      <w:proofErr w:type="spellEnd"/>
      <w:r w:rsidR="004F49DD">
        <w:rPr>
          <w:rFonts w:ascii="TimesNewRomanPSMT" w:hAnsi="TimesNewRomanPSMT"/>
          <w:i/>
          <w:iCs/>
        </w:rPr>
        <w:t>, PNAD-</w:t>
      </w:r>
      <w:proofErr w:type="spellStart"/>
      <w:r w:rsidR="004F49DD">
        <w:rPr>
          <w:rFonts w:ascii="TimesNewRomanPSMT" w:hAnsi="TimesNewRomanPSMT"/>
          <w:i/>
          <w:iCs/>
        </w:rPr>
        <w:t>Contínua</w:t>
      </w:r>
      <w:proofErr w:type="spellEnd"/>
      <w:r w:rsidR="004F49DD">
        <w:rPr>
          <w:rFonts w:ascii="TimesNewRomanPSMT" w:hAnsi="TimesNewRomanPSMT"/>
        </w:rPr>
        <w:t xml:space="preserve">) </w:t>
      </w:r>
      <w:r>
        <w:rPr>
          <w:rFonts w:ascii="TimesNewRomanPSMT" w:hAnsi="TimesNewRomanPSMT"/>
        </w:rPr>
        <w:t xml:space="preserve">to estimate the share of the population that needs a license to work. </w:t>
      </w:r>
      <w:r w:rsidR="004F49DD">
        <w:rPr>
          <w:rFonts w:ascii="TimesNewRomanPSMT" w:hAnsi="TimesNewRomanPSMT"/>
        </w:rPr>
        <w:t>I</w:t>
      </w:r>
      <w:r>
        <w:rPr>
          <w:rFonts w:ascii="TimesNewRomanPSMT" w:hAnsi="TimesNewRomanPSMT"/>
        </w:rPr>
        <w:t xml:space="preserve"> do so by matching each regulated occupation to an occupational code from the </w:t>
      </w:r>
      <w:r w:rsidRPr="004F49DD">
        <w:rPr>
          <w:rFonts w:ascii="TimesNewRomanPSMT" w:hAnsi="TimesNewRomanPSMT"/>
          <w:i/>
          <w:iCs/>
        </w:rPr>
        <w:t>CBO</w:t>
      </w:r>
      <w:r w:rsidR="004F49DD" w:rsidRPr="004F49DD">
        <w:rPr>
          <w:rFonts w:ascii="TimesNewRomanPSMT" w:hAnsi="TimesNewRomanPSMT"/>
          <w:i/>
          <w:iCs/>
        </w:rPr>
        <w:t>-</w:t>
      </w:r>
      <w:proofErr w:type="spellStart"/>
      <w:r w:rsidR="004F49DD" w:rsidRPr="004F49DD">
        <w:rPr>
          <w:rFonts w:ascii="TimesNewRomanPSMT" w:hAnsi="TimesNewRomanPSMT"/>
          <w:i/>
          <w:iCs/>
        </w:rPr>
        <w:t>Domicil</w:t>
      </w:r>
      <w:r w:rsidR="004F49DD">
        <w:rPr>
          <w:rFonts w:ascii="TimesNewRomanPSMT" w:hAnsi="TimesNewRomanPSMT"/>
          <w:i/>
          <w:iCs/>
        </w:rPr>
        <w:t>i</w:t>
      </w:r>
      <w:r w:rsidR="004F49DD" w:rsidRPr="004F49DD">
        <w:rPr>
          <w:rFonts w:ascii="TimesNewRomanPSMT" w:hAnsi="TimesNewRomanPSMT"/>
          <w:i/>
          <w:iCs/>
        </w:rPr>
        <w:t>ar</w:t>
      </w:r>
      <w:proofErr w:type="spellEnd"/>
      <w:r>
        <w:rPr>
          <w:rFonts w:ascii="TimesNewRomanPSMT" w:hAnsi="TimesNewRomanPSMT"/>
        </w:rPr>
        <w:t xml:space="preserve">. </w:t>
      </w:r>
      <w:r w:rsidR="004F49DD">
        <w:rPr>
          <w:rFonts w:ascii="TimesNewRomanPSMT" w:hAnsi="TimesNewRomanPSMT"/>
        </w:rPr>
        <w:t xml:space="preserve">The </w:t>
      </w:r>
      <w:r w:rsidR="00570A40">
        <w:rPr>
          <w:rFonts w:ascii="TimesNewRomanPSMT" w:hAnsi="TimesNewRomanPSMT"/>
        </w:rPr>
        <w:t xml:space="preserve">first set of results report the share of the labor force that works in one of the 84 regulated occupations – </w:t>
      </w:r>
      <w:r w:rsidR="00570A40" w:rsidRPr="00A733EF">
        <w:rPr>
          <w:rFonts w:ascii="TimesNewRomanPSMT" w:hAnsi="TimesNewRomanPSMT"/>
        </w:rPr>
        <w:t>see Figure</w:t>
      </w:r>
      <w:r w:rsidR="00570A40" w:rsidRPr="00570A40">
        <w:rPr>
          <w:rFonts w:ascii="TimesNewRomanPSMT" w:hAnsi="TimesNewRomanPSMT"/>
          <w:b/>
          <w:bCs/>
        </w:rPr>
        <w:t xml:space="preserve"> </w:t>
      </w:r>
      <w:r w:rsidR="009317AE" w:rsidRPr="00A733EF">
        <w:rPr>
          <w:rFonts w:ascii="TimesNewRomanPSMT" w:hAnsi="TimesNewRomanPSMT"/>
        </w:rPr>
        <w:t>4</w:t>
      </w:r>
      <w:r w:rsidR="00570A40">
        <w:rPr>
          <w:rFonts w:ascii="TimesNewRomanPSMT" w:hAnsi="TimesNewRomanPSMT"/>
        </w:rPr>
        <w:t xml:space="preserve">. </w:t>
      </w:r>
    </w:p>
    <w:p w14:paraId="4F441354" w14:textId="1CC03501" w:rsidR="004F49DD" w:rsidRPr="00570A40" w:rsidRDefault="004F49DD" w:rsidP="004F49DD">
      <w:pPr>
        <w:pStyle w:val="NormalWeb"/>
        <w:keepNext/>
        <w:jc w:val="both"/>
        <w:rPr>
          <w:b/>
          <w:bCs/>
        </w:rPr>
      </w:pPr>
      <w:r>
        <w:rPr>
          <w:b/>
          <w:bCs/>
        </w:rPr>
        <w:t xml:space="preserve">Figure </w:t>
      </w:r>
      <w:r w:rsidR="009317AE">
        <w:rPr>
          <w:b/>
          <w:bCs/>
        </w:rPr>
        <w:t>4</w:t>
      </w:r>
      <w:r>
        <w:rPr>
          <w:b/>
          <w:bCs/>
        </w:rPr>
        <w:t>: Share of the Workforce in Regulated or Licensed Occupations</w:t>
      </w:r>
    </w:p>
    <w:p w14:paraId="77197F73" w14:textId="7C25A708" w:rsidR="004F49DD" w:rsidRDefault="004F49DD" w:rsidP="00492C61">
      <w:pPr>
        <w:pStyle w:val="NormalWeb"/>
        <w:jc w:val="both"/>
        <w:rPr>
          <w:rFonts w:ascii="TimesNewRomanPSMT" w:hAnsi="TimesNewRomanPSMT"/>
        </w:rPr>
      </w:pPr>
      <w:r>
        <w:rPr>
          <w:noProof/>
        </w:rPr>
        <w:drawing>
          <wp:inline distT="0" distB="0" distL="0" distR="0" wp14:anchorId="655B10C3" wp14:editId="2D813596">
            <wp:extent cx="5894773" cy="3204839"/>
            <wp:effectExtent l="0" t="0" r="10795" b="8890"/>
            <wp:docPr id="1732192545" name="Chart 1">
              <a:extLst xmlns:a="http://schemas.openxmlformats.org/drawingml/2006/main">
                <a:ext uri="{FF2B5EF4-FFF2-40B4-BE49-F238E27FC236}">
                  <a16:creationId xmlns:a16="http://schemas.microsoft.com/office/drawing/2014/main" id="{32957B63-8D81-527B-0D19-39DD0B2C6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483746" w14:textId="0917B079" w:rsidR="001678F6" w:rsidRDefault="004F49DD" w:rsidP="00492C61">
      <w:pPr>
        <w:pStyle w:val="NormalWeb"/>
        <w:jc w:val="both"/>
        <w:rPr>
          <w:rFonts w:ascii="TimesNewRomanPSMT" w:hAnsi="TimesNewRomanPSMT"/>
        </w:rPr>
      </w:pPr>
      <w:r>
        <w:rPr>
          <w:rFonts w:ascii="TimesNewRomanPSMT" w:hAnsi="TimesNewRomanPSMT"/>
        </w:rPr>
        <w:lastRenderedPageBreak/>
        <w:t>My</w:t>
      </w:r>
      <w:r w:rsidR="00570A40">
        <w:rPr>
          <w:rFonts w:ascii="TimesNewRomanPSMT" w:hAnsi="TimesNewRomanPSMT"/>
        </w:rPr>
        <w:t xml:space="preserve"> estimates indicate that</w:t>
      </w:r>
      <w:r>
        <w:rPr>
          <w:rFonts w:ascii="TimesNewRomanPSMT" w:hAnsi="TimesNewRomanPSMT"/>
        </w:rPr>
        <w:t>,</w:t>
      </w:r>
      <w:r w:rsidR="00570A40">
        <w:rPr>
          <w:rFonts w:ascii="TimesNewRomanPSMT" w:hAnsi="TimesNewRomanPSMT"/>
        </w:rPr>
        <w:t xml:space="preserve"> </w:t>
      </w:r>
      <w:r w:rsidR="00200DCB">
        <w:rPr>
          <w:rFonts w:ascii="TimesNewRomanPSMT" w:hAnsi="TimesNewRomanPSMT"/>
        </w:rPr>
        <w:t>in 2012, 1</w:t>
      </w:r>
      <w:r w:rsidR="007E3E67">
        <w:rPr>
          <w:rFonts w:ascii="TimesNewRomanPSMT" w:hAnsi="TimesNewRomanPSMT"/>
        </w:rPr>
        <w:t>0</w:t>
      </w:r>
      <w:r w:rsidR="00200DCB">
        <w:rPr>
          <w:rFonts w:ascii="TimesNewRomanPSMT" w:hAnsi="TimesNewRomanPSMT"/>
        </w:rPr>
        <w:t>.</w:t>
      </w:r>
      <w:r w:rsidR="007E3E67">
        <w:rPr>
          <w:rFonts w:ascii="TimesNewRomanPSMT" w:hAnsi="TimesNewRomanPSMT"/>
        </w:rPr>
        <w:t>5</w:t>
      </w:r>
      <w:r w:rsidR="00200DCB">
        <w:rPr>
          <w:rFonts w:ascii="TimesNewRomanPSMT" w:hAnsi="TimesNewRomanPSMT"/>
        </w:rPr>
        <w:t xml:space="preserve">% of the workforce was in a regulated occupation. </w:t>
      </w:r>
      <w:r w:rsidR="00B961D4">
        <w:rPr>
          <w:rFonts w:ascii="TimesNewRomanPSMT" w:hAnsi="TimesNewRomanPSMT"/>
        </w:rPr>
        <w:t xml:space="preserve">This number has increased </w:t>
      </w:r>
      <w:r w:rsidR="007E3E67">
        <w:rPr>
          <w:rFonts w:ascii="TimesNewRomanPSMT" w:hAnsi="TimesNewRomanPSMT"/>
        </w:rPr>
        <w:t xml:space="preserve">substantially </w:t>
      </w:r>
      <w:r w:rsidR="00B961D4">
        <w:rPr>
          <w:rFonts w:ascii="TimesNewRomanPSMT" w:hAnsi="TimesNewRomanPSMT"/>
        </w:rPr>
        <w:t>over the past decade, and finally reached 2</w:t>
      </w:r>
      <w:r w:rsidR="007E3E67">
        <w:rPr>
          <w:rFonts w:ascii="TimesNewRomanPSMT" w:hAnsi="TimesNewRomanPSMT"/>
        </w:rPr>
        <w:t>3</w:t>
      </w:r>
      <w:r w:rsidR="00B961D4">
        <w:rPr>
          <w:rFonts w:ascii="TimesNewRomanPSMT" w:hAnsi="TimesNewRomanPSMT"/>
        </w:rPr>
        <w:t xml:space="preserve">% of the workforce in 2024. </w:t>
      </w:r>
      <w:r w:rsidR="007E3E67">
        <w:rPr>
          <w:rFonts w:ascii="TimesNewRomanPSMT" w:hAnsi="TimesNewRomanPSMT"/>
        </w:rPr>
        <w:t>Most</w:t>
      </w:r>
      <w:r w:rsidR="00B961D4">
        <w:rPr>
          <w:rFonts w:ascii="TimesNewRomanPSMT" w:hAnsi="TimesNewRomanPSMT"/>
        </w:rPr>
        <w:t xml:space="preserve"> workers in regulated occupations, or 10.25% or the labor force in 2012, required a license to work. This percentage has also increased</w:t>
      </w:r>
      <w:r w:rsidR="00EF70EF">
        <w:rPr>
          <w:rFonts w:ascii="TimesNewRomanPSMT" w:hAnsi="TimesNewRomanPSMT"/>
        </w:rPr>
        <w:t>,</w:t>
      </w:r>
      <w:r w:rsidR="00B961D4">
        <w:rPr>
          <w:rFonts w:ascii="TimesNewRomanPSMT" w:hAnsi="TimesNewRomanPSMT"/>
        </w:rPr>
        <w:t xml:space="preserve"> steadily</w:t>
      </w:r>
      <w:r w:rsidR="00EF70EF">
        <w:rPr>
          <w:rFonts w:ascii="TimesNewRomanPSMT" w:hAnsi="TimesNewRomanPSMT"/>
        </w:rPr>
        <w:t xml:space="preserve"> in this case</w:t>
      </w:r>
      <w:r w:rsidR="00B961D4">
        <w:rPr>
          <w:rFonts w:ascii="TimesNewRomanPSMT" w:hAnsi="TimesNewRomanPSMT"/>
        </w:rPr>
        <w:t xml:space="preserve">, and </w:t>
      </w:r>
      <w:r w:rsidR="00EF70EF">
        <w:rPr>
          <w:rFonts w:ascii="TimesNewRomanPSMT" w:hAnsi="TimesNewRomanPSMT"/>
        </w:rPr>
        <w:t>by 2024, some</w:t>
      </w:r>
      <w:r w:rsidR="00B961D4">
        <w:rPr>
          <w:rFonts w:ascii="TimesNewRomanPSMT" w:hAnsi="TimesNewRomanPSMT"/>
        </w:rPr>
        <w:t xml:space="preserve"> 13.38% of the workers require a license to work.</w:t>
      </w:r>
      <w:r w:rsidR="001678F6">
        <w:rPr>
          <w:rFonts w:ascii="TimesNewRomanPSMT" w:hAnsi="TimesNewRomanPSMT"/>
        </w:rPr>
        <w:t xml:space="preserve"> </w:t>
      </w:r>
    </w:p>
    <w:p w14:paraId="08FC6108" w14:textId="77777777" w:rsidR="00EF70EF" w:rsidRDefault="00EF70EF" w:rsidP="00EF70EF">
      <w:pPr>
        <w:pStyle w:val="NormalWeb"/>
        <w:jc w:val="both"/>
        <w:rPr>
          <w:rFonts w:ascii="TimesNewRomanPSMT" w:hAnsi="TimesNewRomanPSMT"/>
        </w:rPr>
      </w:pPr>
      <w:r>
        <w:rPr>
          <w:rFonts w:ascii="TimesNewRomanPSMT" w:hAnsi="TimesNewRomanPSMT"/>
        </w:rPr>
        <w:t xml:space="preserve">The noticeable jumps deserve attention. The first, in 2013, is due to the regulation of </w:t>
      </w:r>
      <w:proofErr w:type="spellStart"/>
      <w:r>
        <w:rPr>
          <w:rFonts w:ascii="TimesNewRomanPSMT" w:hAnsi="TimesNewRomanPSMT"/>
          <w:i/>
          <w:iCs/>
        </w:rPr>
        <w:t>comerciários</w:t>
      </w:r>
      <w:proofErr w:type="spellEnd"/>
      <w:r>
        <w:rPr>
          <w:rFonts w:ascii="TimesNewRomanPSMT" w:hAnsi="TimesNewRomanPSMT"/>
        </w:rPr>
        <w:t>, an industry whose unions have been historically well organized</w:t>
      </w:r>
      <w:r>
        <w:rPr>
          <w:rFonts w:ascii="TimesNewRomanPSMT" w:hAnsi="TimesNewRomanPSMT"/>
          <w:i/>
          <w:iCs/>
        </w:rPr>
        <w:t xml:space="preserve">. </w:t>
      </w:r>
      <w:r w:rsidRPr="007E3E67">
        <w:rPr>
          <w:rFonts w:ascii="TimesNewRomanPSMT" w:hAnsi="TimesNewRomanPSMT"/>
        </w:rPr>
        <w:t>In Brazil, th</w:t>
      </w:r>
      <w:r>
        <w:rPr>
          <w:rFonts w:ascii="TimesNewRomanPSMT" w:hAnsi="TimesNewRomanPSMT"/>
        </w:rPr>
        <w:t>is</w:t>
      </w:r>
      <w:r w:rsidRPr="007E3E67">
        <w:rPr>
          <w:rFonts w:ascii="TimesNewRomanPSMT" w:hAnsi="TimesNewRomanPSMT"/>
        </w:rPr>
        <w:t xml:space="preserve"> term typically refers to employees working in the retail or commercial sectors</w:t>
      </w:r>
      <w:r>
        <w:rPr>
          <w:rFonts w:ascii="TimesNewRomanPSMT" w:hAnsi="TimesNewRomanPSMT"/>
        </w:rPr>
        <w:t>, such as sales or store clerks, shop assistants, and retail or commercial employees in general.</w:t>
      </w:r>
      <w:r>
        <w:rPr>
          <w:rStyle w:val="FootnoteReference"/>
          <w:rFonts w:ascii="TimesNewRomanPSMT" w:hAnsi="TimesNewRomanPSMT"/>
        </w:rPr>
        <w:footnoteReference w:id="28"/>
      </w:r>
      <w:r>
        <w:rPr>
          <w:rFonts w:ascii="TimesNewRomanPSMT" w:hAnsi="TimesNewRomanPSMT"/>
        </w:rPr>
        <w:t xml:space="preserve"> There are two other noticeable kinks occurring in 2018 and 2020. In 2018, physicists and estheticians became regulated occupations, but only the latter occupations represented a significant change. Importantly, physicists are the only new licensed occupation since 2012. Estheticians must have a degree in the field (either bachelor’s or technician), but no </w:t>
      </w:r>
      <w:proofErr w:type="gramStart"/>
      <w:r>
        <w:rPr>
          <w:rFonts w:ascii="TimesNewRomanPSMT" w:hAnsi="TimesNewRomanPSMT"/>
          <w:i/>
          <w:iCs/>
        </w:rPr>
        <w:t>ex ante</w:t>
      </w:r>
      <w:proofErr w:type="gramEnd"/>
      <w:r>
        <w:rPr>
          <w:rFonts w:ascii="TimesNewRomanPSMT" w:hAnsi="TimesNewRomanPSMT"/>
          <w:i/>
          <w:iCs/>
        </w:rPr>
        <w:t xml:space="preserve"> </w:t>
      </w:r>
      <w:r>
        <w:rPr>
          <w:rFonts w:ascii="TimesNewRomanPSMT" w:hAnsi="TimesNewRomanPSMT"/>
        </w:rPr>
        <w:t xml:space="preserve">licensing is required. The final jump in licensed occupations in the second quarter of 2020 is very likely caused by the COVID-19 pandemic. Since we are measuring percentages of the total labor force, health and primary care occupations started representing a larger share as workers in unlicensed occupations lost their jobs. </w:t>
      </w:r>
    </w:p>
    <w:p w14:paraId="536F4BCD" w14:textId="7836137A" w:rsidR="00570A40" w:rsidRPr="00460C4F" w:rsidRDefault="00EF70EF" w:rsidP="00492C61">
      <w:pPr>
        <w:pStyle w:val="NormalWeb"/>
        <w:jc w:val="both"/>
      </w:pPr>
      <w:r>
        <w:t xml:space="preserve">While the major increases are due to regulatory changes, there was also </w:t>
      </w:r>
      <w:r w:rsidR="00460C4F">
        <w:t xml:space="preserve">a </w:t>
      </w:r>
      <w:r>
        <w:t xml:space="preserve">small but steady increase in the share of </w:t>
      </w:r>
      <w:r w:rsidR="00460C4F">
        <w:t xml:space="preserve">the </w:t>
      </w:r>
      <w:r>
        <w:t xml:space="preserve">labor force in regulated or licensed occupations. </w:t>
      </w:r>
      <w:r w:rsidR="00460C4F">
        <w:t xml:space="preserve">Even when </w:t>
      </w:r>
      <w:r w:rsidR="004F49DD">
        <w:t>I</w:t>
      </w:r>
      <w:r w:rsidR="00460C4F">
        <w:t xml:space="preserve"> take them into account, the share of workers in regulated occupations increased by roughly 0.4% a year, and 0.25% a year for licensed occupations. An important part of this trend can be explained by the growth in college education, from 10.1 to 17.3% of the population over the same period (0.6 p.p./year). Since the most important part of licensing requirements involve</w:t>
      </w:r>
      <w:r w:rsidR="007B7EA8">
        <w:t>s</w:t>
      </w:r>
      <w:r w:rsidR="00460C4F">
        <w:t xml:space="preserve"> </w:t>
      </w:r>
      <w:r w:rsidR="007B7EA8">
        <w:t>a degree in field, it is expected that more workers will need a license if they want to work in an area related to their field.</w:t>
      </w:r>
    </w:p>
    <w:p w14:paraId="1231D712" w14:textId="5F632BE6" w:rsidR="00B66B3D" w:rsidRPr="00B66B3D" w:rsidRDefault="001678F6" w:rsidP="00492C61">
      <w:pPr>
        <w:pStyle w:val="NormalWeb"/>
        <w:jc w:val="both"/>
        <w:rPr>
          <w:rFonts w:ascii="TimesNewRomanPSMT" w:hAnsi="TimesNewRomanPSMT"/>
          <w:b/>
          <w:bCs/>
        </w:rPr>
      </w:pPr>
      <w:r>
        <w:rPr>
          <w:rFonts w:ascii="TimesNewRomanPSMT" w:hAnsi="TimesNewRomanPSMT"/>
        </w:rPr>
        <w:t xml:space="preserve">In turn, </w:t>
      </w:r>
      <w:r w:rsidRPr="009317AE">
        <w:rPr>
          <w:rFonts w:ascii="TimesNewRomanPSMT" w:hAnsi="TimesNewRomanPSMT"/>
        </w:rPr>
        <w:t xml:space="preserve">Figure </w:t>
      </w:r>
      <w:r w:rsidR="009317AE" w:rsidRPr="009317AE">
        <w:rPr>
          <w:rFonts w:ascii="TimesNewRomanPSMT" w:hAnsi="TimesNewRomanPSMT"/>
        </w:rPr>
        <w:t>5</w:t>
      </w:r>
      <w:r>
        <w:rPr>
          <w:rFonts w:ascii="TimesNewRomanPSMT" w:hAnsi="TimesNewRomanPSMT"/>
          <w:b/>
          <w:bCs/>
        </w:rPr>
        <w:t xml:space="preserve"> </w:t>
      </w:r>
      <w:r>
        <w:rPr>
          <w:rFonts w:ascii="TimesNewRomanPSMT" w:hAnsi="TimesNewRomanPSMT"/>
        </w:rPr>
        <w:t xml:space="preserve">plots the real wage trends for regulated, licensed, and unlicensed workers from 2012 to 2024. </w:t>
      </w:r>
      <w:r w:rsidR="00B66B3D">
        <w:rPr>
          <w:rFonts w:ascii="TimesNewRomanPSMT" w:hAnsi="TimesNewRomanPSMT"/>
        </w:rPr>
        <w:t>Licensed and unlicensed workers alike have seen stagnant real wages during the previous decade</w:t>
      </w:r>
      <w:r w:rsidR="00AD32A7">
        <w:rPr>
          <w:rFonts w:ascii="TimesNewRomanPSMT" w:hAnsi="TimesNewRomanPSMT"/>
        </w:rPr>
        <w:t>. Among licensed workers</w:t>
      </w:r>
      <w:r w:rsidR="007F2D12">
        <w:rPr>
          <w:rFonts w:ascii="TimesNewRomanPSMT" w:hAnsi="TimesNewRomanPSMT"/>
        </w:rPr>
        <w:t xml:space="preserve"> (blue)</w:t>
      </w:r>
      <w:r w:rsidR="00AD32A7">
        <w:rPr>
          <w:rFonts w:ascii="TimesNewRomanPSMT" w:hAnsi="TimesNewRomanPSMT"/>
        </w:rPr>
        <w:t>, average real wages have fluctuated between R$ 4,800 and R$ 5,600. For unlicensed workers</w:t>
      </w:r>
      <w:r w:rsidR="007F2D12">
        <w:rPr>
          <w:rFonts w:ascii="TimesNewRomanPSMT" w:hAnsi="TimesNewRomanPSMT"/>
        </w:rPr>
        <w:t xml:space="preserve"> (orange)</w:t>
      </w:r>
      <w:r w:rsidR="00AD32A7">
        <w:rPr>
          <w:rFonts w:ascii="TimesNewRomanPSMT" w:hAnsi="TimesNewRomanPSMT"/>
        </w:rPr>
        <w:t xml:space="preserve">, </w:t>
      </w:r>
      <w:r w:rsidR="007F2D12">
        <w:rPr>
          <w:rFonts w:ascii="TimesNewRomanPSMT" w:hAnsi="TimesNewRomanPSMT"/>
        </w:rPr>
        <w:t xml:space="preserve">real </w:t>
      </w:r>
      <w:r w:rsidR="00AD32A7">
        <w:rPr>
          <w:rFonts w:ascii="TimesNewRomanPSMT" w:hAnsi="TimesNewRomanPSMT"/>
        </w:rPr>
        <w:t xml:space="preserve">wages fluctuated between </w:t>
      </w:r>
      <w:r w:rsidR="007F2D12">
        <w:rPr>
          <w:rFonts w:ascii="TimesNewRomanPSMT" w:hAnsi="TimesNewRomanPSMT"/>
        </w:rPr>
        <w:t>R$ 2,600 and R$3,000. Median wages (darker tones) are around 50 to 60% of average wages for both, which implies that the gap between average and median is larger (in money value) for licensed workers.</w:t>
      </w:r>
    </w:p>
    <w:p w14:paraId="28CAD98A" w14:textId="77777777" w:rsidR="00A733EF" w:rsidRDefault="00A733EF" w:rsidP="00492C61">
      <w:pPr>
        <w:pStyle w:val="NormalWeb"/>
        <w:jc w:val="both"/>
        <w:rPr>
          <w:rFonts w:ascii="TimesNewRomanPSMT" w:hAnsi="TimesNewRomanPSMT"/>
          <w:b/>
          <w:bCs/>
        </w:rPr>
      </w:pPr>
    </w:p>
    <w:p w14:paraId="1F066399" w14:textId="77777777" w:rsidR="00A733EF" w:rsidRDefault="00A733EF" w:rsidP="00492C61">
      <w:pPr>
        <w:pStyle w:val="NormalWeb"/>
        <w:jc w:val="both"/>
        <w:rPr>
          <w:rFonts w:ascii="TimesNewRomanPSMT" w:hAnsi="TimesNewRomanPSMT"/>
          <w:b/>
          <w:bCs/>
        </w:rPr>
      </w:pPr>
    </w:p>
    <w:p w14:paraId="35B892CE" w14:textId="77777777" w:rsidR="00A733EF" w:rsidRDefault="00A733EF" w:rsidP="00492C61">
      <w:pPr>
        <w:pStyle w:val="NormalWeb"/>
        <w:jc w:val="both"/>
        <w:rPr>
          <w:rFonts w:ascii="TimesNewRomanPSMT" w:hAnsi="TimesNewRomanPSMT"/>
          <w:b/>
          <w:bCs/>
        </w:rPr>
      </w:pPr>
    </w:p>
    <w:p w14:paraId="564F810E" w14:textId="77777777" w:rsidR="00A733EF" w:rsidRDefault="00A733EF" w:rsidP="00492C61">
      <w:pPr>
        <w:pStyle w:val="NormalWeb"/>
        <w:jc w:val="both"/>
        <w:rPr>
          <w:rFonts w:ascii="TimesNewRomanPSMT" w:hAnsi="TimesNewRomanPSMT"/>
          <w:b/>
          <w:bCs/>
        </w:rPr>
      </w:pPr>
    </w:p>
    <w:p w14:paraId="5DA68398" w14:textId="77777777" w:rsidR="00A733EF" w:rsidRDefault="00A733EF" w:rsidP="00492C61">
      <w:pPr>
        <w:pStyle w:val="NormalWeb"/>
        <w:jc w:val="both"/>
        <w:rPr>
          <w:rFonts w:ascii="TimesNewRomanPSMT" w:hAnsi="TimesNewRomanPSMT"/>
          <w:b/>
          <w:bCs/>
        </w:rPr>
      </w:pPr>
    </w:p>
    <w:p w14:paraId="0BF344D3" w14:textId="4316D2EC" w:rsidR="00B66B3D" w:rsidRPr="00B66B3D" w:rsidRDefault="00B66B3D" w:rsidP="00492C61">
      <w:pPr>
        <w:pStyle w:val="NormalWeb"/>
        <w:jc w:val="both"/>
        <w:rPr>
          <w:rFonts w:ascii="TimesNewRomanPSMT" w:hAnsi="TimesNewRomanPSMT"/>
          <w:b/>
          <w:bCs/>
        </w:rPr>
      </w:pPr>
      <w:r>
        <w:rPr>
          <w:rFonts w:ascii="TimesNewRomanPSMT" w:hAnsi="TimesNewRomanPSMT"/>
          <w:b/>
          <w:bCs/>
        </w:rPr>
        <w:lastRenderedPageBreak/>
        <w:t xml:space="preserve">Figure </w:t>
      </w:r>
      <w:r w:rsidR="009317AE">
        <w:rPr>
          <w:rFonts w:ascii="TimesNewRomanPSMT" w:hAnsi="TimesNewRomanPSMT"/>
          <w:b/>
          <w:bCs/>
        </w:rPr>
        <w:t>5</w:t>
      </w:r>
      <w:r>
        <w:rPr>
          <w:rFonts w:ascii="TimesNewRomanPSMT" w:hAnsi="TimesNewRomanPSMT"/>
          <w:b/>
          <w:bCs/>
        </w:rPr>
        <w:t>: Trends in Real Wages, Licensed and Unlicensed Workers, 2024 prices.</w:t>
      </w:r>
    </w:p>
    <w:p w14:paraId="28EB6972" w14:textId="1EC55A59" w:rsidR="008A52FF" w:rsidRDefault="008A52FF" w:rsidP="00492C61">
      <w:pPr>
        <w:pStyle w:val="NormalWeb"/>
        <w:jc w:val="both"/>
        <w:rPr>
          <w:rFonts w:ascii="TimesNewRomanPSMT" w:hAnsi="TimesNewRomanPSMT"/>
        </w:rPr>
      </w:pPr>
      <w:r>
        <w:rPr>
          <w:noProof/>
        </w:rPr>
        <w:drawing>
          <wp:inline distT="0" distB="0" distL="0" distR="0" wp14:anchorId="558F3B85" wp14:editId="550516EC">
            <wp:extent cx="5943600" cy="3604260"/>
            <wp:effectExtent l="0" t="0" r="12700" b="15240"/>
            <wp:docPr id="1359013995" name="Chart 1">
              <a:extLst xmlns:a="http://schemas.openxmlformats.org/drawingml/2006/main">
                <a:ext uri="{FF2B5EF4-FFF2-40B4-BE49-F238E27FC236}">
                  <a16:creationId xmlns:a16="http://schemas.microsoft.com/office/drawing/2014/main" id="{F3760EF8-4715-7139-EA7A-9B364478E7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5F1954" w14:textId="6E64BEFD" w:rsidR="008A52FF" w:rsidRDefault="00B66B3D" w:rsidP="00492C61">
      <w:pPr>
        <w:pStyle w:val="NormalWeb"/>
        <w:jc w:val="both"/>
        <w:rPr>
          <w:rFonts w:ascii="TimesNewRomanPSMT" w:hAnsi="TimesNewRomanPSMT"/>
        </w:rPr>
      </w:pPr>
      <w:r>
        <w:rPr>
          <w:rFonts w:ascii="TimesNewRomanPSMT" w:hAnsi="TimesNewRomanPSMT"/>
        </w:rPr>
        <w:t xml:space="preserve">The gap between them, however, has been shrinking over the past decade. In 2012, licensed workers had a median wage that was 1.8 times larger that of unlicensed workers. By 2024, this ratio had reduced to 1.58. </w:t>
      </w:r>
      <w:r w:rsidR="00AD32A7">
        <w:rPr>
          <w:rFonts w:ascii="TimesNewRomanPSMT" w:hAnsi="TimesNewRomanPSMT"/>
        </w:rPr>
        <w:t>Average wages exhibit a larger gap. Here, licensed workers make as much as double the average unlicensed worker in 2012. Because most high-paying jobs are licensed, they tend to have a much wider distribution, making the gap larger when we compare averages instead of medians. But the ratio has likewise been in decline, reaching approximately 1.7 by 2024.</w:t>
      </w:r>
    </w:p>
    <w:p w14:paraId="45940E36" w14:textId="7545493A" w:rsidR="008A52FF" w:rsidRPr="008A52FF" w:rsidRDefault="008A52FF" w:rsidP="008A52FF">
      <w:pPr>
        <w:pStyle w:val="NormalWeb"/>
        <w:keepNext/>
        <w:jc w:val="both"/>
        <w:rPr>
          <w:b/>
          <w:bCs/>
        </w:rPr>
      </w:pPr>
      <w:r>
        <w:rPr>
          <w:b/>
          <w:bCs/>
        </w:rPr>
        <w:lastRenderedPageBreak/>
        <w:t xml:space="preserve">Figure </w:t>
      </w:r>
      <w:r w:rsidR="009317AE">
        <w:rPr>
          <w:b/>
          <w:bCs/>
        </w:rPr>
        <w:t>6</w:t>
      </w:r>
      <w:r>
        <w:rPr>
          <w:b/>
          <w:bCs/>
        </w:rPr>
        <w:t xml:space="preserve">: Wage Ratio, Licensed to Unlicensed Workers </w:t>
      </w:r>
    </w:p>
    <w:p w14:paraId="546DE67E" w14:textId="0E565418" w:rsidR="000B29A4" w:rsidRDefault="008A52FF" w:rsidP="00492C61">
      <w:pPr>
        <w:pStyle w:val="NormalWeb"/>
        <w:jc w:val="both"/>
        <w:rPr>
          <w:rFonts w:ascii="TimesNewRomanPSMT" w:hAnsi="TimesNewRomanPSMT"/>
        </w:rPr>
      </w:pPr>
      <w:r>
        <w:rPr>
          <w:noProof/>
        </w:rPr>
        <w:drawing>
          <wp:inline distT="0" distB="0" distL="0" distR="0" wp14:anchorId="1D8ACA84" wp14:editId="7C09CB28">
            <wp:extent cx="5943600" cy="3274060"/>
            <wp:effectExtent l="0" t="0" r="12700" b="15240"/>
            <wp:docPr id="131025855" name="Chart 1">
              <a:extLst xmlns:a="http://schemas.openxmlformats.org/drawingml/2006/main">
                <a:ext uri="{FF2B5EF4-FFF2-40B4-BE49-F238E27FC236}">
                  <a16:creationId xmlns:a16="http://schemas.microsoft.com/office/drawing/2014/main" id="{2FE2B39A-B917-A4C7-A672-AF4D63C89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3DCB81" w14:textId="0D0309A7" w:rsidR="004F49DD" w:rsidRDefault="004F49DD" w:rsidP="004F49DD">
      <w:pPr>
        <w:pStyle w:val="NormalWeb"/>
        <w:jc w:val="both"/>
        <w:rPr>
          <w:rFonts w:ascii="TimesNewRomanPSMT" w:hAnsi="TimesNewRomanPSMT"/>
          <w:b/>
          <w:bCs/>
        </w:rPr>
      </w:pPr>
      <w:r w:rsidRPr="000B29A4">
        <w:rPr>
          <w:rFonts w:ascii="TimesNewRomanPSMT" w:hAnsi="TimesNewRomanPSMT"/>
          <w:b/>
          <w:bCs/>
        </w:rPr>
        <w:t>4.</w:t>
      </w:r>
      <w:r>
        <w:rPr>
          <w:rFonts w:ascii="TimesNewRomanPSMT" w:hAnsi="TimesNewRomanPSMT"/>
          <w:b/>
          <w:bCs/>
        </w:rPr>
        <w:t>3 The Demographics of Licensing</w:t>
      </w:r>
    </w:p>
    <w:p w14:paraId="218EC225" w14:textId="759E28F8" w:rsidR="004F49DD" w:rsidRPr="009A199C" w:rsidRDefault="009A199C" w:rsidP="004F49DD">
      <w:pPr>
        <w:pStyle w:val="NormalWeb"/>
        <w:jc w:val="both"/>
        <w:rPr>
          <w:rFonts w:ascii="TimesNewRomanPSMT" w:hAnsi="TimesNewRomanPSMT"/>
        </w:rPr>
      </w:pPr>
      <w:r>
        <w:rPr>
          <w:rFonts w:ascii="TimesNewRomanPSMT" w:hAnsi="TimesNewRomanPSMT"/>
        </w:rPr>
        <w:t>Next, I analyze the demographics of licensing. I compare licensed and unlicensed workers in terms of urbanization, gender, and informality from 2012 to 2024, again using data from PNAD-</w:t>
      </w:r>
      <w:proofErr w:type="spellStart"/>
      <w:r>
        <w:rPr>
          <w:rFonts w:ascii="TimesNewRomanPSMT" w:hAnsi="TimesNewRomanPSMT"/>
        </w:rPr>
        <w:t>Contínua</w:t>
      </w:r>
      <w:proofErr w:type="spellEnd"/>
      <w:r>
        <w:rPr>
          <w:rFonts w:ascii="TimesNewRomanPSMT" w:hAnsi="TimesNewRomanPSMT"/>
        </w:rPr>
        <w:t xml:space="preserve">. The estimates suggest a significant gap in urbanization between unlicensed and licensed workers. Around 76 to 78 percent of unlicensed are urban, and this metric has been quite stable over the period. On the other hand, licensed workers are notably more urbanized and have become slightly more so over the years, rising from 90 to approximately 92 percent in recent years – see </w:t>
      </w:r>
      <w:r w:rsidRPr="009317AE">
        <w:rPr>
          <w:rFonts w:ascii="TimesNewRomanPSMT" w:hAnsi="TimesNewRomanPSMT"/>
        </w:rPr>
        <w:t xml:space="preserve">Figure </w:t>
      </w:r>
      <w:r w:rsidR="009317AE" w:rsidRPr="009317AE">
        <w:rPr>
          <w:rFonts w:ascii="TimesNewRomanPSMT" w:hAnsi="TimesNewRomanPSMT"/>
        </w:rPr>
        <w:t>7</w:t>
      </w:r>
      <w:r w:rsidRPr="009317AE">
        <w:rPr>
          <w:rFonts w:ascii="TimesNewRomanPSMT" w:hAnsi="TimesNewRomanPSMT"/>
        </w:rPr>
        <w:t>.</w:t>
      </w:r>
    </w:p>
    <w:p w14:paraId="205F467E" w14:textId="77777777" w:rsidR="009276D2" w:rsidRDefault="009276D2" w:rsidP="00492C61">
      <w:pPr>
        <w:pStyle w:val="NormalWeb"/>
        <w:jc w:val="both"/>
        <w:rPr>
          <w:rFonts w:ascii="TimesNewRomanPSMT" w:hAnsi="TimesNewRomanPSMT"/>
        </w:rPr>
      </w:pPr>
    </w:p>
    <w:p w14:paraId="55EE50DB" w14:textId="77777777" w:rsidR="004F49DD" w:rsidRDefault="004F49DD" w:rsidP="00492C61">
      <w:pPr>
        <w:pStyle w:val="NormalWeb"/>
        <w:jc w:val="both"/>
        <w:rPr>
          <w:rFonts w:ascii="TimesNewRomanPSMT" w:hAnsi="TimesNewRomanPSMT"/>
        </w:rPr>
      </w:pPr>
    </w:p>
    <w:p w14:paraId="0B56E268" w14:textId="77777777" w:rsidR="009276D2" w:rsidRDefault="009276D2" w:rsidP="00596958">
      <w:pPr>
        <w:pStyle w:val="NormalWeb"/>
        <w:keepNext/>
        <w:jc w:val="both"/>
        <w:rPr>
          <w:rFonts w:ascii="TimesNewRomanPSMT" w:hAnsi="TimesNewRomanPSMT"/>
        </w:rPr>
      </w:pPr>
    </w:p>
    <w:p w14:paraId="5C0B3D00" w14:textId="5820147E" w:rsidR="00BA571F" w:rsidRPr="00596958" w:rsidRDefault="00596958" w:rsidP="00596958">
      <w:pPr>
        <w:pStyle w:val="NormalWeb"/>
        <w:keepNext/>
        <w:jc w:val="both"/>
        <w:rPr>
          <w:b/>
          <w:bCs/>
        </w:rPr>
      </w:pPr>
      <w:r>
        <w:rPr>
          <w:b/>
          <w:bCs/>
        </w:rPr>
        <w:t xml:space="preserve">Figure </w:t>
      </w:r>
      <w:r w:rsidR="009317AE">
        <w:rPr>
          <w:b/>
          <w:bCs/>
        </w:rPr>
        <w:t>7</w:t>
      </w:r>
      <w:r>
        <w:rPr>
          <w:b/>
          <w:bCs/>
        </w:rPr>
        <w:t>: Urbanization, Licensed and Unlicensed Workers</w:t>
      </w:r>
    </w:p>
    <w:p w14:paraId="5472D3AC" w14:textId="669F449B" w:rsidR="00596958" w:rsidRDefault="00596958" w:rsidP="00492C61">
      <w:pPr>
        <w:pStyle w:val="NormalWeb"/>
        <w:jc w:val="both"/>
        <w:rPr>
          <w:rFonts w:ascii="TimesNewRomanPSMT" w:hAnsi="TimesNewRomanPSMT"/>
        </w:rPr>
      </w:pPr>
      <w:r>
        <w:rPr>
          <w:noProof/>
        </w:rPr>
        <w:drawing>
          <wp:inline distT="0" distB="0" distL="0" distR="0" wp14:anchorId="0717CCDF" wp14:editId="7E1C5AAE">
            <wp:extent cx="5943600" cy="3887470"/>
            <wp:effectExtent l="0" t="0" r="12700" b="11430"/>
            <wp:docPr id="1201235459" name="Chart 1">
              <a:extLst xmlns:a="http://schemas.openxmlformats.org/drawingml/2006/main">
                <a:ext uri="{FF2B5EF4-FFF2-40B4-BE49-F238E27FC236}">
                  <a16:creationId xmlns:a16="http://schemas.microsoft.com/office/drawing/2014/main" id="{0A9ACF9B-5384-30D2-8520-9282BF661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D8D611" w14:textId="77777777" w:rsidR="009317AE" w:rsidRDefault="00E544AF" w:rsidP="00492C61">
      <w:pPr>
        <w:pStyle w:val="NormalWeb"/>
        <w:jc w:val="both"/>
        <w:rPr>
          <w:rFonts w:ascii="TimesNewRomanPSMT" w:hAnsi="TimesNewRomanPSMT"/>
        </w:rPr>
      </w:pPr>
      <w:r>
        <w:rPr>
          <w:rFonts w:ascii="TimesNewRomanPSMT" w:hAnsi="TimesNewRomanPSMT"/>
        </w:rPr>
        <w:t>Gender is the second variable of analysis. This is an important characteristic because research has shown that other countries</w:t>
      </w:r>
      <w:r w:rsidR="004E0844">
        <w:rPr>
          <w:rFonts w:ascii="TimesNewRomanPSMT" w:hAnsi="TimesNewRomanPSMT"/>
        </w:rPr>
        <w:t>,</w:t>
      </w:r>
      <w:r>
        <w:rPr>
          <w:rFonts w:ascii="TimesNewRomanPSMT" w:hAnsi="TimesNewRomanPSMT"/>
        </w:rPr>
        <w:t xml:space="preserve"> such as the United</w:t>
      </w:r>
      <w:r w:rsidR="004E0844">
        <w:rPr>
          <w:rFonts w:ascii="TimesNewRomanPSMT" w:hAnsi="TimesNewRomanPSMT"/>
        </w:rPr>
        <w:t xml:space="preserve"> States,</w:t>
      </w:r>
      <w:r>
        <w:rPr>
          <w:rFonts w:ascii="TimesNewRomanPSMT" w:hAnsi="TimesNewRomanPSMT"/>
        </w:rPr>
        <w:t xml:space="preserve"> tend to regulate more predominantly female occupations. We do not see a similar sharp divide in Brazil. However, a small trend can be seen in the data where the percentage of women has been increasing slightly faster in licensed occupations.</w:t>
      </w:r>
      <w:r w:rsidR="004E0844">
        <w:rPr>
          <w:rFonts w:ascii="TimesNewRomanPSMT" w:hAnsi="TimesNewRomanPSMT"/>
        </w:rPr>
        <w:t xml:space="preserve"> In the last years of the sample, the share of women in licensed occupations is around half of a percentage point higher in licensed occupations.</w:t>
      </w:r>
      <w:r>
        <w:rPr>
          <w:rFonts w:ascii="TimesNewRomanPSMT" w:hAnsi="TimesNewRomanPSMT"/>
        </w:rPr>
        <w:t xml:space="preserve"> </w:t>
      </w:r>
    </w:p>
    <w:p w14:paraId="717C75B4" w14:textId="513FA63A" w:rsidR="009A199C" w:rsidRDefault="00E544AF" w:rsidP="00492C61">
      <w:pPr>
        <w:pStyle w:val="NormalWeb"/>
        <w:jc w:val="both"/>
      </w:pPr>
      <w:r>
        <w:rPr>
          <w:rFonts w:ascii="TimesNewRomanPSMT" w:hAnsi="TimesNewRomanPSMT"/>
        </w:rPr>
        <w:t xml:space="preserve">Since there are no major changes in the list of </w:t>
      </w:r>
      <w:r w:rsidR="004E0844">
        <w:rPr>
          <w:rFonts w:ascii="TimesNewRomanPSMT" w:hAnsi="TimesNewRomanPSMT"/>
        </w:rPr>
        <w:t xml:space="preserve">licensed </w:t>
      </w:r>
      <w:r>
        <w:rPr>
          <w:rFonts w:ascii="TimesNewRomanPSMT" w:hAnsi="TimesNewRomanPSMT"/>
        </w:rPr>
        <w:t xml:space="preserve">occupations </w:t>
      </w:r>
      <w:r w:rsidR="004E0844">
        <w:rPr>
          <w:rFonts w:ascii="TimesNewRomanPSMT" w:hAnsi="TimesNewRomanPSMT"/>
        </w:rPr>
        <w:t>during</w:t>
      </w:r>
      <w:r>
        <w:rPr>
          <w:rFonts w:ascii="TimesNewRomanPSMT" w:hAnsi="TimesNewRomanPSMT"/>
        </w:rPr>
        <w:t xml:space="preserve"> this period, a more likely explanation is the rise in female college education over the last decade</w:t>
      </w:r>
      <w:r w:rsidR="00731B77">
        <w:rPr>
          <w:rFonts w:ascii="TimesNewRomanPSMT" w:hAnsi="TimesNewRomanPSMT"/>
        </w:rPr>
        <w:t>,</w:t>
      </w:r>
      <w:r>
        <w:rPr>
          <w:rFonts w:ascii="TimesNewRomanPSMT" w:hAnsi="TimesNewRomanPSMT"/>
        </w:rPr>
        <w:t xml:space="preserve"> which has led to more women in licensed occupations.</w:t>
      </w:r>
      <w:r w:rsidR="00731B77">
        <w:rPr>
          <w:rFonts w:ascii="TimesNewRomanPSMT" w:hAnsi="TimesNewRomanPSMT"/>
        </w:rPr>
        <w:t xml:space="preserve"> </w:t>
      </w:r>
      <w:proofErr w:type="spellStart"/>
      <w:r w:rsidR="00731B77">
        <w:t>Madalozzo</w:t>
      </w:r>
      <w:proofErr w:type="spellEnd"/>
      <w:r w:rsidR="00731B77">
        <w:t xml:space="preserve"> (2010) shows that the increase in female labor force participation over the past three decades has led to more women in occupations that used to be typically </w:t>
      </w:r>
      <w:proofErr w:type="gramStart"/>
      <w:r w:rsidR="00731B77">
        <w:t>male-dominated</w:t>
      </w:r>
      <w:proofErr w:type="gramEnd"/>
      <w:r w:rsidR="00731B77">
        <w:t>. For instance, her data – covering 1978 to 2007 – shows that the share of women in male-dominated licensed occupations, such as lawyers, has risen from around 18 to 44 percent, doubled from 5 to 10 percent among engineers, and from 17 to 36 among managers and administrators. Perhaps the most in</w:t>
      </w:r>
      <w:r w:rsidR="00660C47">
        <w:t>credible</w:t>
      </w:r>
      <w:r w:rsidR="00731B77">
        <w:t xml:space="preserve"> of all</w:t>
      </w:r>
      <w:r w:rsidR="00660C47">
        <w:t xml:space="preserve"> is </w:t>
      </w:r>
      <w:r w:rsidR="00731B77">
        <w:t>the share of women economists</w:t>
      </w:r>
      <w:r w:rsidR="00660C47">
        <w:t>, which</w:t>
      </w:r>
      <w:r w:rsidR="00731B77">
        <w:t xml:space="preserve"> surged </w:t>
      </w:r>
      <w:r w:rsidR="00660C47">
        <w:t xml:space="preserve">from 18.76 to 76.13% over the same period. </w:t>
      </w:r>
    </w:p>
    <w:p w14:paraId="313A5176" w14:textId="77777777" w:rsidR="00660C47" w:rsidRDefault="00660C47" w:rsidP="00492C61">
      <w:pPr>
        <w:pStyle w:val="NormalWeb"/>
        <w:jc w:val="both"/>
        <w:rPr>
          <w:rFonts w:ascii="TimesNewRomanPSMT" w:hAnsi="TimesNewRomanPSMT"/>
        </w:rPr>
      </w:pPr>
    </w:p>
    <w:p w14:paraId="2F4C067C" w14:textId="76640716" w:rsidR="00596958" w:rsidRPr="00596958" w:rsidRDefault="00596958" w:rsidP="00596958">
      <w:pPr>
        <w:pStyle w:val="NormalWeb"/>
        <w:keepNext/>
        <w:jc w:val="both"/>
        <w:rPr>
          <w:b/>
          <w:bCs/>
        </w:rPr>
      </w:pPr>
      <w:r>
        <w:rPr>
          <w:b/>
          <w:bCs/>
        </w:rPr>
        <w:lastRenderedPageBreak/>
        <w:t xml:space="preserve">Figure </w:t>
      </w:r>
      <w:r w:rsidR="009317AE">
        <w:rPr>
          <w:b/>
          <w:bCs/>
        </w:rPr>
        <w:t>8</w:t>
      </w:r>
      <w:r>
        <w:rPr>
          <w:b/>
          <w:bCs/>
        </w:rPr>
        <w:t>: Percentage Female, Licensed and Unlicensed Workers</w:t>
      </w:r>
    </w:p>
    <w:p w14:paraId="52F749A0" w14:textId="4F807AAE" w:rsidR="00596958" w:rsidRDefault="00596958" w:rsidP="00492C61">
      <w:pPr>
        <w:pStyle w:val="NormalWeb"/>
        <w:jc w:val="both"/>
        <w:rPr>
          <w:rFonts w:ascii="TimesNewRomanPSMT" w:hAnsi="TimesNewRomanPSMT"/>
        </w:rPr>
      </w:pPr>
      <w:r>
        <w:rPr>
          <w:noProof/>
        </w:rPr>
        <w:drawing>
          <wp:inline distT="0" distB="0" distL="0" distR="0" wp14:anchorId="673FCA0D" wp14:editId="48EA27EA">
            <wp:extent cx="5992427" cy="3258105"/>
            <wp:effectExtent l="0" t="0" r="15240" b="6350"/>
            <wp:docPr id="1477599414" name="Chart 1">
              <a:extLst xmlns:a="http://schemas.openxmlformats.org/drawingml/2006/main">
                <a:ext uri="{FF2B5EF4-FFF2-40B4-BE49-F238E27FC236}">
                  <a16:creationId xmlns:a16="http://schemas.microsoft.com/office/drawing/2014/main" id="{6607FC2C-B99A-49F2-1D2F-F665B8ACD6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962F75" w14:textId="048C1ACC" w:rsidR="000844D9" w:rsidRDefault="004E0844" w:rsidP="00492C61">
      <w:pPr>
        <w:pStyle w:val="NormalWeb"/>
        <w:jc w:val="both"/>
        <w:rPr>
          <w:rFonts w:ascii="TimesNewRomanPSMT" w:hAnsi="TimesNewRomanPSMT"/>
        </w:rPr>
      </w:pPr>
      <w:r>
        <w:rPr>
          <w:rFonts w:ascii="TimesNewRomanPSMT" w:hAnsi="TimesNewRomanPSMT"/>
        </w:rPr>
        <w:t>Finally, t</w:t>
      </w:r>
      <w:r w:rsidR="000844D9">
        <w:rPr>
          <w:rFonts w:ascii="TimesNewRomanPSMT" w:hAnsi="TimesNewRomanPSMT"/>
        </w:rPr>
        <w:t>o estimate the share of informal workers, I followed</w:t>
      </w:r>
      <w:r w:rsidR="00EF0845">
        <w:rPr>
          <w:rFonts w:ascii="TimesNewRomanPSMT" w:hAnsi="TimesNewRomanPSMT"/>
        </w:rPr>
        <w:t xml:space="preserve"> the two metrics officially adopted by the </w:t>
      </w:r>
      <w:r w:rsidR="00EF0845">
        <w:rPr>
          <w:rFonts w:ascii="TimesNewRomanPSMT" w:hAnsi="TimesNewRomanPSMT"/>
          <w:i/>
          <w:iCs/>
        </w:rPr>
        <w:t xml:space="preserve">Instituto </w:t>
      </w:r>
      <w:proofErr w:type="spellStart"/>
      <w:r w:rsidR="00EF0845">
        <w:rPr>
          <w:rFonts w:ascii="TimesNewRomanPSMT" w:hAnsi="TimesNewRomanPSMT"/>
          <w:i/>
          <w:iCs/>
        </w:rPr>
        <w:t>Brasileiro</w:t>
      </w:r>
      <w:proofErr w:type="spellEnd"/>
      <w:r w:rsidR="00EF0845">
        <w:rPr>
          <w:rFonts w:ascii="TimesNewRomanPSMT" w:hAnsi="TimesNewRomanPSMT"/>
          <w:i/>
          <w:iCs/>
        </w:rPr>
        <w:t xml:space="preserve"> de Geografia e </w:t>
      </w:r>
      <w:proofErr w:type="spellStart"/>
      <w:r w:rsidR="00EF0845">
        <w:rPr>
          <w:rFonts w:ascii="TimesNewRomanPSMT" w:hAnsi="TimesNewRomanPSMT"/>
          <w:i/>
          <w:iCs/>
        </w:rPr>
        <w:t>Estatística</w:t>
      </w:r>
      <w:proofErr w:type="spellEnd"/>
      <w:r w:rsidR="00EF0845" w:rsidRPr="00EF0845">
        <w:rPr>
          <w:rFonts w:ascii="TimesNewRomanPSMT" w:hAnsi="TimesNewRomanPSMT"/>
        </w:rPr>
        <w:t>,</w:t>
      </w:r>
      <w:r w:rsidR="00EF0845">
        <w:rPr>
          <w:rFonts w:ascii="TimesNewRomanPSMT" w:hAnsi="TimesNewRomanPSMT"/>
        </w:rPr>
        <w:t xml:space="preserve"> Brazil’s national statistical office</w:t>
      </w:r>
      <w:r w:rsidR="00574615">
        <w:rPr>
          <w:rFonts w:ascii="TimesNewRomanPSMT" w:hAnsi="TimesNewRomanPSMT"/>
        </w:rPr>
        <w:t xml:space="preserve">, and consistent with the definitions used by the International </w:t>
      </w:r>
      <w:proofErr w:type="spellStart"/>
      <w:r w:rsidR="00574615">
        <w:rPr>
          <w:rFonts w:ascii="TimesNewRomanPSMT" w:hAnsi="TimesNewRomanPSMT"/>
        </w:rPr>
        <w:t>Labour</w:t>
      </w:r>
      <w:proofErr w:type="spellEnd"/>
      <w:r w:rsidR="00574615">
        <w:rPr>
          <w:rFonts w:ascii="TimesNewRomanPSMT" w:hAnsi="TimesNewRomanPSMT"/>
        </w:rPr>
        <w:t xml:space="preserve"> Organization </w:t>
      </w:r>
      <w:r w:rsidR="0084017E">
        <w:rPr>
          <w:rFonts w:ascii="TimesNewRomanPSMT" w:hAnsi="TimesNewRomanPSMT"/>
        </w:rPr>
        <w:t>(</w:t>
      </w:r>
      <w:proofErr w:type="spellStart"/>
      <w:r w:rsidR="0084017E">
        <w:rPr>
          <w:rFonts w:ascii="TimesNewRomanPSMT" w:hAnsi="TimesNewRomanPSMT"/>
        </w:rPr>
        <w:t>Roubaud</w:t>
      </w:r>
      <w:proofErr w:type="spellEnd"/>
      <w:r w:rsidR="0084017E">
        <w:rPr>
          <w:rFonts w:ascii="TimesNewRomanPSMT" w:hAnsi="TimesNewRomanPSMT"/>
        </w:rPr>
        <w:t xml:space="preserve"> et al., 2020)</w:t>
      </w:r>
      <w:r w:rsidR="00EF0845">
        <w:rPr>
          <w:rFonts w:ascii="TimesNewRomanPSMT" w:hAnsi="TimesNewRomanPSMT"/>
        </w:rPr>
        <w:t xml:space="preserve">. Both measures consider </w:t>
      </w:r>
      <w:r w:rsidR="000844D9">
        <w:rPr>
          <w:rFonts w:ascii="TimesNewRomanPSMT" w:hAnsi="TimesNewRomanPSMT"/>
        </w:rPr>
        <w:t>as informal the domestic- and private-sector workers without a signed employee booklet (</w:t>
      </w:r>
      <w:proofErr w:type="spellStart"/>
      <w:r w:rsidR="000844D9">
        <w:rPr>
          <w:rFonts w:ascii="TimesNewRomanPSMT" w:hAnsi="TimesNewRomanPSMT"/>
          <w:i/>
          <w:iCs/>
        </w:rPr>
        <w:t>carteira</w:t>
      </w:r>
      <w:proofErr w:type="spellEnd"/>
      <w:r w:rsidR="000844D9">
        <w:rPr>
          <w:rFonts w:ascii="TimesNewRomanPSMT" w:hAnsi="TimesNewRomanPSMT"/>
          <w:i/>
          <w:iCs/>
        </w:rPr>
        <w:t xml:space="preserve"> </w:t>
      </w:r>
      <w:proofErr w:type="spellStart"/>
      <w:r w:rsidR="000844D9">
        <w:rPr>
          <w:rFonts w:ascii="TimesNewRomanPSMT" w:hAnsi="TimesNewRomanPSMT"/>
          <w:i/>
          <w:iCs/>
        </w:rPr>
        <w:t>assinada</w:t>
      </w:r>
      <w:proofErr w:type="spellEnd"/>
      <w:r w:rsidR="000844D9">
        <w:rPr>
          <w:rFonts w:ascii="TimesNewRomanPSMT" w:hAnsi="TimesNewRomanPSMT"/>
        </w:rPr>
        <w:t xml:space="preserve">). They differ to the extent that one also considers as informal the employers and self-employed individuals who </w:t>
      </w:r>
      <w:r w:rsidR="000844D9" w:rsidRPr="000844D9">
        <w:rPr>
          <w:rFonts w:ascii="TimesNewRomanPSMT" w:hAnsi="TimesNewRomanPSMT"/>
          <w:i/>
          <w:iCs/>
        </w:rPr>
        <w:t>do not contribute to social security</w:t>
      </w:r>
      <w:r>
        <w:rPr>
          <w:rFonts w:ascii="TimesNewRomanPSMT" w:hAnsi="TimesNewRomanPSMT"/>
        </w:rPr>
        <w:t xml:space="preserve"> (definition 1)</w:t>
      </w:r>
      <w:r w:rsidR="000844D9">
        <w:rPr>
          <w:rFonts w:ascii="TimesNewRomanPSMT" w:hAnsi="TimesNewRomanPSMT"/>
        </w:rPr>
        <w:t xml:space="preserve">; while the other includes the employers and self-employed individuals </w:t>
      </w:r>
      <w:r w:rsidR="000844D9" w:rsidRPr="000844D9">
        <w:rPr>
          <w:rFonts w:ascii="TimesNewRomanPSMT" w:hAnsi="TimesNewRomanPSMT"/>
          <w:i/>
          <w:iCs/>
        </w:rPr>
        <w:t>who do not have a formal business</w:t>
      </w:r>
      <w:r>
        <w:rPr>
          <w:rFonts w:ascii="TimesNewRomanPSMT" w:hAnsi="TimesNewRomanPSMT"/>
        </w:rPr>
        <w:t>, i.e. a corporate tax identification number</w:t>
      </w:r>
      <w:r w:rsidR="000844D9">
        <w:rPr>
          <w:rFonts w:ascii="TimesNewRomanPSMT" w:hAnsi="TimesNewRomanPSMT"/>
        </w:rPr>
        <w:t xml:space="preserve"> </w:t>
      </w:r>
      <w:r>
        <w:rPr>
          <w:rFonts w:ascii="TimesNewRomanPSMT" w:hAnsi="TimesNewRomanPSMT"/>
        </w:rPr>
        <w:t>(definition 2).</w:t>
      </w:r>
      <w:r w:rsidR="000844D9">
        <w:rPr>
          <w:rStyle w:val="FootnoteReference"/>
          <w:rFonts w:ascii="TimesNewRomanPSMT" w:hAnsi="TimesNewRomanPSMT"/>
        </w:rPr>
        <w:footnoteReference w:id="29"/>
      </w:r>
      <w:r w:rsidR="00552510">
        <w:rPr>
          <w:rFonts w:ascii="TimesNewRomanPSMT" w:hAnsi="TimesNewRomanPSMT"/>
        </w:rPr>
        <w:t xml:space="preserve"> The survey question regarding whether a business has a tax number first appears in the last quarter of 2015, which is why I present this second metric starting in this period. </w:t>
      </w:r>
    </w:p>
    <w:p w14:paraId="1F6153DE" w14:textId="35B3E407" w:rsidR="009276D2" w:rsidRDefault="004E0844" w:rsidP="00492C61">
      <w:pPr>
        <w:pStyle w:val="NormalWeb"/>
        <w:jc w:val="both"/>
        <w:rPr>
          <w:rFonts w:ascii="TimesNewRomanPSMT" w:hAnsi="TimesNewRomanPSMT"/>
        </w:rPr>
      </w:pPr>
      <w:r w:rsidRPr="009317AE">
        <w:rPr>
          <w:rFonts w:ascii="TimesNewRomanPSMT" w:hAnsi="TimesNewRomanPSMT"/>
        </w:rPr>
        <w:t xml:space="preserve">Figure </w:t>
      </w:r>
      <w:r w:rsidR="009317AE" w:rsidRPr="009317AE">
        <w:rPr>
          <w:rFonts w:ascii="TimesNewRomanPSMT" w:hAnsi="TimesNewRomanPSMT"/>
        </w:rPr>
        <w:t>9</w:t>
      </w:r>
      <w:r>
        <w:rPr>
          <w:rFonts w:ascii="TimesNewRomanPSMT" w:hAnsi="TimesNewRomanPSMT"/>
          <w:b/>
          <w:bCs/>
        </w:rPr>
        <w:t xml:space="preserve"> </w:t>
      </w:r>
      <w:r>
        <w:rPr>
          <w:rFonts w:ascii="TimesNewRomanPSMT" w:hAnsi="TimesNewRomanPSMT"/>
        </w:rPr>
        <w:t xml:space="preserve">plots these two estimates for licensed and unlicensed workers. </w:t>
      </w:r>
      <w:r w:rsidR="00CB18B6">
        <w:rPr>
          <w:rFonts w:ascii="TimesNewRomanPSMT" w:hAnsi="TimesNewRomanPSMT"/>
        </w:rPr>
        <w:t xml:space="preserve">The most interesting point to notice is that although unlicensed workers are more likely to be informal, the gap has been shrinking substantially, from almost </w:t>
      </w:r>
      <w:r w:rsidR="00557F91">
        <w:rPr>
          <w:rFonts w:ascii="TimesNewRomanPSMT" w:hAnsi="TimesNewRomanPSMT"/>
        </w:rPr>
        <w:t>ten</w:t>
      </w:r>
      <w:r w:rsidR="00CB18B6">
        <w:rPr>
          <w:rFonts w:ascii="TimesNewRomanPSMT" w:hAnsi="TimesNewRomanPSMT"/>
        </w:rPr>
        <w:t xml:space="preserve"> percentage points at the beginning of the series to around four points in recent years. Further, this has been driven by unlicensed workers becoming more formalized (around 2.8 p.p. increase), but especially by a 4.5 percentage point rise in informality among licensed workers.  Second, </w:t>
      </w:r>
      <w:r w:rsidR="00557F91">
        <w:rPr>
          <w:rFonts w:ascii="TimesNewRomanPSMT" w:hAnsi="TimesNewRomanPSMT"/>
        </w:rPr>
        <w:t xml:space="preserve">starting in late 2015, definition 2 suggests a higher percentage of both types of workers as informal, but it reaffirms the rise in informality among licensed </w:t>
      </w:r>
      <w:r w:rsidR="00557F91">
        <w:rPr>
          <w:rFonts w:ascii="TimesNewRomanPSMT" w:hAnsi="TimesNewRomanPSMT"/>
        </w:rPr>
        <w:lastRenderedPageBreak/>
        <w:t xml:space="preserve">workers, the reduction of it among unlicensed ones, and thus the shrinkage of the gap in informality between the two. </w:t>
      </w:r>
    </w:p>
    <w:p w14:paraId="1A7F62CA" w14:textId="67165973" w:rsidR="003307F1" w:rsidRDefault="00AD69D9" w:rsidP="009276D2">
      <w:pPr>
        <w:pStyle w:val="NormalWeb"/>
        <w:keepNext/>
        <w:jc w:val="both"/>
        <w:rPr>
          <w:rFonts w:ascii="TimesNewRomanPSMT" w:hAnsi="TimesNewRomanPSMT"/>
        </w:rPr>
      </w:pPr>
      <w:r>
        <w:rPr>
          <w:rFonts w:ascii="TimesNewRomanPSMT" w:hAnsi="TimesNewRomanPSMT"/>
        </w:rPr>
        <w:t>In part, t</w:t>
      </w:r>
      <w:r w:rsidR="003307F1">
        <w:rPr>
          <w:rFonts w:ascii="TimesNewRomanPSMT" w:hAnsi="TimesNewRomanPSMT"/>
        </w:rPr>
        <w:t>his result can</w:t>
      </w:r>
      <w:r>
        <w:rPr>
          <w:rFonts w:ascii="TimesNewRomanPSMT" w:hAnsi="TimesNewRomanPSMT"/>
        </w:rPr>
        <w:t xml:space="preserve"> </w:t>
      </w:r>
      <w:r w:rsidR="003307F1">
        <w:rPr>
          <w:rFonts w:ascii="TimesNewRomanPSMT" w:hAnsi="TimesNewRomanPSMT"/>
        </w:rPr>
        <w:t xml:space="preserve">be explained by </w:t>
      </w:r>
      <w:r>
        <w:rPr>
          <w:rFonts w:ascii="TimesNewRomanPSMT" w:hAnsi="TimesNewRomanPSMT"/>
        </w:rPr>
        <w:t>the fact</w:t>
      </w:r>
      <w:r w:rsidR="003307F1">
        <w:rPr>
          <w:rFonts w:ascii="TimesNewRomanPSMT" w:hAnsi="TimesNewRomanPSMT"/>
        </w:rPr>
        <w:t xml:space="preserve"> that informality</w:t>
      </w:r>
      <w:r>
        <w:rPr>
          <w:rFonts w:ascii="TimesNewRomanPSMT" w:hAnsi="TimesNewRomanPSMT"/>
        </w:rPr>
        <w:t xml:space="preserve"> in Brazil</w:t>
      </w:r>
      <w:r w:rsidR="003307F1">
        <w:rPr>
          <w:rFonts w:ascii="TimesNewRomanPSMT" w:hAnsi="TimesNewRomanPSMT"/>
        </w:rPr>
        <w:t xml:space="preserve"> is not always </w:t>
      </w:r>
      <w:r>
        <w:rPr>
          <w:rFonts w:ascii="TimesNewRomanPSMT" w:hAnsi="TimesNewRomanPSMT"/>
        </w:rPr>
        <w:t>caused by a lack of formal jobs available but often by a deliberate choice (</w:t>
      </w:r>
      <w:proofErr w:type="spellStart"/>
      <w:r>
        <w:rPr>
          <w:rFonts w:ascii="TimesNewRomanPSMT" w:hAnsi="TimesNewRomanPSMT"/>
        </w:rPr>
        <w:t>Ulyssea</w:t>
      </w:r>
      <w:proofErr w:type="spellEnd"/>
      <w:r>
        <w:rPr>
          <w:rFonts w:ascii="TimesNewRomanPSMT" w:hAnsi="TimesNewRomanPSMT"/>
        </w:rPr>
        <w:t>, 2006).</w:t>
      </w:r>
      <w:r>
        <w:rPr>
          <w:rStyle w:val="FootnoteReference"/>
          <w:rFonts w:ascii="TimesNewRomanPSMT" w:hAnsi="TimesNewRomanPSMT"/>
        </w:rPr>
        <w:footnoteReference w:id="30"/>
      </w:r>
      <w:r>
        <w:rPr>
          <w:rFonts w:ascii="TimesNewRomanPSMT" w:hAnsi="TimesNewRomanPSMT"/>
        </w:rPr>
        <w:t xml:space="preserve"> By moving to the informal sector, even highly educated workers can avoid or at least minimize costly social security taxes. For instance, </w:t>
      </w:r>
      <w:proofErr w:type="spellStart"/>
      <w:r>
        <w:rPr>
          <w:rFonts w:ascii="TimesNewRomanPSMT" w:hAnsi="TimesNewRomanPSMT"/>
        </w:rPr>
        <w:t>Curi</w:t>
      </w:r>
      <w:proofErr w:type="spellEnd"/>
      <w:r>
        <w:rPr>
          <w:rFonts w:ascii="TimesNewRomanPSMT" w:hAnsi="TimesNewRomanPSMT"/>
        </w:rPr>
        <w:t xml:space="preserve"> and Menezes Filho (2004) show that between 1990 and 2000, there was a significant increase in informality for workers across all education levels, but especially among workers with more than 11 years of education.  </w:t>
      </w:r>
    </w:p>
    <w:p w14:paraId="38A1DC29" w14:textId="5EC64FE5" w:rsidR="009276D2" w:rsidRPr="009276D2" w:rsidRDefault="009276D2" w:rsidP="009276D2">
      <w:pPr>
        <w:pStyle w:val="NormalWeb"/>
        <w:keepNext/>
        <w:jc w:val="both"/>
        <w:rPr>
          <w:b/>
          <w:bCs/>
        </w:rPr>
      </w:pPr>
      <w:r>
        <w:rPr>
          <w:b/>
          <w:bCs/>
        </w:rPr>
        <w:t xml:space="preserve">Figure </w:t>
      </w:r>
      <w:r w:rsidR="009317AE">
        <w:rPr>
          <w:b/>
          <w:bCs/>
        </w:rPr>
        <w:t>9</w:t>
      </w:r>
      <w:r>
        <w:rPr>
          <w:b/>
          <w:bCs/>
        </w:rPr>
        <w:t xml:space="preserve">: Share </w:t>
      </w:r>
      <w:r w:rsidR="004E0844">
        <w:rPr>
          <w:b/>
          <w:bCs/>
        </w:rPr>
        <w:t>of Paid Workers that are Informal, Licensed and Unlicensed</w:t>
      </w:r>
      <w:r>
        <w:rPr>
          <w:b/>
          <w:bCs/>
        </w:rPr>
        <w:t xml:space="preserve"> </w:t>
      </w:r>
    </w:p>
    <w:p w14:paraId="350E6A01" w14:textId="47B6A708" w:rsidR="00662641" w:rsidRDefault="00662641" w:rsidP="00492C61">
      <w:pPr>
        <w:pStyle w:val="NormalWeb"/>
        <w:jc w:val="both"/>
        <w:rPr>
          <w:rFonts w:ascii="TimesNewRomanPSMT" w:hAnsi="TimesNewRomanPSMT"/>
        </w:rPr>
      </w:pPr>
      <w:r>
        <w:rPr>
          <w:noProof/>
        </w:rPr>
        <w:drawing>
          <wp:inline distT="0" distB="0" distL="0" distR="0" wp14:anchorId="6199F37E" wp14:editId="0D04FF8B">
            <wp:extent cx="5943600" cy="4229735"/>
            <wp:effectExtent l="0" t="0" r="12700" b="12065"/>
            <wp:docPr id="902290969" name="Chart 1">
              <a:extLst xmlns:a="http://schemas.openxmlformats.org/drawingml/2006/main">
                <a:ext uri="{FF2B5EF4-FFF2-40B4-BE49-F238E27FC236}">
                  <a16:creationId xmlns:a16="http://schemas.microsoft.com/office/drawing/2014/main" id="{AA0A9AC6-462C-5FF5-DC09-A137D1054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t xml:space="preserve"> </w:t>
      </w:r>
    </w:p>
    <w:p w14:paraId="642F5E72" w14:textId="77777777" w:rsidR="009317AE" w:rsidRDefault="009317AE" w:rsidP="00492C61">
      <w:pPr>
        <w:pStyle w:val="NormalWeb"/>
        <w:jc w:val="both"/>
        <w:rPr>
          <w:rFonts w:ascii="TimesNewRomanPSMT" w:hAnsi="TimesNewRomanPSMT"/>
        </w:rPr>
      </w:pPr>
    </w:p>
    <w:p w14:paraId="2B26A35B" w14:textId="77777777" w:rsidR="009317AE" w:rsidRDefault="009317AE" w:rsidP="00492C61">
      <w:pPr>
        <w:pStyle w:val="NormalWeb"/>
        <w:jc w:val="both"/>
        <w:rPr>
          <w:rFonts w:ascii="TimesNewRomanPSMT" w:hAnsi="TimesNewRomanPSMT"/>
        </w:rPr>
      </w:pPr>
    </w:p>
    <w:p w14:paraId="69BF898B" w14:textId="77777777" w:rsidR="009317AE" w:rsidRDefault="009317AE" w:rsidP="009317AE">
      <w:pPr>
        <w:pStyle w:val="NormalWeb"/>
        <w:jc w:val="both"/>
        <w:rPr>
          <w:rFonts w:ascii="TimesNewRomanPSMT" w:hAnsi="TimesNewRomanPSMT"/>
        </w:rPr>
      </w:pPr>
    </w:p>
    <w:p w14:paraId="740C82C4" w14:textId="77777777" w:rsidR="009317AE" w:rsidRDefault="009317AE" w:rsidP="009317AE">
      <w:pPr>
        <w:pStyle w:val="NormalWeb"/>
        <w:jc w:val="both"/>
        <w:rPr>
          <w:rFonts w:ascii="TimesNewRomanPSMT" w:hAnsi="TimesNewRomanPSMT"/>
          <w:b/>
          <w:bCs/>
        </w:rPr>
      </w:pPr>
      <w:r>
        <w:rPr>
          <w:rFonts w:ascii="TimesNewRomanPSMT" w:hAnsi="TimesNewRomanPSMT"/>
          <w:b/>
          <w:bCs/>
        </w:rPr>
        <w:lastRenderedPageBreak/>
        <w:t>References</w:t>
      </w:r>
    </w:p>
    <w:p w14:paraId="1F01A146" w14:textId="77777777" w:rsidR="009317AE" w:rsidRDefault="009317AE" w:rsidP="009317AE">
      <w:pPr>
        <w:pStyle w:val="NormalWeb"/>
        <w:jc w:val="both"/>
        <w:rPr>
          <w:rFonts w:ascii="TimesNewRomanPSMT" w:hAnsi="TimesNewRomanPSMT"/>
        </w:rPr>
      </w:pPr>
      <w:r w:rsidRPr="00043E51">
        <w:rPr>
          <w:rFonts w:ascii="TimesNewRomanPSMT" w:hAnsi="TimesNewRomanPSMT"/>
        </w:rPr>
        <w:t>A</w:t>
      </w:r>
      <w:r>
        <w:rPr>
          <w:rFonts w:ascii="TimesNewRomanPSMT" w:hAnsi="TimesNewRomanPSMT"/>
        </w:rPr>
        <w:t>cemoglu</w:t>
      </w:r>
      <w:r w:rsidRPr="00043E51">
        <w:rPr>
          <w:rFonts w:ascii="TimesNewRomanPSMT" w:hAnsi="TimesNewRomanPSMT"/>
        </w:rPr>
        <w:t xml:space="preserve">, D. Good Jobs versus Bad Jobs. </w:t>
      </w:r>
      <w:r w:rsidRPr="00043E51">
        <w:rPr>
          <w:rFonts w:ascii="TimesNewRomanPSMT" w:hAnsi="TimesNewRomanPSMT"/>
          <w:i/>
          <w:iCs/>
        </w:rPr>
        <w:t>Journal of Labor Economics</w:t>
      </w:r>
      <w:r>
        <w:rPr>
          <w:rFonts w:ascii="TimesNewRomanPSMT" w:hAnsi="TimesNewRomanPSMT"/>
        </w:rPr>
        <w:t xml:space="preserve">, 19(1): </w:t>
      </w:r>
      <w:r w:rsidRPr="00C86AD8">
        <w:rPr>
          <w:rFonts w:ascii="TimesNewRomanPSMT" w:hAnsi="TimesNewRomanPSMT"/>
        </w:rPr>
        <w:t>1-21</w:t>
      </w:r>
      <w:r>
        <w:rPr>
          <w:rFonts w:ascii="TimesNewRomanPSMT" w:hAnsi="TimesNewRomanPSMT"/>
        </w:rPr>
        <w:t>.</w:t>
      </w:r>
    </w:p>
    <w:p w14:paraId="1C94CEE0" w14:textId="77777777" w:rsidR="009317AE" w:rsidRPr="0073215E" w:rsidRDefault="009317AE" w:rsidP="009317AE">
      <w:pPr>
        <w:pStyle w:val="NormalWeb"/>
        <w:jc w:val="both"/>
        <w:rPr>
          <w:rFonts w:ascii="TimesNewRomanPSMT" w:hAnsi="TimesNewRomanPSMT"/>
        </w:rPr>
      </w:pPr>
      <w:r w:rsidRPr="00E46038">
        <w:rPr>
          <w:rFonts w:ascii="TimesNewRomanPSMT" w:hAnsi="TimesNewRomanPSMT"/>
        </w:rPr>
        <w:t xml:space="preserve">Almeida, M. E., Sousa, M. D., </w:t>
      </w:r>
      <w:proofErr w:type="spellStart"/>
      <w:r w:rsidRPr="00E46038">
        <w:rPr>
          <w:rFonts w:ascii="TimesNewRomanPSMT" w:hAnsi="TimesNewRomanPSMT"/>
        </w:rPr>
        <w:t>Pateo</w:t>
      </w:r>
      <w:proofErr w:type="spellEnd"/>
      <w:r w:rsidRPr="00E46038">
        <w:rPr>
          <w:rFonts w:ascii="TimesNewRomanPSMT" w:hAnsi="TimesNewRomanPSMT"/>
        </w:rPr>
        <w:t xml:space="preserve">, F. V., &amp; Albuquerque, A. V. S. M. (2018). </w:t>
      </w:r>
      <w:proofErr w:type="spellStart"/>
      <w:r w:rsidRPr="00E46038">
        <w:rPr>
          <w:rFonts w:ascii="TimesNewRomanPSMT" w:hAnsi="TimesNewRomanPSMT"/>
        </w:rPr>
        <w:t>Comparando</w:t>
      </w:r>
      <w:proofErr w:type="spellEnd"/>
      <w:r w:rsidRPr="00E46038">
        <w:rPr>
          <w:rFonts w:ascii="TimesNewRomanPSMT" w:hAnsi="TimesNewRomanPSMT"/>
        </w:rPr>
        <w:t xml:space="preserve"> bases de dados: o </w:t>
      </w:r>
      <w:proofErr w:type="spellStart"/>
      <w:r w:rsidRPr="00E46038">
        <w:rPr>
          <w:rFonts w:ascii="TimesNewRomanPSMT" w:hAnsi="TimesNewRomanPSMT"/>
        </w:rPr>
        <w:t>caso</w:t>
      </w:r>
      <w:proofErr w:type="spellEnd"/>
      <w:r w:rsidRPr="00E46038">
        <w:rPr>
          <w:rFonts w:ascii="TimesNewRomanPSMT" w:hAnsi="TimesNewRomanPSMT"/>
        </w:rPr>
        <w:t xml:space="preserve"> do </w:t>
      </w:r>
      <w:proofErr w:type="spellStart"/>
      <w:r w:rsidRPr="00E46038">
        <w:rPr>
          <w:rFonts w:ascii="TimesNewRomanPSMT" w:hAnsi="TimesNewRomanPSMT"/>
        </w:rPr>
        <w:t>Cadastro</w:t>
      </w:r>
      <w:proofErr w:type="spellEnd"/>
      <w:r w:rsidRPr="00E46038">
        <w:rPr>
          <w:rFonts w:ascii="TimesNewRomanPSMT" w:hAnsi="TimesNewRomanPSMT"/>
        </w:rPr>
        <w:t xml:space="preserve"> </w:t>
      </w:r>
      <w:proofErr w:type="spellStart"/>
      <w:r w:rsidRPr="00E46038">
        <w:rPr>
          <w:rFonts w:ascii="TimesNewRomanPSMT" w:hAnsi="TimesNewRomanPSMT"/>
        </w:rPr>
        <w:t>Geral</w:t>
      </w:r>
      <w:proofErr w:type="spellEnd"/>
      <w:r w:rsidRPr="00E46038">
        <w:rPr>
          <w:rFonts w:ascii="TimesNewRomanPSMT" w:hAnsi="TimesNewRomanPSMT"/>
        </w:rPr>
        <w:t xml:space="preserve"> de </w:t>
      </w:r>
      <w:proofErr w:type="spellStart"/>
      <w:r w:rsidRPr="00E46038">
        <w:rPr>
          <w:rFonts w:ascii="TimesNewRomanPSMT" w:hAnsi="TimesNewRomanPSMT"/>
        </w:rPr>
        <w:t>Empregados</w:t>
      </w:r>
      <w:proofErr w:type="spellEnd"/>
      <w:r w:rsidRPr="00E46038">
        <w:rPr>
          <w:rFonts w:ascii="TimesNewRomanPSMT" w:hAnsi="TimesNewRomanPSMT"/>
        </w:rPr>
        <w:t xml:space="preserve"> e </w:t>
      </w:r>
      <w:proofErr w:type="spellStart"/>
      <w:r w:rsidRPr="00E46038">
        <w:rPr>
          <w:rFonts w:ascii="TimesNewRomanPSMT" w:hAnsi="TimesNewRomanPSMT"/>
        </w:rPr>
        <w:t>Desempregados</w:t>
      </w:r>
      <w:proofErr w:type="spellEnd"/>
      <w:r w:rsidRPr="00E46038">
        <w:rPr>
          <w:rFonts w:ascii="TimesNewRomanPSMT" w:hAnsi="TimesNewRomanPSMT"/>
        </w:rPr>
        <w:t xml:space="preserve"> (Caged) e da </w:t>
      </w:r>
      <w:proofErr w:type="spellStart"/>
      <w:r w:rsidRPr="00E46038">
        <w:rPr>
          <w:rFonts w:ascii="TimesNewRomanPSMT" w:hAnsi="TimesNewRomanPSMT"/>
        </w:rPr>
        <w:t>Pesquisa</w:t>
      </w:r>
      <w:proofErr w:type="spellEnd"/>
      <w:r w:rsidRPr="00E46038">
        <w:rPr>
          <w:rFonts w:ascii="TimesNewRomanPSMT" w:hAnsi="TimesNewRomanPSMT"/>
        </w:rPr>
        <w:t xml:space="preserve"> Nacional </w:t>
      </w:r>
      <w:proofErr w:type="spellStart"/>
      <w:r w:rsidRPr="00E46038">
        <w:rPr>
          <w:rFonts w:ascii="TimesNewRomanPSMT" w:hAnsi="TimesNewRomanPSMT"/>
        </w:rPr>
        <w:t>por</w:t>
      </w:r>
      <w:proofErr w:type="spellEnd"/>
      <w:r w:rsidRPr="00E46038">
        <w:rPr>
          <w:rFonts w:ascii="TimesNewRomanPSMT" w:hAnsi="TimesNewRomanPSMT"/>
        </w:rPr>
        <w:t xml:space="preserve"> </w:t>
      </w:r>
      <w:proofErr w:type="spellStart"/>
      <w:r w:rsidRPr="00E46038">
        <w:rPr>
          <w:rFonts w:ascii="TimesNewRomanPSMT" w:hAnsi="TimesNewRomanPSMT"/>
        </w:rPr>
        <w:t>Amostra</w:t>
      </w:r>
      <w:proofErr w:type="spellEnd"/>
      <w:r w:rsidRPr="00E46038">
        <w:rPr>
          <w:rFonts w:ascii="TimesNewRomanPSMT" w:hAnsi="TimesNewRomanPSMT"/>
        </w:rPr>
        <w:t xml:space="preserve"> de </w:t>
      </w:r>
      <w:proofErr w:type="spellStart"/>
      <w:r w:rsidRPr="00E46038">
        <w:rPr>
          <w:rFonts w:ascii="TimesNewRomanPSMT" w:hAnsi="TimesNewRomanPSMT"/>
        </w:rPr>
        <w:t>Domicílios</w:t>
      </w:r>
      <w:proofErr w:type="spellEnd"/>
      <w:r w:rsidRPr="00E46038">
        <w:rPr>
          <w:rFonts w:ascii="TimesNewRomanPSMT" w:hAnsi="TimesNewRomanPSMT"/>
        </w:rPr>
        <w:t xml:space="preserve"> </w:t>
      </w:r>
      <w:proofErr w:type="spellStart"/>
      <w:r w:rsidRPr="00E46038">
        <w:rPr>
          <w:rFonts w:ascii="TimesNewRomanPSMT" w:hAnsi="TimesNewRomanPSMT"/>
        </w:rPr>
        <w:t>Contínua</w:t>
      </w:r>
      <w:proofErr w:type="spellEnd"/>
      <w:r w:rsidRPr="00E46038">
        <w:rPr>
          <w:rFonts w:ascii="TimesNewRomanPSMT" w:hAnsi="TimesNewRomanPSMT"/>
        </w:rPr>
        <w:t xml:space="preserve"> (PNAD </w:t>
      </w:r>
      <w:proofErr w:type="spellStart"/>
      <w:r w:rsidRPr="00E46038">
        <w:rPr>
          <w:rFonts w:ascii="TimesNewRomanPSMT" w:hAnsi="TimesNewRomanPSMT"/>
        </w:rPr>
        <w:t>Contínua</w:t>
      </w:r>
      <w:proofErr w:type="spellEnd"/>
      <w:r w:rsidRPr="00E46038">
        <w:rPr>
          <w:rFonts w:ascii="TimesNewRomanPSMT" w:hAnsi="TimesNewRomanPSMT"/>
        </w:rPr>
        <w:t>).</w:t>
      </w:r>
      <w:r>
        <w:rPr>
          <w:rFonts w:ascii="TimesNewRomanPSMT" w:hAnsi="TimesNewRomanPSMT"/>
        </w:rPr>
        <w:t xml:space="preserve"> </w:t>
      </w:r>
      <w:r>
        <w:rPr>
          <w:rFonts w:ascii="TimesNewRomanPSMT" w:hAnsi="TimesNewRomanPSMT"/>
          <w:i/>
          <w:iCs/>
        </w:rPr>
        <w:t xml:space="preserve">Mercado de </w:t>
      </w:r>
      <w:proofErr w:type="spellStart"/>
      <w:r>
        <w:rPr>
          <w:rFonts w:ascii="TimesNewRomanPSMT" w:hAnsi="TimesNewRomanPSMT"/>
          <w:i/>
          <w:iCs/>
        </w:rPr>
        <w:t>Trabalho</w:t>
      </w:r>
      <w:proofErr w:type="spellEnd"/>
      <w:r>
        <w:rPr>
          <w:rFonts w:ascii="TimesNewRomanPSMT" w:hAnsi="TimesNewRomanPSMT"/>
          <w:i/>
          <w:iCs/>
        </w:rPr>
        <w:t xml:space="preserve">: </w:t>
      </w:r>
      <w:proofErr w:type="spellStart"/>
      <w:r>
        <w:rPr>
          <w:rFonts w:ascii="TimesNewRomanPSMT" w:hAnsi="TimesNewRomanPSMT"/>
          <w:i/>
          <w:iCs/>
        </w:rPr>
        <w:t>Conjuntura</w:t>
      </w:r>
      <w:proofErr w:type="spellEnd"/>
      <w:r>
        <w:rPr>
          <w:rFonts w:ascii="TimesNewRomanPSMT" w:hAnsi="TimesNewRomanPSMT"/>
          <w:i/>
          <w:iCs/>
        </w:rPr>
        <w:t xml:space="preserve"> e </w:t>
      </w:r>
      <w:proofErr w:type="spellStart"/>
      <w:r>
        <w:rPr>
          <w:rFonts w:ascii="TimesNewRomanPSMT" w:hAnsi="TimesNewRomanPSMT"/>
          <w:i/>
          <w:iCs/>
        </w:rPr>
        <w:t>Análise</w:t>
      </w:r>
      <w:proofErr w:type="spellEnd"/>
      <w:r>
        <w:rPr>
          <w:rFonts w:ascii="TimesNewRomanPSMT" w:hAnsi="TimesNewRomanPSMT"/>
          <w:i/>
          <w:iCs/>
        </w:rPr>
        <w:t xml:space="preserve">. </w:t>
      </w:r>
      <w:r>
        <w:rPr>
          <w:rFonts w:ascii="TimesNewRomanPSMT" w:hAnsi="TimesNewRomanPSMT"/>
        </w:rPr>
        <w:t xml:space="preserve">Instituto de </w:t>
      </w:r>
      <w:proofErr w:type="spellStart"/>
      <w:r>
        <w:rPr>
          <w:rFonts w:ascii="TimesNewRomanPSMT" w:hAnsi="TimesNewRomanPSMT"/>
        </w:rPr>
        <w:t>Pesquisa</w:t>
      </w:r>
      <w:proofErr w:type="spellEnd"/>
      <w:r>
        <w:rPr>
          <w:rFonts w:ascii="TimesNewRomanPSMT" w:hAnsi="TimesNewRomanPSMT"/>
        </w:rPr>
        <w:t xml:space="preserve"> </w:t>
      </w:r>
      <w:proofErr w:type="spellStart"/>
      <w:r>
        <w:rPr>
          <w:rFonts w:ascii="TimesNewRomanPSMT" w:hAnsi="TimesNewRomanPSMT"/>
        </w:rPr>
        <w:t>Econômica</w:t>
      </w:r>
      <w:proofErr w:type="spellEnd"/>
      <w:r>
        <w:rPr>
          <w:rFonts w:ascii="TimesNewRomanPSMT" w:hAnsi="TimesNewRomanPSMT"/>
        </w:rPr>
        <w:t xml:space="preserve"> </w:t>
      </w:r>
      <w:proofErr w:type="spellStart"/>
      <w:r>
        <w:rPr>
          <w:rFonts w:ascii="TimesNewRomanPSMT" w:hAnsi="TimesNewRomanPSMT"/>
        </w:rPr>
        <w:t>Aplicada</w:t>
      </w:r>
      <w:proofErr w:type="spellEnd"/>
      <w:r>
        <w:rPr>
          <w:rFonts w:ascii="TimesNewRomanPSMT" w:hAnsi="TimesNewRomanPSMT"/>
        </w:rPr>
        <w:t xml:space="preserve"> (IPEA).</w:t>
      </w:r>
    </w:p>
    <w:p w14:paraId="13D1360D" w14:textId="77777777" w:rsidR="009317AE" w:rsidRDefault="009317AE" w:rsidP="009317AE">
      <w:pPr>
        <w:pStyle w:val="NormalWeb"/>
        <w:jc w:val="both"/>
        <w:rPr>
          <w:rFonts w:ascii="TimesNewRomanPSMT" w:hAnsi="TimesNewRomanPSMT"/>
        </w:rPr>
      </w:pPr>
      <w:r w:rsidRPr="00B222D3">
        <w:rPr>
          <w:rFonts w:ascii="TimesNewRomanPSMT" w:hAnsi="TimesNewRomanPSMT"/>
        </w:rPr>
        <w:t xml:space="preserve">Almeida, </w:t>
      </w:r>
      <w:proofErr w:type="spellStart"/>
      <w:r w:rsidRPr="00B222D3">
        <w:rPr>
          <w:rFonts w:ascii="TimesNewRomanPSMT" w:hAnsi="TimesNewRomanPSMT"/>
        </w:rPr>
        <w:t>Wanderly</w:t>
      </w:r>
      <w:proofErr w:type="spellEnd"/>
      <w:r w:rsidRPr="00B222D3">
        <w:rPr>
          <w:rFonts w:ascii="TimesNewRomanPSMT" w:hAnsi="TimesNewRomanPSMT"/>
        </w:rPr>
        <w:t xml:space="preserve"> J. M. de, and José Luiz </w:t>
      </w:r>
      <w:proofErr w:type="spellStart"/>
      <w:r w:rsidRPr="00B222D3">
        <w:rPr>
          <w:rFonts w:ascii="TimesNewRomanPSMT" w:hAnsi="TimesNewRomanPSMT"/>
        </w:rPr>
        <w:t>Chautard</w:t>
      </w:r>
      <w:proofErr w:type="spellEnd"/>
      <w:r w:rsidRPr="00B222D3">
        <w:rPr>
          <w:rFonts w:ascii="TimesNewRomanPSMT" w:hAnsi="TimesNewRomanPSMT"/>
        </w:rPr>
        <w:t xml:space="preserve">. 1976. FGTS: Uma </w:t>
      </w:r>
      <w:proofErr w:type="spellStart"/>
      <w:r w:rsidRPr="00B222D3">
        <w:rPr>
          <w:rFonts w:ascii="TimesNewRomanPSMT" w:hAnsi="TimesNewRomanPSMT"/>
        </w:rPr>
        <w:t>política</w:t>
      </w:r>
      <w:proofErr w:type="spellEnd"/>
      <w:r w:rsidRPr="00B222D3">
        <w:rPr>
          <w:rFonts w:ascii="TimesNewRomanPSMT" w:hAnsi="TimesNewRomanPSMT"/>
        </w:rPr>
        <w:t xml:space="preserve"> de </w:t>
      </w:r>
      <w:proofErr w:type="spellStart"/>
      <w:r w:rsidRPr="00B222D3">
        <w:rPr>
          <w:rFonts w:ascii="TimesNewRomanPSMT" w:hAnsi="TimesNewRomanPSMT"/>
        </w:rPr>
        <w:t>bem</w:t>
      </w:r>
      <w:r>
        <w:rPr>
          <w:rFonts w:ascii="TimesNewRomanPSMT" w:hAnsi="TimesNewRomanPSMT"/>
        </w:rPr>
        <w:t>-</w:t>
      </w:r>
      <w:r w:rsidRPr="00B222D3">
        <w:rPr>
          <w:rFonts w:ascii="TimesNewRomanPSMT" w:hAnsi="TimesNewRomanPSMT"/>
        </w:rPr>
        <w:t>estar</w:t>
      </w:r>
      <w:proofErr w:type="spellEnd"/>
      <w:r w:rsidRPr="00B222D3">
        <w:rPr>
          <w:rFonts w:ascii="TimesNewRomanPSMT" w:hAnsi="TimesNewRomanPSMT"/>
        </w:rPr>
        <w:t xml:space="preserve"> social. IPEA/INPES Research Report no. 30. Institute for Applied Economic Research. </w:t>
      </w:r>
    </w:p>
    <w:p w14:paraId="5C135FEC" w14:textId="77777777" w:rsidR="009317AE" w:rsidRDefault="009317AE" w:rsidP="009317AE">
      <w:pPr>
        <w:pStyle w:val="NormalWeb"/>
        <w:jc w:val="both"/>
        <w:rPr>
          <w:rFonts w:ascii="TimesNewRomanPSMT" w:hAnsi="TimesNewRomanPSMT"/>
        </w:rPr>
      </w:pPr>
      <w:r w:rsidRPr="002F4BF1">
        <w:rPr>
          <w:rFonts w:ascii="TimesNewRomanPSMT" w:hAnsi="TimesNewRomanPSMT"/>
        </w:rPr>
        <w:t>A</w:t>
      </w:r>
      <w:r>
        <w:rPr>
          <w:rFonts w:ascii="TimesNewRomanPSMT" w:hAnsi="TimesNewRomanPSMT"/>
        </w:rPr>
        <w:t>madeo</w:t>
      </w:r>
      <w:r w:rsidRPr="002F4BF1">
        <w:rPr>
          <w:rFonts w:ascii="TimesNewRomanPSMT" w:hAnsi="TimesNewRomanPSMT"/>
        </w:rPr>
        <w:t>, E.; B</w:t>
      </w:r>
      <w:r>
        <w:rPr>
          <w:rFonts w:ascii="TimesNewRomanPSMT" w:hAnsi="TimesNewRomanPSMT"/>
        </w:rPr>
        <w:t>arros</w:t>
      </w:r>
      <w:r w:rsidRPr="002F4BF1">
        <w:rPr>
          <w:rFonts w:ascii="TimesNewRomanPSMT" w:hAnsi="TimesNewRomanPSMT"/>
        </w:rPr>
        <w:t>, R.P.; C</w:t>
      </w:r>
      <w:r>
        <w:rPr>
          <w:rFonts w:ascii="TimesNewRomanPSMT" w:hAnsi="TimesNewRomanPSMT"/>
        </w:rPr>
        <w:t>amargo</w:t>
      </w:r>
      <w:r w:rsidRPr="002F4BF1">
        <w:rPr>
          <w:rFonts w:ascii="TimesNewRomanPSMT" w:hAnsi="TimesNewRomanPSMT"/>
        </w:rPr>
        <w:t>, J.M.; G</w:t>
      </w:r>
      <w:r>
        <w:rPr>
          <w:rFonts w:ascii="TimesNewRomanPSMT" w:hAnsi="TimesNewRomanPSMT"/>
        </w:rPr>
        <w:t>onzaga</w:t>
      </w:r>
      <w:r w:rsidRPr="002F4BF1">
        <w:rPr>
          <w:rFonts w:ascii="TimesNewRomanPSMT" w:hAnsi="TimesNewRomanPSMT"/>
        </w:rPr>
        <w:t>, G.; M</w:t>
      </w:r>
      <w:r>
        <w:rPr>
          <w:rFonts w:ascii="TimesNewRomanPSMT" w:hAnsi="TimesNewRomanPSMT"/>
        </w:rPr>
        <w:t>endonça</w:t>
      </w:r>
      <w:r w:rsidRPr="002F4BF1">
        <w:rPr>
          <w:rFonts w:ascii="TimesNewRomanPSMT" w:hAnsi="TimesNewRomanPSMT"/>
        </w:rPr>
        <w:t xml:space="preserve">, R. </w:t>
      </w:r>
      <w:r>
        <w:rPr>
          <w:rFonts w:ascii="TimesNewRomanPSMT" w:hAnsi="TimesNewRomanPSMT"/>
        </w:rPr>
        <w:t xml:space="preserve">(1994). </w:t>
      </w:r>
      <w:r w:rsidRPr="002F4BF1">
        <w:rPr>
          <w:rFonts w:ascii="TimesNewRomanPSMT" w:hAnsi="TimesNewRomanPSMT"/>
        </w:rPr>
        <w:t xml:space="preserve">A </w:t>
      </w:r>
      <w:proofErr w:type="spellStart"/>
      <w:r w:rsidRPr="002F4BF1">
        <w:rPr>
          <w:rFonts w:ascii="TimesNewRomanPSMT" w:hAnsi="TimesNewRomanPSMT"/>
        </w:rPr>
        <w:t>natureza</w:t>
      </w:r>
      <w:proofErr w:type="spellEnd"/>
      <w:r w:rsidRPr="002F4BF1">
        <w:rPr>
          <w:rFonts w:ascii="TimesNewRomanPSMT" w:hAnsi="TimesNewRomanPSMT"/>
        </w:rPr>
        <w:t xml:space="preserve"> e o </w:t>
      </w:r>
      <w:proofErr w:type="spellStart"/>
      <w:r w:rsidRPr="002F4BF1">
        <w:rPr>
          <w:rFonts w:ascii="TimesNewRomanPSMT" w:hAnsi="TimesNewRomanPSMT"/>
        </w:rPr>
        <w:t>funcionamento</w:t>
      </w:r>
      <w:proofErr w:type="spellEnd"/>
      <w:r w:rsidRPr="002F4BF1">
        <w:rPr>
          <w:rFonts w:ascii="TimesNewRomanPSMT" w:hAnsi="TimesNewRomanPSMT"/>
        </w:rPr>
        <w:t xml:space="preserve"> do mercado de </w:t>
      </w:r>
      <w:proofErr w:type="spellStart"/>
      <w:r w:rsidRPr="002F4BF1">
        <w:rPr>
          <w:rFonts w:ascii="TimesNewRomanPSMT" w:hAnsi="TimesNewRomanPSMT"/>
        </w:rPr>
        <w:t>trabalho</w:t>
      </w:r>
      <w:proofErr w:type="spellEnd"/>
      <w:r w:rsidRPr="002F4BF1">
        <w:rPr>
          <w:rFonts w:ascii="TimesNewRomanPSMT" w:hAnsi="TimesNewRomanPSMT"/>
        </w:rPr>
        <w:t xml:space="preserve"> </w:t>
      </w:r>
      <w:proofErr w:type="spellStart"/>
      <w:r w:rsidRPr="002F4BF1">
        <w:rPr>
          <w:rFonts w:ascii="TimesNewRomanPSMT" w:hAnsi="TimesNewRomanPSMT"/>
        </w:rPr>
        <w:t>brasileiro</w:t>
      </w:r>
      <w:proofErr w:type="spellEnd"/>
      <w:r w:rsidRPr="002F4BF1">
        <w:rPr>
          <w:rFonts w:ascii="TimesNewRomanPSMT" w:hAnsi="TimesNewRomanPSMT"/>
        </w:rPr>
        <w:t xml:space="preserve"> </w:t>
      </w:r>
      <w:proofErr w:type="spellStart"/>
      <w:r w:rsidRPr="002F4BF1">
        <w:rPr>
          <w:rFonts w:ascii="TimesNewRomanPSMT" w:hAnsi="TimesNewRomanPSMT"/>
        </w:rPr>
        <w:t>desde</w:t>
      </w:r>
      <w:proofErr w:type="spellEnd"/>
      <w:r w:rsidRPr="002F4BF1">
        <w:rPr>
          <w:rFonts w:ascii="TimesNewRomanPSMT" w:hAnsi="TimesNewRomanPSMT"/>
        </w:rPr>
        <w:t xml:space="preserve"> 1980. </w:t>
      </w:r>
      <w:proofErr w:type="spellStart"/>
      <w:r w:rsidRPr="002F4BF1">
        <w:rPr>
          <w:rFonts w:ascii="TimesNewRomanPSMT" w:hAnsi="TimesNewRomanPSMT"/>
        </w:rPr>
        <w:t>Série</w:t>
      </w:r>
      <w:proofErr w:type="spellEnd"/>
      <w:r w:rsidRPr="002F4BF1">
        <w:rPr>
          <w:rFonts w:ascii="TimesNewRomanPSMT" w:hAnsi="TimesNewRomanPSMT"/>
        </w:rPr>
        <w:t xml:space="preserve"> </w:t>
      </w:r>
      <w:proofErr w:type="spellStart"/>
      <w:r w:rsidRPr="002F4BF1">
        <w:rPr>
          <w:rFonts w:ascii="TimesNewRomanPSMT" w:hAnsi="TimesNewRomanPSMT"/>
        </w:rPr>
        <w:t>Seminários</w:t>
      </w:r>
      <w:proofErr w:type="spellEnd"/>
      <w:r w:rsidRPr="002F4BF1">
        <w:rPr>
          <w:rFonts w:ascii="TimesNewRomanPSMT" w:hAnsi="TimesNewRomanPSMT"/>
        </w:rPr>
        <w:t xml:space="preserve">, </w:t>
      </w:r>
      <w:r>
        <w:rPr>
          <w:rFonts w:ascii="TimesNewRomanPSMT" w:hAnsi="TimesNewRomanPSMT"/>
        </w:rPr>
        <w:t xml:space="preserve">Instituto de </w:t>
      </w:r>
      <w:proofErr w:type="spellStart"/>
      <w:r>
        <w:rPr>
          <w:rFonts w:ascii="TimesNewRomanPSMT" w:hAnsi="TimesNewRomanPSMT"/>
        </w:rPr>
        <w:t>Pesquisa</w:t>
      </w:r>
      <w:proofErr w:type="spellEnd"/>
      <w:r>
        <w:rPr>
          <w:rFonts w:ascii="TimesNewRomanPSMT" w:hAnsi="TimesNewRomanPSMT"/>
        </w:rPr>
        <w:t xml:space="preserve"> </w:t>
      </w:r>
      <w:proofErr w:type="spellStart"/>
      <w:r>
        <w:rPr>
          <w:rFonts w:ascii="TimesNewRomanPSMT" w:hAnsi="TimesNewRomanPSMT"/>
        </w:rPr>
        <w:t>Econômica</w:t>
      </w:r>
      <w:proofErr w:type="spellEnd"/>
      <w:r>
        <w:rPr>
          <w:rFonts w:ascii="TimesNewRomanPSMT" w:hAnsi="TimesNewRomanPSMT"/>
        </w:rPr>
        <w:t xml:space="preserve"> </w:t>
      </w:r>
      <w:proofErr w:type="spellStart"/>
      <w:r>
        <w:rPr>
          <w:rFonts w:ascii="TimesNewRomanPSMT" w:hAnsi="TimesNewRomanPSMT"/>
        </w:rPr>
        <w:t>Aplicada</w:t>
      </w:r>
      <w:proofErr w:type="spellEnd"/>
      <w:r>
        <w:rPr>
          <w:rFonts w:ascii="TimesNewRomanPSMT" w:hAnsi="TimesNewRomanPSMT"/>
        </w:rPr>
        <w:t>.</w:t>
      </w:r>
      <w:r w:rsidRPr="002F4BF1">
        <w:rPr>
          <w:rFonts w:ascii="TimesNewRomanPSMT" w:hAnsi="TimesNewRomanPSMT"/>
        </w:rPr>
        <w:t xml:space="preserve"> </w:t>
      </w:r>
    </w:p>
    <w:p w14:paraId="6E53BA59" w14:textId="77777777" w:rsidR="009317AE" w:rsidRDefault="009317AE" w:rsidP="009317AE">
      <w:pPr>
        <w:pStyle w:val="NormalWeb"/>
        <w:jc w:val="both"/>
        <w:rPr>
          <w:rFonts w:ascii="TimesNewRomanPSMT" w:hAnsi="TimesNewRomanPSMT"/>
        </w:rPr>
      </w:pPr>
      <w:r w:rsidRPr="00B222D3">
        <w:rPr>
          <w:rFonts w:ascii="TimesNewRomanPSMT" w:hAnsi="TimesNewRomanPSMT"/>
        </w:rPr>
        <w:t>Amadeo, E</w:t>
      </w:r>
      <w:r>
        <w:rPr>
          <w:rFonts w:ascii="TimesNewRomanPSMT" w:hAnsi="TimesNewRomanPSMT"/>
        </w:rPr>
        <w:t>.</w:t>
      </w:r>
      <w:r w:rsidRPr="00B222D3">
        <w:rPr>
          <w:rFonts w:ascii="TimesNewRomanPSMT" w:hAnsi="TimesNewRomanPSMT"/>
        </w:rPr>
        <w:t>, and Camargo</w:t>
      </w:r>
      <w:r>
        <w:rPr>
          <w:rFonts w:ascii="TimesNewRomanPSMT" w:hAnsi="TimesNewRomanPSMT"/>
        </w:rPr>
        <w:t>, J. M.</w:t>
      </w:r>
      <w:r w:rsidRPr="00B222D3">
        <w:rPr>
          <w:rFonts w:ascii="TimesNewRomanPSMT" w:hAnsi="TimesNewRomanPSMT"/>
        </w:rPr>
        <w:t xml:space="preserve"> </w:t>
      </w:r>
      <w:r>
        <w:rPr>
          <w:rFonts w:ascii="TimesNewRomanPSMT" w:hAnsi="TimesNewRomanPSMT"/>
        </w:rPr>
        <w:t>(</w:t>
      </w:r>
      <w:r w:rsidRPr="00B222D3">
        <w:rPr>
          <w:rFonts w:ascii="TimesNewRomanPSMT" w:hAnsi="TimesNewRomanPSMT"/>
        </w:rPr>
        <w:t>1993</w:t>
      </w:r>
      <w:r>
        <w:rPr>
          <w:rFonts w:ascii="TimesNewRomanPSMT" w:hAnsi="TimesNewRomanPSMT"/>
        </w:rPr>
        <w:t>)</w:t>
      </w:r>
      <w:r w:rsidRPr="00B222D3">
        <w:rPr>
          <w:rFonts w:ascii="TimesNewRomanPSMT" w:hAnsi="TimesNewRomanPSMT"/>
        </w:rPr>
        <w:t xml:space="preserve">. </w:t>
      </w:r>
      <w:proofErr w:type="spellStart"/>
      <w:r w:rsidRPr="00B222D3">
        <w:rPr>
          <w:rFonts w:ascii="TimesNewRomanPSMT" w:hAnsi="TimesNewRomanPSMT"/>
        </w:rPr>
        <w:t>Labour</w:t>
      </w:r>
      <w:proofErr w:type="spellEnd"/>
      <w:r w:rsidRPr="00B222D3">
        <w:rPr>
          <w:rFonts w:ascii="TimesNewRomanPSMT" w:hAnsi="TimesNewRomanPSMT"/>
        </w:rPr>
        <w:t xml:space="preserve"> legislation and institutional aspects of the Brazilian </w:t>
      </w:r>
      <w:proofErr w:type="spellStart"/>
      <w:r w:rsidRPr="00B222D3">
        <w:rPr>
          <w:rFonts w:ascii="TimesNewRomanPSMT" w:hAnsi="TimesNewRomanPSMT"/>
        </w:rPr>
        <w:t>labour</w:t>
      </w:r>
      <w:proofErr w:type="spellEnd"/>
      <w:r w:rsidRPr="00B222D3">
        <w:rPr>
          <w:rFonts w:ascii="TimesNewRomanPSMT" w:hAnsi="TimesNewRomanPSMT"/>
        </w:rPr>
        <w:t xml:space="preserve"> market. </w:t>
      </w:r>
      <w:proofErr w:type="spellStart"/>
      <w:r w:rsidRPr="00B222D3">
        <w:rPr>
          <w:rFonts w:ascii="TimesNewRomanPSMT" w:hAnsi="TimesNewRomanPSMT"/>
          <w:i/>
          <w:iCs/>
        </w:rPr>
        <w:t>Labour</w:t>
      </w:r>
      <w:proofErr w:type="spellEnd"/>
      <w:r w:rsidRPr="00B222D3">
        <w:rPr>
          <w:rFonts w:ascii="TimesNewRomanPSMT" w:hAnsi="TimesNewRomanPSMT"/>
          <w:i/>
          <w:iCs/>
        </w:rPr>
        <w:t xml:space="preserve"> </w:t>
      </w:r>
      <w:r w:rsidRPr="00B222D3">
        <w:rPr>
          <w:rFonts w:ascii="TimesNewRomanPSMT" w:hAnsi="TimesNewRomanPSMT"/>
        </w:rPr>
        <w:t xml:space="preserve">7 (1): 321–54 </w:t>
      </w:r>
    </w:p>
    <w:p w14:paraId="1D20CB77" w14:textId="77777777" w:rsidR="009317AE" w:rsidRDefault="009317AE" w:rsidP="009317AE">
      <w:pPr>
        <w:pStyle w:val="NormalWeb"/>
        <w:jc w:val="both"/>
        <w:rPr>
          <w:rFonts w:ascii="TimesNewRomanPSMT" w:hAnsi="TimesNewRomanPSMT"/>
        </w:rPr>
      </w:pPr>
      <w:r w:rsidRPr="009F2111">
        <w:rPr>
          <w:rFonts w:ascii="TimesNewRomanPSMT" w:hAnsi="TimesNewRomanPSMT"/>
        </w:rPr>
        <w:t xml:space="preserve">Amadeo, E., Camargo, J. M., Barros, R. P. D., </w:t>
      </w:r>
      <w:proofErr w:type="spellStart"/>
      <w:r w:rsidRPr="009F2111">
        <w:rPr>
          <w:rFonts w:ascii="TimesNewRomanPSMT" w:hAnsi="TimesNewRomanPSMT"/>
        </w:rPr>
        <w:t>Urani</w:t>
      </w:r>
      <w:proofErr w:type="spellEnd"/>
      <w:r w:rsidRPr="009F2111">
        <w:rPr>
          <w:rFonts w:ascii="TimesNewRomanPSMT" w:hAnsi="TimesNewRomanPSMT"/>
        </w:rPr>
        <w:t xml:space="preserve">, A., Mendonça, R., &amp; Pero, V. (1993). </w:t>
      </w:r>
      <w:proofErr w:type="spellStart"/>
      <w:r w:rsidRPr="009F2111">
        <w:rPr>
          <w:rFonts w:ascii="TimesNewRomanPSMT" w:hAnsi="TimesNewRomanPSMT"/>
        </w:rPr>
        <w:t>Ajuste</w:t>
      </w:r>
      <w:proofErr w:type="spellEnd"/>
      <w:r w:rsidRPr="009F2111">
        <w:rPr>
          <w:rFonts w:ascii="TimesNewRomanPSMT" w:hAnsi="TimesNewRomanPSMT"/>
        </w:rPr>
        <w:t xml:space="preserve"> </w:t>
      </w:r>
      <w:proofErr w:type="spellStart"/>
      <w:r w:rsidRPr="009F2111">
        <w:rPr>
          <w:rFonts w:ascii="TimesNewRomanPSMT" w:hAnsi="TimesNewRomanPSMT"/>
        </w:rPr>
        <w:t>estrutural</w:t>
      </w:r>
      <w:proofErr w:type="spellEnd"/>
      <w:r w:rsidRPr="009F2111">
        <w:rPr>
          <w:rFonts w:ascii="TimesNewRomanPSMT" w:hAnsi="TimesNewRomanPSMT"/>
        </w:rPr>
        <w:t xml:space="preserve"> e </w:t>
      </w:r>
      <w:proofErr w:type="spellStart"/>
      <w:r w:rsidRPr="009F2111">
        <w:rPr>
          <w:rFonts w:ascii="TimesNewRomanPSMT" w:hAnsi="TimesNewRomanPSMT"/>
        </w:rPr>
        <w:t>flexibilidade</w:t>
      </w:r>
      <w:proofErr w:type="spellEnd"/>
      <w:r w:rsidRPr="009F2111">
        <w:rPr>
          <w:rFonts w:ascii="TimesNewRomanPSMT" w:hAnsi="TimesNewRomanPSMT"/>
        </w:rPr>
        <w:t xml:space="preserve"> do mercado de </w:t>
      </w:r>
      <w:proofErr w:type="spellStart"/>
      <w:r w:rsidRPr="009F2111">
        <w:rPr>
          <w:rFonts w:ascii="TimesNewRomanPSMT" w:hAnsi="TimesNewRomanPSMT"/>
        </w:rPr>
        <w:t>trabalho</w:t>
      </w:r>
      <w:proofErr w:type="spellEnd"/>
      <w:r w:rsidRPr="009F2111">
        <w:rPr>
          <w:rFonts w:ascii="TimesNewRomanPSMT" w:hAnsi="TimesNewRomanPSMT"/>
        </w:rPr>
        <w:t xml:space="preserve"> no </w:t>
      </w:r>
      <w:proofErr w:type="spellStart"/>
      <w:r w:rsidRPr="009F2111">
        <w:rPr>
          <w:rFonts w:ascii="TimesNewRomanPSMT" w:hAnsi="TimesNewRomanPSMT"/>
        </w:rPr>
        <w:t>Brasil</w:t>
      </w:r>
      <w:proofErr w:type="spellEnd"/>
      <w:r>
        <w:rPr>
          <w:rFonts w:ascii="TimesNewRomanPSMT" w:hAnsi="TimesNewRomanPSMT"/>
        </w:rPr>
        <w:t xml:space="preserve">, in: </w:t>
      </w:r>
      <w:proofErr w:type="spellStart"/>
      <w:r w:rsidRPr="00B222D3">
        <w:rPr>
          <w:rFonts w:ascii="TimesNewRomanPSMT" w:hAnsi="TimesNewRomanPSMT"/>
          <w:i/>
          <w:iCs/>
        </w:rPr>
        <w:t>Perspectivas</w:t>
      </w:r>
      <w:proofErr w:type="spellEnd"/>
      <w:r w:rsidRPr="00B222D3">
        <w:rPr>
          <w:rFonts w:ascii="TimesNewRomanPSMT" w:hAnsi="TimesNewRomanPSMT"/>
          <w:i/>
          <w:iCs/>
        </w:rPr>
        <w:t xml:space="preserve"> da </w:t>
      </w:r>
      <w:r>
        <w:rPr>
          <w:rFonts w:ascii="TimesNewRomanPSMT" w:hAnsi="TimesNewRomanPSMT"/>
          <w:i/>
          <w:iCs/>
        </w:rPr>
        <w:t>E</w:t>
      </w:r>
      <w:r w:rsidRPr="00B222D3">
        <w:rPr>
          <w:rFonts w:ascii="TimesNewRomanPSMT" w:hAnsi="TimesNewRomanPSMT"/>
          <w:i/>
          <w:iCs/>
        </w:rPr>
        <w:t xml:space="preserve">conomia </w:t>
      </w:r>
      <w:proofErr w:type="spellStart"/>
      <w:r>
        <w:rPr>
          <w:rFonts w:ascii="TimesNewRomanPSMT" w:hAnsi="TimesNewRomanPSMT"/>
          <w:i/>
          <w:iCs/>
        </w:rPr>
        <w:t>B</w:t>
      </w:r>
      <w:r w:rsidRPr="00B222D3">
        <w:rPr>
          <w:rFonts w:ascii="TimesNewRomanPSMT" w:hAnsi="TimesNewRomanPSMT"/>
          <w:i/>
          <w:iCs/>
        </w:rPr>
        <w:t>rasileira</w:t>
      </w:r>
      <w:proofErr w:type="spellEnd"/>
      <w:r>
        <w:rPr>
          <w:rFonts w:ascii="TimesNewRomanPSMT" w:hAnsi="TimesNewRomanPSMT"/>
          <w:i/>
          <w:iCs/>
        </w:rPr>
        <w:t xml:space="preserve">: </w:t>
      </w:r>
      <w:r w:rsidRPr="00B222D3">
        <w:rPr>
          <w:rFonts w:ascii="TimesNewRomanPSMT" w:hAnsi="TimesNewRomanPSMT"/>
          <w:i/>
          <w:iCs/>
        </w:rPr>
        <w:t>1994</w:t>
      </w:r>
      <w:r>
        <w:rPr>
          <w:rFonts w:ascii="TimesNewRomanPSMT" w:hAnsi="TimesNewRomanPSMT"/>
        </w:rPr>
        <w:t xml:space="preserve">, volume 2, pp. 583–610. </w:t>
      </w:r>
      <w:r w:rsidRPr="009F2111">
        <w:rPr>
          <w:rFonts w:ascii="TimesNewRomanPSMT" w:hAnsi="TimesNewRomanPSMT"/>
        </w:rPr>
        <w:t xml:space="preserve">Instituto de </w:t>
      </w:r>
      <w:proofErr w:type="spellStart"/>
      <w:r w:rsidRPr="009F2111">
        <w:rPr>
          <w:rFonts w:ascii="TimesNewRomanPSMT" w:hAnsi="TimesNewRomanPSMT"/>
        </w:rPr>
        <w:t>Pesquisa</w:t>
      </w:r>
      <w:proofErr w:type="spellEnd"/>
      <w:r w:rsidRPr="009F2111">
        <w:rPr>
          <w:rFonts w:ascii="TimesNewRomanPSMT" w:hAnsi="TimesNewRomanPSMT"/>
        </w:rPr>
        <w:t xml:space="preserve"> </w:t>
      </w:r>
      <w:proofErr w:type="spellStart"/>
      <w:r w:rsidRPr="009F2111">
        <w:rPr>
          <w:rFonts w:ascii="TimesNewRomanPSMT" w:hAnsi="TimesNewRomanPSMT"/>
        </w:rPr>
        <w:t>Econômica</w:t>
      </w:r>
      <w:proofErr w:type="spellEnd"/>
      <w:r w:rsidRPr="009F2111">
        <w:rPr>
          <w:rFonts w:ascii="TimesNewRomanPSMT" w:hAnsi="TimesNewRomanPSMT"/>
        </w:rPr>
        <w:t xml:space="preserve"> </w:t>
      </w:r>
      <w:proofErr w:type="spellStart"/>
      <w:r w:rsidRPr="009F2111">
        <w:rPr>
          <w:rFonts w:ascii="TimesNewRomanPSMT" w:hAnsi="TimesNewRomanPSMT"/>
        </w:rPr>
        <w:t>Aplicada</w:t>
      </w:r>
      <w:proofErr w:type="spellEnd"/>
      <w:r w:rsidRPr="009F2111">
        <w:rPr>
          <w:rFonts w:ascii="TimesNewRomanPSMT" w:hAnsi="TimesNewRomanPSMT"/>
        </w:rPr>
        <w:t xml:space="preserve">. </w:t>
      </w:r>
    </w:p>
    <w:p w14:paraId="0E2A53B3" w14:textId="77777777" w:rsidR="009317AE" w:rsidRDefault="009317AE" w:rsidP="009317AE">
      <w:pPr>
        <w:pStyle w:val="NormalWeb"/>
        <w:jc w:val="both"/>
        <w:rPr>
          <w:rFonts w:ascii="TimesNewRomanPSMT" w:hAnsi="TimesNewRomanPSMT"/>
        </w:rPr>
      </w:pPr>
      <w:r w:rsidRPr="00B222D3">
        <w:rPr>
          <w:rFonts w:ascii="TimesNewRomanPSMT" w:hAnsi="TimesNewRomanPSMT"/>
        </w:rPr>
        <w:t>Amadeo, E</w:t>
      </w:r>
      <w:r>
        <w:rPr>
          <w:rFonts w:ascii="TimesNewRomanPSMT" w:hAnsi="TimesNewRomanPSMT"/>
        </w:rPr>
        <w:t>.</w:t>
      </w:r>
      <w:r w:rsidRPr="00B222D3">
        <w:rPr>
          <w:rFonts w:ascii="TimesNewRomanPSMT" w:hAnsi="TimesNewRomanPSMT"/>
        </w:rPr>
        <w:t>, and Camargo</w:t>
      </w:r>
      <w:r>
        <w:rPr>
          <w:rFonts w:ascii="TimesNewRomanPSMT" w:hAnsi="TimesNewRomanPSMT"/>
        </w:rPr>
        <w:t>, J. M.</w:t>
      </w:r>
      <w:r w:rsidRPr="00B222D3">
        <w:rPr>
          <w:rFonts w:ascii="TimesNewRomanPSMT" w:hAnsi="TimesNewRomanPSMT"/>
        </w:rPr>
        <w:t xml:space="preserve"> </w:t>
      </w:r>
      <w:r>
        <w:rPr>
          <w:rFonts w:ascii="TimesNewRomanPSMT" w:hAnsi="TimesNewRomanPSMT"/>
        </w:rPr>
        <w:t>(</w:t>
      </w:r>
      <w:r w:rsidRPr="00B222D3">
        <w:rPr>
          <w:rFonts w:ascii="TimesNewRomanPSMT" w:hAnsi="TimesNewRomanPSMT"/>
        </w:rPr>
        <w:t>199</w:t>
      </w:r>
      <w:r>
        <w:rPr>
          <w:rFonts w:ascii="TimesNewRomanPSMT" w:hAnsi="TimesNewRomanPSMT"/>
        </w:rPr>
        <w:t>6)</w:t>
      </w:r>
      <w:r w:rsidRPr="00B222D3">
        <w:rPr>
          <w:rFonts w:ascii="TimesNewRomanPSMT" w:hAnsi="TimesNewRomanPSMT"/>
        </w:rPr>
        <w:t>.</w:t>
      </w:r>
      <w:r>
        <w:rPr>
          <w:rFonts w:ascii="TimesNewRomanPSMT" w:hAnsi="TimesNewRomanPSMT"/>
        </w:rPr>
        <w:t xml:space="preserve"> </w:t>
      </w:r>
      <w:proofErr w:type="spellStart"/>
      <w:r w:rsidRPr="00B222D3">
        <w:rPr>
          <w:rFonts w:ascii="TimesNewRomanPSMT" w:hAnsi="TimesNewRomanPSMT"/>
        </w:rPr>
        <w:t>Instituições</w:t>
      </w:r>
      <w:proofErr w:type="spellEnd"/>
      <w:r w:rsidRPr="00B222D3">
        <w:rPr>
          <w:rFonts w:ascii="TimesNewRomanPSMT" w:hAnsi="TimesNewRomanPSMT"/>
        </w:rPr>
        <w:t xml:space="preserve"> e o mercado de </w:t>
      </w:r>
      <w:proofErr w:type="spellStart"/>
      <w:r w:rsidRPr="00B222D3">
        <w:rPr>
          <w:rFonts w:ascii="TimesNewRomanPSMT" w:hAnsi="TimesNewRomanPSMT"/>
        </w:rPr>
        <w:t>trabalho</w:t>
      </w:r>
      <w:proofErr w:type="spellEnd"/>
      <w:r w:rsidRPr="00B222D3">
        <w:rPr>
          <w:rFonts w:ascii="TimesNewRomanPSMT" w:hAnsi="TimesNewRomanPSMT"/>
        </w:rPr>
        <w:t xml:space="preserve"> </w:t>
      </w:r>
      <w:proofErr w:type="spellStart"/>
      <w:r w:rsidRPr="00B222D3">
        <w:rPr>
          <w:rFonts w:ascii="TimesNewRomanPSMT" w:hAnsi="TimesNewRomanPSMT"/>
        </w:rPr>
        <w:t>brasileiro</w:t>
      </w:r>
      <w:proofErr w:type="spellEnd"/>
      <w:r w:rsidRPr="00B222D3">
        <w:rPr>
          <w:rFonts w:ascii="TimesNewRomanPSMT" w:hAnsi="TimesNewRomanPSMT"/>
        </w:rPr>
        <w:t xml:space="preserve">. In </w:t>
      </w:r>
      <w:proofErr w:type="spellStart"/>
      <w:r w:rsidRPr="00B222D3">
        <w:rPr>
          <w:rFonts w:ascii="TimesNewRomanPSMT" w:hAnsi="TimesNewRomanPSMT"/>
          <w:i/>
          <w:iCs/>
        </w:rPr>
        <w:t>Flexibilidade</w:t>
      </w:r>
      <w:proofErr w:type="spellEnd"/>
      <w:r w:rsidRPr="00B222D3">
        <w:rPr>
          <w:rFonts w:ascii="TimesNewRomanPSMT" w:hAnsi="TimesNewRomanPSMT"/>
          <w:i/>
          <w:iCs/>
        </w:rPr>
        <w:t xml:space="preserve"> do mercado de </w:t>
      </w:r>
      <w:proofErr w:type="spellStart"/>
      <w:r w:rsidRPr="00B222D3">
        <w:rPr>
          <w:rFonts w:ascii="TimesNewRomanPSMT" w:hAnsi="TimesNewRomanPSMT"/>
          <w:i/>
          <w:iCs/>
        </w:rPr>
        <w:t>trabalho</w:t>
      </w:r>
      <w:proofErr w:type="spellEnd"/>
      <w:r w:rsidRPr="00B222D3">
        <w:rPr>
          <w:rFonts w:ascii="TimesNewRomanPSMT" w:hAnsi="TimesNewRomanPSMT"/>
          <w:i/>
          <w:iCs/>
        </w:rPr>
        <w:t xml:space="preserve"> no </w:t>
      </w:r>
      <w:proofErr w:type="spellStart"/>
      <w:r w:rsidRPr="00B222D3">
        <w:rPr>
          <w:rFonts w:ascii="TimesNewRomanPSMT" w:hAnsi="TimesNewRomanPSMT"/>
          <w:i/>
          <w:iCs/>
        </w:rPr>
        <w:t>Brasil</w:t>
      </w:r>
      <w:proofErr w:type="spellEnd"/>
      <w:r w:rsidRPr="00B222D3">
        <w:rPr>
          <w:rFonts w:ascii="TimesNewRomanPSMT" w:hAnsi="TimesNewRomanPSMT"/>
          <w:i/>
          <w:iCs/>
        </w:rPr>
        <w:t xml:space="preserve">, </w:t>
      </w:r>
      <w:r w:rsidRPr="00B222D3">
        <w:rPr>
          <w:rFonts w:ascii="TimesNewRomanPSMT" w:hAnsi="TimesNewRomanPSMT"/>
        </w:rPr>
        <w:t xml:space="preserve">ed. José </w:t>
      </w:r>
      <w:proofErr w:type="spellStart"/>
      <w:r w:rsidRPr="00B222D3">
        <w:rPr>
          <w:rFonts w:ascii="TimesNewRomanPSMT" w:hAnsi="TimesNewRomanPSMT"/>
        </w:rPr>
        <w:t>Márcio</w:t>
      </w:r>
      <w:proofErr w:type="spellEnd"/>
      <w:r w:rsidRPr="00B222D3">
        <w:rPr>
          <w:rFonts w:ascii="TimesNewRomanPSMT" w:hAnsi="TimesNewRomanPSMT"/>
        </w:rPr>
        <w:t xml:space="preserve"> Camargo, 47–94. Rio de Janeiro, Brazil: FGV </w:t>
      </w:r>
    </w:p>
    <w:p w14:paraId="08D9A7BD" w14:textId="77777777" w:rsidR="009317AE" w:rsidRDefault="009317AE" w:rsidP="009317AE">
      <w:pPr>
        <w:pStyle w:val="NormalWeb"/>
        <w:jc w:val="both"/>
        <w:rPr>
          <w:rFonts w:ascii="TimesNewRomanPSMT" w:hAnsi="TimesNewRomanPSMT"/>
        </w:rPr>
      </w:pPr>
      <w:r w:rsidRPr="008B29D8">
        <w:rPr>
          <w:rFonts w:ascii="TimesNewRomanPSMT" w:hAnsi="TimesNewRomanPSMT"/>
        </w:rPr>
        <w:t xml:space="preserve">Bacha, E. L., Mata, M. D., &amp; </w:t>
      </w:r>
      <w:proofErr w:type="spellStart"/>
      <w:r w:rsidRPr="008B29D8">
        <w:rPr>
          <w:rFonts w:ascii="TimesNewRomanPSMT" w:hAnsi="TimesNewRomanPSMT"/>
        </w:rPr>
        <w:t>Modenesi</w:t>
      </w:r>
      <w:proofErr w:type="spellEnd"/>
      <w:r w:rsidRPr="008B29D8">
        <w:rPr>
          <w:rFonts w:ascii="TimesNewRomanPSMT" w:hAnsi="TimesNewRomanPSMT"/>
        </w:rPr>
        <w:t xml:space="preserve">, R. L. (1972). </w:t>
      </w:r>
      <w:proofErr w:type="spellStart"/>
      <w:r w:rsidRPr="008B29D8">
        <w:rPr>
          <w:rFonts w:ascii="TimesNewRomanPSMT" w:hAnsi="TimesNewRomanPSMT"/>
        </w:rPr>
        <w:t>Encargos</w:t>
      </w:r>
      <w:proofErr w:type="spellEnd"/>
      <w:r w:rsidRPr="008B29D8">
        <w:rPr>
          <w:rFonts w:ascii="TimesNewRomanPSMT" w:hAnsi="TimesNewRomanPSMT"/>
        </w:rPr>
        <w:t xml:space="preserve"> </w:t>
      </w:r>
      <w:proofErr w:type="spellStart"/>
      <w:r w:rsidRPr="008B29D8">
        <w:rPr>
          <w:rFonts w:ascii="TimesNewRomanPSMT" w:hAnsi="TimesNewRomanPSMT"/>
        </w:rPr>
        <w:t>trabalhistas</w:t>
      </w:r>
      <w:proofErr w:type="spellEnd"/>
      <w:r w:rsidRPr="008B29D8">
        <w:rPr>
          <w:rFonts w:ascii="TimesNewRomanPSMT" w:hAnsi="TimesNewRomanPSMT"/>
        </w:rPr>
        <w:t xml:space="preserve"> e </w:t>
      </w:r>
      <w:proofErr w:type="spellStart"/>
      <w:r w:rsidRPr="008B29D8">
        <w:rPr>
          <w:rFonts w:ascii="TimesNewRomanPSMT" w:hAnsi="TimesNewRomanPSMT"/>
        </w:rPr>
        <w:t>absorção</w:t>
      </w:r>
      <w:proofErr w:type="spellEnd"/>
      <w:r w:rsidRPr="008B29D8">
        <w:rPr>
          <w:rFonts w:ascii="TimesNewRomanPSMT" w:hAnsi="TimesNewRomanPSMT"/>
        </w:rPr>
        <w:t xml:space="preserve"> de </w:t>
      </w:r>
      <w:proofErr w:type="spellStart"/>
      <w:r w:rsidRPr="008B29D8">
        <w:rPr>
          <w:rFonts w:ascii="TimesNewRomanPSMT" w:hAnsi="TimesNewRomanPSMT"/>
        </w:rPr>
        <w:t>mão</w:t>
      </w:r>
      <w:proofErr w:type="spellEnd"/>
      <w:r w:rsidRPr="008B29D8">
        <w:rPr>
          <w:rFonts w:ascii="TimesNewRomanPSMT" w:hAnsi="TimesNewRomanPSMT"/>
        </w:rPr>
        <w:t>-de-</w:t>
      </w:r>
      <w:proofErr w:type="spellStart"/>
      <w:r w:rsidRPr="008B29D8">
        <w:rPr>
          <w:rFonts w:ascii="TimesNewRomanPSMT" w:hAnsi="TimesNewRomanPSMT"/>
        </w:rPr>
        <w:t>obra</w:t>
      </w:r>
      <w:proofErr w:type="spellEnd"/>
      <w:r w:rsidRPr="008B29D8">
        <w:rPr>
          <w:rFonts w:ascii="TimesNewRomanPSMT" w:hAnsi="TimesNewRomanPSMT"/>
        </w:rPr>
        <w:t xml:space="preserve">: </w:t>
      </w:r>
      <w:proofErr w:type="spellStart"/>
      <w:r w:rsidRPr="008B29D8">
        <w:rPr>
          <w:rFonts w:ascii="TimesNewRomanPSMT" w:hAnsi="TimesNewRomanPSMT"/>
        </w:rPr>
        <w:t>uma</w:t>
      </w:r>
      <w:proofErr w:type="spellEnd"/>
      <w:r w:rsidRPr="008B29D8">
        <w:rPr>
          <w:rFonts w:ascii="TimesNewRomanPSMT" w:hAnsi="TimesNewRomanPSMT"/>
        </w:rPr>
        <w:t xml:space="preserve"> </w:t>
      </w:r>
      <w:proofErr w:type="spellStart"/>
      <w:r w:rsidRPr="008B29D8">
        <w:rPr>
          <w:rFonts w:ascii="TimesNewRomanPSMT" w:hAnsi="TimesNewRomanPSMT"/>
        </w:rPr>
        <w:t>interpretação</w:t>
      </w:r>
      <w:proofErr w:type="spellEnd"/>
      <w:r w:rsidRPr="008B29D8">
        <w:rPr>
          <w:rFonts w:ascii="TimesNewRomanPSMT" w:hAnsi="TimesNewRomanPSMT"/>
        </w:rPr>
        <w:t xml:space="preserve"> do </w:t>
      </w:r>
      <w:proofErr w:type="spellStart"/>
      <w:r w:rsidRPr="008B29D8">
        <w:rPr>
          <w:rFonts w:ascii="TimesNewRomanPSMT" w:hAnsi="TimesNewRomanPSMT"/>
        </w:rPr>
        <w:t>problema</w:t>
      </w:r>
      <w:proofErr w:type="spellEnd"/>
      <w:r w:rsidRPr="008B29D8">
        <w:rPr>
          <w:rFonts w:ascii="TimesNewRomanPSMT" w:hAnsi="TimesNewRomanPSMT"/>
        </w:rPr>
        <w:t xml:space="preserve"> e </w:t>
      </w:r>
      <w:proofErr w:type="spellStart"/>
      <w:r w:rsidRPr="008B29D8">
        <w:rPr>
          <w:rFonts w:ascii="TimesNewRomanPSMT" w:hAnsi="TimesNewRomanPSMT"/>
        </w:rPr>
        <w:t>seu</w:t>
      </w:r>
      <w:proofErr w:type="spellEnd"/>
      <w:r w:rsidRPr="008B29D8">
        <w:rPr>
          <w:rFonts w:ascii="TimesNewRomanPSMT" w:hAnsi="TimesNewRomanPSMT"/>
        </w:rPr>
        <w:t xml:space="preserve"> debate.</w:t>
      </w:r>
      <w:r>
        <w:rPr>
          <w:rFonts w:ascii="TimesNewRomanPSMT" w:hAnsi="TimesNewRomanPSMT"/>
        </w:rPr>
        <w:t xml:space="preserve"> </w:t>
      </w:r>
      <w:proofErr w:type="spellStart"/>
      <w:r>
        <w:rPr>
          <w:rFonts w:ascii="TimesNewRomanPSMT" w:hAnsi="TimesNewRomanPSMT"/>
        </w:rPr>
        <w:t>Relatório</w:t>
      </w:r>
      <w:proofErr w:type="spellEnd"/>
      <w:r>
        <w:rPr>
          <w:rFonts w:ascii="TimesNewRomanPSMT" w:hAnsi="TimesNewRomanPSMT"/>
        </w:rPr>
        <w:t xml:space="preserve"> de </w:t>
      </w:r>
      <w:proofErr w:type="spellStart"/>
      <w:r>
        <w:rPr>
          <w:rFonts w:ascii="TimesNewRomanPSMT" w:hAnsi="TimesNewRomanPSMT"/>
        </w:rPr>
        <w:t>Pesquisa</w:t>
      </w:r>
      <w:proofErr w:type="spellEnd"/>
      <w:r>
        <w:rPr>
          <w:rFonts w:ascii="TimesNewRomanPSMT" w:hAnsi="TimesNewRomanPSMT"/>
        </w:rPr>
        <w:t xml:space="preserve"> nº 12, IPEA/INPES.</w:t>
      </w:r>
    </w:p>
    <w:p w14:paraId="21594782" w14:textId="4C681038" w:rsidR="009317AE" w:rsidRDefault="009317AE" w:rsidP="009317AE">
      <w:pPr>
        <w:pStyle w:val="NormalWeb"/>
        <w:jc w:val="both"/>
        <w:rPr>
          <w:rFonts w:ascii="TimesNewRomanPSMT" w:hAnsi="TimesNewRomanPSMT"/>
        </w:rPr>
      </w:pPr>
      <w:r w:rsidRPr="002F4BF1">
        <w:rPr>
          <w:rFonts w:ascii="TimesNewRomanPSMT" w:hAnsi="TimesNewRomanPSMT"/>
        </w:rPr>
        <w:t>B</w:t>
      </w:r>
      <w:r>
        <w:rPr>
          <w:rFonts w:ascii="TimesNewRomanPSMT" w:hAnsi="TimesNewRomanPSMT"/>
        </w:rPr>
        <w:t>arros</w:t>
      </w:r>
      <w:r w:rsidRPr="002F4BF1">
        <w:rPr>
          <w:rFonts w:ascii="TimesNewRomanPSMT" w:hAnsi="TimesNewRomanPSMT"/>
        </w:rPr>
        <w:t>, R.P., M</w:t>
      </w:r>
      <w:r>
        <w:rPr>
          <w:rFonts w:ascii="TimesNewRomanPSMT" w:hAnsi="TimesNewRomanPSMT"/>
        </w:rPr>
        <w:t>ello</w:t>
      </w:r>
      <w:r w:rsidRPr="002F4BF1">
        <w:rPr>
          <w:rFonts w:ascii="TimesNewRomanPSMT" w:hAnsi="TimesNewRomanPSMT"/>
        </w:rPr>
        <w:t>, R.; P</w:t>
      </w:r>
      <w:r>
        <w:rPr>
          <w:rFonts w:ascii="TimesNewRomanPSMT" w:hAnsi="TimesNewRomanPSMT"/>
        </w:rPr>
        <w:t>ero</w:t>
      </w:r>
      <w:r w:rsidRPr="002F4BF1">
        <w:rPr>
          <w:rFonts w:ascii="TimesNewRomanPSMT" w:hAnsi="TimesNewRomanPSMT"/>
        </w:rPr>
        <w:t xml:space="preserve">, V. </w:t>
      </w:r>
      <w:r>
        <w:rPr>
          <w:rFonts w:ascii="TimesNewRomanPSMT" w:hAnsi="TimesNewRomanPSMT"/>
        </w:rPr>
        <w:t xml:space="preserve">(1993) </w:t>
      </w:r>
      <w:r w:rsidRPr="002F4BF1">
        <w:rPr>
          <w:rFonts w:ascii="TimesNewRomanPSMT" w:hAnsi="TimesNewRomanPSMT"/>
        </w:rPr>
        <w:t xml:space="preserve">“Informal Labor Contracts: a solution or a problem?”. </w:t>
      </w:r>
      <w:proofErr w:type="spellStart"/>
      <w:r w:rsidRPr="002F4BF1">
        <w:rPr>
          <w:rFonts w:ascii="TimesNewRomanPSMT" w:hAnsi="TimesNewRomanPSMT"/>
        </w:rPr>
        <w:t>Texto</w:t>
      </w:r>
      <w:proofErr w:type="spellEnd"/>
      <w:r w:rsidRPr="002F4BF1">
        <w:rPr>
          <w:rFonts w:ascii="TimesNewRomanPSMT" w:hAnsi="TimesNewRomanPSMT"/>
        </w:rPr>
        <w:t xml:space="preserve"> para </w:t>
      </w:r>
      <w:proofErr w:type="spellStart"/>
      <w:r w:rsidRPr="002F4BF1">
        <w:rPr>
          <w:rFonts w:ascii="TimesNewRomanPSMT" w:hAnsi="TimesNewRomanPSMT"/>
        </w:rPr>
        <w:t>Discussão</w:t>
      </w:r>
      <w:proofErr w:type="spellEnd"/>
      <w:r w:rsidRPr="002F4BF1">
        <w:rPr>
          <w:rFonts w:ascii="TimesNewRomanPSMT" w:hAnsi="TimesNewRomanPSMT"/>
        </w:rPr>
        <w:t>, n.</w:t>
      </w:r>
      <w:r>
        <w:rPr>
          <w:rFonts w:ascii="TimesNewRomanPSMT" w:hAnsi="TimesNewRomanPSMT"/>
        </w:rPr>
        <w:t xml:space="preserve"> </w:t>
      </w:r>
      <w:r w:rsidRPr="002F4BF1">
        <w:rPr>
          <w:rFonts w:ascii="TimesNewRomanPSMT" w:hAnsi="TimesNewRomanPSMT"/>
        </w:rPr>
        <w:t>291</w:t>
      </w:r>
      <w:r>
        <w:rPr>
          <w:rFonts w:ascii="TimesNewRomanPSMT" w:hAnsi="TimesNewRomanPSMT"/>
        </w:rPr>
        <w:t xml:space="preserve">. Instituto de </w:t>
      </w:r>
      <w:proofErr w:type="spellStart"/>
      <w:r>
        <w:rPr>
          <w:rFonts w:ascii="TimesNewRomanPSMT" w:hAnsi="TimesNewRomanPSMT"/>
        </w:rPr>
        <w:t>Pesquisa</w:t>
      </w:r>
      <w:proofErr w:type="spellEnd"/>
      <w:r>
        <w:rPr>
          <w:rFonts w:ascii="TimesNewRomanPSMT" w:hAnsi="TimesNewRomanPSMT"/>
        </w:rPr>
        <w:t xml:space="preserve"> </w:t>
      </w:r>
      <w:proofErr w:type="spellStart"/>
      <w:r>
        <w:rPr>
          <w:rFonts w:ascii="TimesNewRomanPSMT" w:hAnsi="TimesNewRomanPSMT"/>
        </w:rPr>
        <w:t>Econômica</w:t>
      </w:r>
      <w:proofErr w:type="spellEnd"/>
      <w:r>
        <w:rPr>
          <w:rFonts w:ascii="TimesNewRomanPSMT" w:hAnsi="TimesNewRomanPSMT"/>
        </w:rPr>
        <w:t xml:space="preserve"> </w:t>
      </w:r>
      <w:proofErr w:type="spellStart"/>
      <w:r>
        <w:rPr>
          <w:rFonts w:ascii="TimesNewRomanPSMT" w:hAnsi="TimesNewRomanPSMT"/>
        </w:rPr>
        <w:t>Aplicada</w:t>
      </w:r>
      <w:proofErr w:type="spellEnd"/>
      <w:r>
        <w:rPr>
          <w:rFonts w:ascii="TimesNewRomanPSMT" w:hAnsi="TimesNewRomanPSMT"/>
        </w:rPr>
        <w:t>.</w:t>
      </w:r>
      <w:r w:rsidRPr="002F4BF1">
        <w:rPr>
          <w:rFonts w:ascii="TimesNewRomanPSMT" w:hAnsi="TimesNewRomanPSMT"/>
        </w:rPr>
        <w:t xml:space="preserve"> </w:t>
      </w:r>
    </w:p>
    <w:p w14:paraId="79191499" w14:textId="77777777" w:rsidR="009317AE" w:rsidRDefault="009317AE" w:rsidP="009317AE">
      <w:pPr>
        <w:pStyle w:val="NormalWeb"/>
        <w:jc w:val="both"/>
        <w:rPr>
          <w:rFonts w:ascii="TimesNewRomanPSMT" w:hAnsi="TimesNewRomanPSMT"/>
        </w:rPr>
      </w:pPr>
      <w:r w:rsidRPr="009F2111">
        <w:rPr>
          <w:rFonts w:ascii="TimesNewRomanPSMT" w:hAnsi="TimesNewRomanPSMT"/>
        </w:rPr>
        <w:t xml:space="preserve">Barros, R. P. D., &amp; Mendonça, R. S. P. D. (1997). </w:t>
      </w:r>
      <w:proofErr w:type="spellStart"/>
      <w:r w:rsidRPr="009F2111">
        <w:rPr>
          <w:rFonts w:ascii="TimesNewRomanPSMT" w:hAnsi="TimesNewRomanPSMT"/>
        </w:rPr>
        <w:t>Flexibilidade</w:t>
      </w:r>
      <w:proofErr w:type="spellEnd"/>
      <w:r w:rsidRPr="009F2111">
        <w:rPr>
          <w:rFonts w:ascii="TimesNewRomanPSMT" w:hAnsi="TimesNewRomanPSMT"/>
        </w:rPr>
        <w:t xml:space="preserve"> do mercado de </w:t>
      </w:r>
      <w:proofErr w:type="spellStart"/>
      <w:r w:rsidRPr="009F2111">
        <w:rPr>
          <w:rFonts w:ascii="TimesNewRomanPSMT" w:hAnsi="TimesNewRomanPSMT"/>
        </w:rPr>
        <w:t>trabalho</w:t>
      </w:r>
      <w:proofErr w:type="spellEnd"/>
      <w:r w:rsidRPr="009F2111">
        <w:rPr>
          <w:rFonts w:ascii="TimesNewRomanPSMT" w:hAnsi="TimesNewRomanPSMT"/>
        </w:rPr>
        <w:t xml:space="preserve"> </w:t>
      </w:r>
      <w:proofErr w:type="spellStart"/>
      <w:r w:rsidRPr="009F2111">
        <w:rPr>
          <w:rFonts w:ascii="TimesNewRomanPSMT" w:hAnsi="TimesNewRomanPSMT"/>
        </w:rPr>
        <w:t>brasileiro</w:t>
      </w:r>
      <w:proofErr w:type="spellEnd"/>
      <w:r w:rsidRPr="009F2111">
        <w:rPr>
          <w:rFonts w:ascii="TimesNewRomanPSMT" w:hAnsi="TimesNewRomanPSMT"/>
        </w:rPr>
        <w:t xml:space="preserve">: </w:t>
      </w:r>
      <w:proofErr w:type="spellStart"/>
      <w:r w:rsidRPr="009F2111">
        <w:rPr>
          <w:rFonts w:ascii="TimesNewRomanPSMT" w:hAnsi="TimesNewRomanPSMT"/>
        </w:rPr>
        <w:t>uma</w:t>
      </w:r>
      <w:proofErr w:type="spellEnd"/>
      <w:r w:rsidRPr="009F2111">
        <w:rPr>
          <w:rFonts w:ascii="TimesNewRomanPSMT" w:hAnsi="TimesNewRomanPSMT"/>
        </w:rPr>
        <w:t xml:space="preserve"> </w:t>
      </w:r>
      <w:proofErr w:type="spellStart"/>
      <w:r w:rsidRPr="009F2111">
        <w:rPr>
          <w:rFonts w:ascii="TimesNewRomanPSMT" w:hAnsi="TimesNewRomanPSMT"/>
        </w:rPr>
        <w:t>avaliação</w:t>
      </w:r>
      <w:proofErr w:type="spellEnd"/>
      <w:r w:rsidRPr="009F2111">
        <w:rPr>
          <w:rFonts w:ascii="TimesNewRomanPSMT" w:hAnsi="TimesNewRomanPSMT"/>
        </w:rPr>
        <w:t xml:space="preserve"> </w:t>
      </w:r>
      <w:proofErr w:type="spellStart"/>
      <w:r w:rsidRPr="009F2111">
        <w:rPr>
          <w:rFonts w:ascii="TimesNewRomanPSMT" w:hAnsi="TimesNewRomanPSMT"/>
        </w:rPr>
        <w:t>empírica</w:t>
      </w:r>
      <w:proofErr w:type="spellEnd"/>
      <w:r w:rsidRPr="009F2111">
        <w:rPr>
          <w:rFonts w:ascii="TimesNewRomanPSMT" w:hAnsi="TimesNewRomanPSMT"/>
        </w:rPr>
        <w:t xml:space="preserve">. </w:t>
      </w:r>
      <w:proofErr w:type="spellStart"/>
      <w:r w:rsidRPr="009F2111">
        <w:rPr>
          <w:rFonts w:ascii="TimesNewRomanPSMT" w:hAnsi="TimesNewRomanPSMT"/>
        </w:rPr>
        <w:t>Texto</w:t>
      </w:r>
      <w:proofErr w:type="spellEnd"/>
      <w:r w:rsidRPr="009F2111">
        <w:rPr>
          <w:rFonts w:ascii="TimesNewRomanPSMT" w:hAnsi="TimesNewRomanPSMT"/>
        </w:rPr>
        <w:t xml:space="preserve"> para </w:t>
      </w:r>
      <w:proofErr w:type="spellStart"/>
      <w:r w:rsidRPr="009F2111">
        <w:rPr>
          <w:rFonts w:ascii="TimesNewRomanPSMT" w:hAnsi="TimesNewRomanPSMT"/>
        </w:rPr>
        <w:t>Discussão</w:t>
      </w:r>
      <w:proofErr w:type="spellEnd"/>
      <w:r w:rsidRPr="009F2111">
        <w:rPr>
          <w:rFonts w:ascii="TimesNewRomanPSMT" w:hAnsi="TimesNewRomanPSMT"/>
        </w:rPr>
        <w:t xml:space="preserve"> nº 452. Instituto de </w:t>
      </w:r>
      <w:proofErr w:type="spellStart"/>
      <w:r w:rsidRPr="009F2111">
        <w:rPr>
          <w:rFonts w:ascii="TimesNewRomanPSMT" w:hAnsi="TimesNewRomanPSMT"/>
        </w:rPr>
        <w:t>Pesquisa</w:t>
      </w:r>
      <w:proofErr w:type="spellEnd"/>
      <w:r w:rsidRPr="009F2111">
        <w:rPr>
          <w:rFonts w:ascii="TimesNewRomanPSMT" w:hAnsi="TimesNewRomanPSMT"/>
        </w:rPr>
        <w:t xml:space="preserve"> </w:t>
      </w:r>
      <w:proofErr w:type="spellStart"/>
      <w:r w:rsidRPr="009F2111">
        <w:rPr>
          <w:rFonts w:ascii="TimesNewRomanPSMT" w:hAnsi="TimesNewRomanPSMT"/>
        </w:rPr>
        <w:t>Econômica</w:t>
      </w:r>
      <w:proofErr w:type="spellEnd"/>
      <w:r w:rsidRPr="009F2111">
        <w:rPr>
          <w:rFonts w:ascii="TimesNewRomanPSMT" w:hAnsi="TimesNewRomanPSMT"/>
        </w:rPr>
        <w:t xml:space="preserve"> </w:t>
      </w:r>
      <w:proofErr w:type="spellStart"/>
      <w:r w:rsidRPr="009F2111">
        <w:rPr>
          <w:rFonts w:ascii="TimesNewRomanPSMT" w:hAnsi="TimesNewRomanPSMT"/>
        </w:rPr>
        <w:t>Aplicada</w:t>
      </w:r>
      <w:proofErr w:type="spellEnd"/>
      <w:r w:rsidRPr="009F2111">
        <w:rPr>
          <w:rFonts w:ascii="TimesNewRomanPSMT" w:hAnsi="TimesNewRomanPSMT"/>
        </w:rPr>
        <w:t xml:space="preserve">. </w:t>
      </w:r>
    </w:p>
    <w:p w14:paraId="523831A2" w14:textId="77777777" w:rsidR="009317AE" w:rsidRDefault="009317AE" w:rsidP="009317AE">
      <w:pPr>
        <w:pStyle w:val="NormalWeb"/>
        <w:jc w:val="both"/>
        <w:rPr>
          <w:rFonts w:ascii="TimesNewRomanPSMT" w:hAnsi="TimesNewRomanPSMT"/>
        </w:rPr>
      </w:pPr>
      <w:r w:rsidRPr="00873CD0">
        <w:rPr>
          <w:rFonts w:ascii="TimesNewRomanPSMT" w:hAnsi="TimesNewRomanPSMT"/>
        </w:rPr>
        <w:t xml:space="preserve">Barros, R. P. D., &amp; Corseuil, C. H. (2004). The impact of regulations on Brazilian labor market performance. In J. Heckman (Ed.), </w:t>
      </w:r>
      <w:r w:rsidRPr="00873CD0">
        <w:rPr>
          <w:rFonts w:ascii="TimesNewRomanPSMT" w:hAnsi="TimesNewRomanPSMT"/>
          <w:i/>
          <w:iCs/>
        </w:rPr>
        <w:t>Law and employment: Lessons from Latin America and the Caribbean</w:t>
      </w:r>
      <w:r w:rsidRPr="00873CD0">
        <w:rPr>
          <w:rFonts w:ascii="TimesNewRomanPSMT" w:hAnsi="TimesNewRomanPSMT"/>
        </w:rPr>
        <w:t xml:space="preserve"> (pp. 273-350). University of Chicago Press.</w:t>
      </w:r>
    </w:p>
    <w:p w14:paraId="50D4FE06" w14:textId="77777777" w:rsidR="009317AE" w:rsidRDefault="009317AE" w:rsidP="009317AE">
      <w:pPr>
        <w:pStyle w:val="NormalWeb"/>
        <w:jc w:val="both"/>
        <w:rPr>
          <w:rFonts w:ascii="TimesNewRomanPSMT" w:hAnsi="TimesNewRomanPSMT"/>
        </w:rPr>
      </w:pPr>
      <w:r w:rsidRPr="009F2111">
        <w:rPr>
          <w:rFonts w:ascii="TimesNewRomanPSMT" w:hAnsi="TimesNewRomanPSMT"/>
        </w:rPr>
        <w:t xml:space="preserve">Barros, R. P. D., Corseuil, C. H., &amp; Gonzaga, G. (1999). Labor Market Regulation and the Demand for Labor in Brazil. Discussion Paper n. 84. Instituto de </w:t>
      </w:r>
      <w:proofErr w:type="spellStart"/>
      <w:r w:rsidRPr="009F2111">
        <w:rPr>
          <w:rFonts w:ascii="TimesNewRomanPSMT" w:hAnsi="TimesNewRomanPSMT"/>
        </w:rPr>
        <w:t>Pesquisa</w:t>
      </w:r>
      <w:proofErr w:type="spellEnd"/>
      <w:r w:rsidRPr="009F2111">
        <w:rPr>
          <w:rFonts w:ascii="TimesNewRomanPSMT" w:hAnsi="TimesNewRomanPSMT"/>
        </w:rPr>
        <w:t xml:space="preserve"> </w:t>
      </w:r>
      <w:proofErr w:type="spellStart"/>
      <w:r w:rsidRPr="009F2111">
        <w:rPr>
          <w:rFonts w:ascii="TimesNewRomanPSMT" w:hAnsi="TimesNewRomanPSMT"/>
        </w:rPr>
        <w:t>Econômica</w:t>
      </w:r>
      <w:proofErr w:type="spellEnd"/>
      <w:r w:rsidRPr="009F2111">
        <w:rPr>
          <w:rFonts w:ascii="TimesNewRomanPSMT" w:hAnsi="TimesNewRomanPSMT"/>
        </w:rPr>
        <w:t xml:space="preserve"> </w:t>
      </w:r>
      <w:proofErr w:type="spellStart"/>
      <w:r w:rsidRPr="009F2111">
        <w:rPr>
          <w:rFonts w:ascii="TimesNewRomanPSMT" w:hAnsi="TimesNewRomanPSMT"/>
        </w:rPr>
        <w:t>Aplicada</w:t>
      </w:r>
      <w:proofErr w:type="spellEnd"/>
      <w:r w:rsidRPr="009F2111">
        <w:rPr>
          <w:rFonts w:ascii="TimesNewRomanPSMT" w:hAnsi="TimesNewRomanPSMT"/>
        </w:rPr>
        <w:t>.</w:t>
      </w:r>
    </w:p>
    <w:p w14:paraId="162214C8" w14:textId="77777777" w:rsidR="009317AE" w:rsidRDefault="009317AE" w:rsidP="009317AE">
      <w:pPr>
        <w:pStyle w:val="NormalWeb"/>
        <w:jc w:val="both"/>
        <w:rPr>
          <w:rFonts w:ascii="TimesNewRomanPSMT" w:hAnsi="TimesNewRomanPSMT"/>
        </w:rPr>
      </w:pPr>
      <w:r w:rsidRPr="00E217EB">
        <w:rPr>
          <w:rFonts w:ascii="TimesNewRomanPSMT" w:hAnsi="TimesNewRomanPSMT"/>
        </w:rPr>
        <w:t>Cardoso, A. M., &amp; Lage, T. (2007). </w:t>
      </w:r>
      <w:r w:rsidRPr="00E217EB">
        <w:rPr>
          <w:rFonts w:ascii="TimesNewRomanPSMT" w:hAnsi="TimesNewRomanPSMT"/>
          <w:i/>
          <w:iCs/>
        </w:rPr>
        <w:t xml:space="preserve">As </w:t>
      </w:r>
      <w:proofErr w:type="spellStart"/>
      <w:r w:rsidRPr="00E217EB">
        <w:rPr>
          <w:rFonts w:ascii="TimesNewRomanPSMT" w:hAnsi="TimesNewRomanPSMT"/>
          <w:i/>
          <w:iCs/>
        </w:rPr>
        <w:t>normas</w:t>
      </w:r>
      <w:proofErr w:type="spellEnd"/>
      <w:r w:rsidRPr="00E217EB">
        <w:rPr>
          <w:rFonts w:ascii="TimesNewRomanPSMT" w:hAnsi="TimesNewRomanPSMT"/>
          <w:i/>
          <w:iCs/>
        </w:rPr>
        <w:t xml:space="preserve"> e </w:t>
      </w:r>
      <w:proofErr w:type="spellStart"/>
      <w:r w:rsidRPr="00E217EB">
        <w:rPr>
          <w:rFonts w:ascii="TimesNewRomanPSMT" w:hAnsi="TimesNewRomanPSMT"/>
          <w:i/>
          <w:iCs/>
        </w:rPr>
        <w:t>os</w:t>
      </w:r>
      <w:proofErr w:type="spellEnd"/>
      <w:r w:rsidRPr="00E217EB">
        <w:rPr>
          <w:rFonts w:ascii="TimesNewRomanPSMT" w:hAnsi="TimesNewRomanPSMT"/>
          <w:i/>
          <w:iCs/>
        </w:rPr>
        <w:t xml:space="preserve"> </w:t>
      </w:r>
      <w:proofErr w:type="spellStart"/>
      <w:r w:rsidRPr="00E217EB">
        <w:rPr>
          <w:rFonts w:ascii="TimesNewRomanPSMT" w:hAnsi="TimesNewRomanPSMT"/>
          <w:i/>
          <w:iCs/>
        </w:rPr>
        <w:t>fatos</w:t>
      </w:r>
      <w:proofErr w:type="spellEnd"/>
      <w:r w:rsidRPr="00E217EB">
        <w:rPr>
          <w:rFonts w:ascii="TimesNewRomanPSMT" w:hAnsi="TimesNewRomanPSMT"/>
          <w:i/>
          <w:iCs/>
        </w:rPr>
        <w:t xml:space="preserve">: </w:t>
      </w:r>
      <w:proofErr w:type="spellStart"/>
      <w:r w:rsidRPr="00E217EB">
        <w:rPr>
          <w:rFonts w:ascii="TimesNewRomanPSMT" w:hAnsi="TimesNewRomanPSMT"/>
          <w:i/>
          <w:iCs/>
        </w:rPr>
        <w:t>desenho</w:t>
      </w:r>
      <w:proofErr w:type="spellEnd"/>
      <w:r w:rsidRPr="00E217EB">
        <w:rPr>
          <w:rFonts w:ascii="TimesNewRomanPSMT" w:hAnsi="TimesNewRomanPSMT"/>
          <w:i/>
          <w:iCs/>
        </w:rPr>
        <w:t xml:space="preserve"> e </w:t>
      </w:r>
      <w:proofErr w:type="spellStart"/>
      <w:r w:rsidRPr="00E217EB">
        <w:rPr>
          <w:rFonts w:ascii="TimesNewRomanPSMT" w:hAnsi="TimesNewRomanPSMT"/>
          <w:i/>
          <w:iCs/>
        </w:rPr>
        <w:t>efetividade</w:t>
      </w:r>
      <w:proofErr w:type="spellEnd"/>
      <w:r w:rsidRPr="00E217EB">
        <w:rPr>
          <w:rFonts w:ascii="TimesNewRomanPSMT" w:hAnsi="TimesNewRomanPSMT"/>
          <w:i/>
          <w:iCs/>
        </w:rPr>
        <w:t xml:space="preserve"> das </w:t>
      </w:r>
      <w:proofErr w:type="spellStart"/>
      <w:r w:rsidRPr="00E217EB">
        <w:rPr>
          <w:rFonts w:ascii="TimesNewRomanPSMT" w:hAnsi="TimesNewRomanPSMT"/>
          <w:i/>
          <w:iCs/>
        </w:rPr>
        <w:t>instituições</w:t>
      </w:r>
      <w:proofErr w:type="spellEnd"/>
      <w:r w:rsidRPr="00E217EB">
        <w:rPr>
          <w:rFonts w:ascii="TimesNewRomanPSMT" w:hAnsi="TimesNewRomanPSMT"/>
          <w:i/>
          <w:iCs/>
        </w:rPr>
        <w:t xml:space="preserve"> de </w:t>
      </w:r>
      <w:proofErr w:type="spellStart"/>
      <w:r w:rsidRPr="00E217EB">
        <w:rPr>
          <w:rFonts w:ascii="TimesNewRomanPSMT" w:hAnsi="TimesNewRomanPSMT"/>
          <w:i/>
          <w:iCs/>
        </w:rPr>
        <w:t>regulação</w:t>
      </w:r>
      <w:proofErr w:type="spellEnd"/>
      <w:r w:rsidRPr="00E217EB">
        <w:rPr>
          <w:rFonts w:ascii="TimesNewRomanPSMT" w:hAnsi="TimesNewRomanPSMT"/>
          <w:i/>
          <w:iCs/>
        </w:rPr>
        <w:t xml:space="preserve"> do mercado de </w:t>
      </w:r>
      <w:proofErr w:type="spellStart"/>
      <w:r w:rsidRPr="00E217EB">
        <w:rPr>
          <w:rFonts w:ascii="TimesNewRomanPSMT" w:hAnsi="TimesNewRomanPSMT"/>
          <w:i/>
          <w:iCs/>
        </w:rPr>
        <w:t>trabalho</w:t>
      </w:r>
      <w:proofErr w:type="spellEnd"/>
      <w:r w:rsidRPr="00E217EB">
        <w:rPr>
          <w:rFonts w:ascii="TimesNewRomanPSMT" w:hAnsi="TimesNewRomanPSMT"/>
          <w:i/>
          <w:iCs/>
        </w:rPr>
        <w:t xml:space="preserve"> no </w:t>
      </w:r>
      <w:proofErr w:type="spellStart"/>
      <w:r w:rsidRPr="00E217EB">
        <w:rPr>
          <w:rFonts w:ascii="TimesNewRomanPSMT" w:hAnsi="TimesNewRomanPSMT"/>
          <w:i/>
          <w:iCs/>
        </w:rPr>
        <w:t>Brasil</w:t>
      </w:r>
      <w:proofErr w:type="spellEnd"/>
      <w:r w:rsidRPr="00E217EB">
        <w:rPr>
          <w:rFonts w:ascii="TimesNewRomanPSMT" w:hAnsi="TimesNewRomanPSMT"/>
        </w:rPr>
        <w:t xml:space="preserve">. FGV </w:t>
      </w:r>
      <w:proofErr w:type="spellStart"/>
      <w:r w:rsidRPr="00E217EB">
        <w:rPr>
          <w:rFonts w:ascii="TimesNewRomanPSMT" w:hAnsi="TimesNewRomanPSMT"/>
        </w:rPr>
        <w:t>Editora</w:t>
      </w:r>
      <w:proofErr w:type="spellEnd"/>
      <w:r w:rsidRPr="00E217EB">
        <w:rPr>
          <w:rFonts w:ascii="TimesNewRomanPSMT" w:hAnsi="TimesNewRomanPSMT"/>
        </w:rPr>
        <w:t>.</w:t>
      </w:r>
    </w:p>
    <w:p w14:paraId="34840603" w14:textId="77777777" w:rsidR="009317AE" w:rsidRPr="002F4BF1" w:rsidRDefault="009317AE" w:rsidP="009317AE">
      <w:pPr>
        <w:pStyle w:val="NormalWeb"/>
        <w:jc w:val="both"/>
        <w:rPr>
          <w:rFonts w:ascii="TimesNewRomanPSMT" w:hAnsi="TimesNewRomanPSMT"/>
        </w:rPr>
      </w:pPr>
      <w:r w:rsidRPr="002F4BF1">
        <w:rPr>
          <w:rFonts w:ascii="TimesNewRomanPSMT" w:hAnsi="TimesNewRomanPSMT"/>
        </w:rPr>
        <w:lastRenderedPageBreak/>
        <w:t>C</w:t>
      </w:r>
      <w:r>
        <w:rPr>
          <w:rFonts w:ascii="TimesNewRomanPSMT" w:hAnsi="TimesNewRomanPSMT"/>
        </w:rPr>
        <w:t>arneiro</w:t>
      </w:r>
      <w:r w:rsidRPr="002F4BF1">
        <w:rPr>
          <w:rFonts w:ascii="TimesNewRomanPSMT" w:hAnsi="TimesNewRomanPSMT"/>
        </w:rPr>
        <w:t>, F.G.; H</w:t>
      </w:r>
      <w:r>
        <w:rPr>
          <w:rFonts w:ascii="TimesNewRomanPSMT" w:hAnsi="TimesNewRomanPSMT"/>
        </w:rPr>
        <w:t>enley</w:t>
      </w:r>
      <w:r w:rsidRPr="002F4BF1">
        <w:rPr>
          <w:rFonts w:ascii="TimesNewRomanPSMT" w:hAnsi="TimesNewRomanPSMT"/>
        </w:rPr>
        <w:t>, A. Modelling Formal vs. Informal Employment and Earnings: microeconomic evidence for Brazil</w:t>
      </w:r>
      <w:r>
        <w:rPr>
          <w:rFonts w:ascii="TimesNewRomanPSMT" w:hAnsi="TimesNewRomanPSMT"/>
        </w:rPr>
        <w:t>.</w:t>
      </w:r>
      <w:r w:rsidRPr="002F4BF1">
        <w:rPr>
          <w:rFonts w:ascii="TimesNewRomanPSMT" w:hAnsi="TimesNewRomanPSMT"/>
        </w:rPr>
        <w:t xml:space="preserve"> Anais do XXIX </w:t>
      </w:r>
      <w:proofErr w:type="spellStart"/>
      <w:r w:rsidRPr="002F4BF1">
        <w:rPr>
          <w:rFonts w:ascii="TimesNewRomanPSMT" w:hAnsi="TimesNewRomanPSMT"/>
        </w:rPr>
        <w:t>Encontro</w:t>
      </w:r>
      <w:proofErr w:type="spellEnd"/>
      <w:r w:rsidRPr="002F4BF1">
        <w:rPr>
          <w:rFonts w:ascii="TimesNewRomanPSMT" w:hAnsi="TimesNewRomanPSMT"/>
        </w:rPr>
        <w:t xml:space="preserve"> Nacional da A</w:t>
      </w:r>
      <w:r>
        <w:rPr>
          <w:rFonts w:ascii="TimesNewRomanPSMT" w:hAnsi="TimesNewRomanPSMT"/>
        </w:rPr>
        <w:t>NPEC</w:t>
      </w:r>
      <w:r w:rsidRPr="002F4BF1">
        <w:rPr>
          <w:rFonts w:ascii="TimesNewRomanPSMT" w:hAnsi="TimesNewRomanPSMT"/>
        </w:rPr>
        <w:t xml:space="preserve">, 2001. </w:t>
      </w:r>
    </w:p>
    <w:p w14:paraId="47E77443" w14:textId="77777777" w:rsidR="009317AE" w:rsidRDefault="009317AE" w:rsidP="009317AE">
      <w:pPr>
        <w:pStyle w:val="NormalWeb"/>
        <w:jc w:val="both"/>
        <w:rPr>
          <w:rFonts w:ascii="TimesNewRomanPSMT" w:hAnsi="TimesNewRomanPSMT"/>
        </w:rPr>
      </w:pPr>
      <w:r w:rsidRPr="008C3AF3">
        <w:rPr>
          <w:rFonts w:ascii="TimesNewRomanPSMT" w:hAnsi="TimesNewRomanPSMT"/>
        </w:rPr>
        <w:t xml:space="preserve">Carvalho, C. E., &amp; Pinheiro, M. M. S. (1999). FGTS: </w:t>
      </w:r>
      <w:proofErr w:type="spellStart"/>
      <w:r w:rsidRPr="008C3AF3">
        <w:rPr>
          <w:rFonts w:ascii="TimesNewRomanPSMT" w:hAnsi="TimesNewRomanPSMT"/>
        </w:rPr>
        <w:t>avaliação</w:t>
      </w:r>
      <w:proofErr w:type="spellEnd"/>
      <w:r w:rsidRPr="008C3AF3">
        <w:rPr>
          <w:rFonts w:ascii="TimesNewRomanPSMT" w:hAnsi="TimesNewRomanPSMT"/>
        </w:rPr>
        <w:t xml:space="preserve"> das </w:t>
      </w:r>
      <w:proofErr w:type="spellStart"/>
      <w:r w:rsidRPr="008C3AF3">
        <w:rPr>
          <w:rFonts w:ascii="TimesNewRomanPSMT" w:hAnsi="TimesNewRomanPSMT"/>
        </w:rPr>
        <w:t>propostas</w:t>
      </w:r>
      <w:proofErr w:type="spellEnd"/>
      <w:r w:rsidRPr="008C3AF3">
        <w:rPr>
          <w:rFonts w:ascii="TimesNewRomanPSMT" w:hAnsi="TimesNewRomanPSMT"/>
        </w:rPr>
        <w:t xml:space="preserve"> de </w:t>
      </w:r>
      <w:proofErr w:type="spellStart"/>
      <w:r w:rsidRPr="008C3AF3">
        <w:rPr>
          <w:rFonts w:ascii="TimesNewRomanPSMT" w:hAnsi="TimesNewRomanPSMT"/>
        </w:rPr>
        <w:t>reforma</w:t>
      </w:r>
      <w:proofErr w:type="spellEnd"/>
      <w:r w:rsidRPr="008C3AF3">
        <w:rPr>
          <w:rFonts w:ascii="TimesNewRomanPSMT" w:hAnsi="TimesNewRomanPSMT"/>
        </w:rPr>
        <w:t xml:space="preserve"> e </w:t>
      </w:r>
      <w:proofErr w:type="spellStart"/>
      <w:r w:rsidRPr="008C3AF3">
        <w:rPr>
          <w:rFonts w:ascii="TimesNewRomanPSMT" w:hAnsi="TimesNewRomanPSMT"/>
        </w:rPr>
        <w:t>extinção</w:t>
      </w:r>
      <w:proofErr w:type="spellEnd"/>
      <w:r w:rsidRPr="008C3AF3">
        <w:rPr>
          <w:rFonts w:ascii="TimesNewRomanPSMT" w:hAnsi="TimesNewRomanPSMT"/>
        </w:rPr>
        <w:t>.</w:t>
      </w:r>
      <w:r>
        <w:rPr>
          <w:rFonts w:ascii="TimesNewRomanPSMT" w:hAnsi="TimesNewRomanPSMT"/>
        </w:rPr>
        <w:t xml:space="preserve"> </w:t>
      </w:r>
      <w:proofErr w:type="spellStart"/>
      <w:r>
        <w:rPr>
          <w:rFonts w:ascii="TimesNewRomanPSMT" w:hAnsi="TimesNewRomanPSMT"/>
        </w:rPr>
        <w:t>Texto</w:t>
      </w:r>
      <w:proofErr w:type="spellEnd"/>
      <w:r>
        <w:rPr>
          <w:rFonts w:ascii="TimesNewRomanPSMT" w:hAnsi="TimesNewRomanPSMT"/>
        </w:rPr>
        <w:t xml:space="preserve"> para </w:t>
      </w:r>
      <w:proofErr w:type="spellStart"/>
      <w:r>
        <w:rPr>
          <w:rFonts w:ascii="TimesNewRomanPSMT" w:hAnsi="TimesNewRomanPSMT"/>
        </w:rPr>
        <w:t>Discussão</w:t>
      </w:r>
      <w:proofErr w:type="spellEnd"/>
      <w:r>
        <w:rPr>
          <w:rFonts w:ascii="TimesNewRomanPSMT" w:hAnsi="TimesNewRomanPSMT"/>
        </w:rPr>
        <w:t xml:space="preserve"> nº 671. </w:t>
      </w:r>
      <w:r w:rsidRPr="009F2111">
        <w:rPr>
          <w:rFonts w:ascii="TimesNewRomanPSMT" w:hAnsi="TimesNewRomanPSMT"/>
        </w:rPr>
        <w:t xml:space="preserve">Instituto de </w:t>
      </w:r>
      <w:proofErr w:type="spellStart"/>
      <w:r w:rsidRPr="009F2111">
        <w:rPr>
          <w:rFonts w:ascii="TimesNewRomanPSMT" w:hAnsi="TimesNewRomanPSMT"/>
        </w:rPr>
        <w:t>Pesquisa</w:t>
      </w:r>
      <w:proofErr w:type="spellEnd"/>
      <w:r w:rsidRPr="009F2111">
        <w:rPr>
          <w:rFonts w:ascii="TimesNewRomanPSMT" w:hAnsi="TimesNewRomanPSMT"/>
        </w:rPr>
        <w:t xml:space="preserve"> </w:t>
      </w:r>
      <w:proofErr w:type="spellStart"/>
      <w:r w:rsidRPr="009F2111">
        <w:rPr>
          <w:rFonts w:ascii="TimesNewRomanPSMT" w:hAnsi="TimesNewRomanPSMT"/>
        </w:rPr>
        <w:t>Econômica</w:t>
      </w:r>
      <w:proofErr w:type="spellEnd"/>
      <w:r w:rsidRPr="009F2111">
        <w:rPr>
          <w:rFonts w:ascii="TimesNewRomanPSMT" w:hAnsi="TimesNewRomanPSMT"/>
        </w:rPr>
        <w:t xml:space="preserve"> </w:t>
      </w:r>
      <w:proofErr w:type="spellStart"/>
      <w:r w:rsidRPr="009F2111">
        <w:rPr>
          <w:rFonts w:ascii="TimesNewRomanPSMT" w:hAnsi="TimesNewRomanPSMT"/>
        </w:rPr>
        <w:t>Aplicada</w:t>
      </w:r>
      <w:proofErr w:type="spellEnd"/>
      <w:r w:rsidRPr="009F2111">
        <w:rPr>
          <w:rFonts w:ascii="TimesNewRomanPSMT" w:hAnsi="TimesNewRomanPSMT"/>
        </w:rPr>
        <w:t>.</w:t>
      </w:r>
    </w:p>
    <w:p w14:paraId="1563F9A5" w14:textId="77777777" w:rsidR="009317AE" w:rsidRDefault="009317AE" w:rsidP="009317AE">
      <w:pPr>
        <w:pStyle w:val="NormalWeb"/>
        <w:jc w:val="both"/>
        <w:rPr>
          <w:rFonts w:ascii="TimesNewRomanPSMT" w:hAnsi="TimesNewRomanPSMT"/>
        </w:rPr>
      </w:pPr>
      <w:r w:rsidRPr="00FE6D6F">
        <w:rPr>
          <w:rFonts w:ascii="TimesNewRomanPSMT" w:hAnsi="TimesNewRomanPSMT"/>
        </w:rPr>
        <w:t>C</w:t>
      </w:r>
      <w:r>
        <w:rPr>
          <w:rFonts w:ascii="TimesNewRomanPSMT" w:hAnsi="TimesNewRomanPSMT"/>
        </w:rPr>
        <w:t>avalcanti</w:t>
      </w:r>
      <w:r w:rsidRPr="00FE6D6F">
        <w:rPr>
          <w:rFonts w:ascii="TimesNewRomanPSMT" w:hAnsi="TimesNewRomanPSMT"/>
        </w:rPr>
        <w:t>, T.V.</w:t>
      </w:r>
      <w:r>
        <w:rPr>
          <w:rFonts w:ascii="TimesNewRomanPSMT" w:hAnsi="TimesNewRomanPSMT"/>
        </w:rPr>
        <w:t xml:space="preserve"> (2001).</w:t>
      </w:r>
      <w:r w:rsidRPr="00FE6D6F">
        <w:rPr>
          <w:rFonts w:ascii="TimesNewRomanPSMT" w:hAnsi="TimesNewRomanPSMT"/>
        </w:rPr>
        <w:t xml:space="preserve"> The Effects of Government Policies on Economies with Informal Markets</w:t>
      </w:r>
      <w:r>
        <w:rPr>
          <w:rFonts w:ascii="TimesNewRomanPSMT" w:hAnsi="TimesNewRomanPSMT"/>
        </w:rPr>
        <w:t>.</w:t>
      </w:r>
      <w:r w:rsidRPr="00FE6D6F">
        <w:rPr>
          <w:rFonts w:ascii="TimesNewRomanPSMT" w:hAnsi="TimesNewRomanPSMT"/>
        </w:rPr>
        <w:t xml:space="preserve"> Anais do XXIX </w:t>
      </w:r>
      <w:proofErr w:type="spellStart"/>
      <w:r w:rsidRPr="00FE6D6F">
        <w:rPr>
          <w:rFonts w:ascii="TimesNewRomanPSMT" w:hAnsi="TimesNewRomanPSMT"/>
        </w:rPr>
        <w:t>Encontro</w:t>
      </w:r>
      <w:proofErr w:type="spellEnd"/>
      <w:r w:rsidRPr="00FE6D6F">
        <w:rPr>
          <w:rFonts w:ascii="TimesNewRomanPSMT" w:hAnsi="TimesNewRomanPSMT"/>
        </w:rPr>
        <w:t xml:space="preserve"> </w:t>
      </w:r>
      <w:r>
        <w:rPr>
          <w:rFonts w:ascii="TimesNewRomanPSMT" w:hAnsi="TimesNewRomanPSMT"/>
        </w:rPr>
        <w:t xml:space="preserve">Nacional </w:t>
      </w:r>
      <w:r w:rsidRPr="00FE6D6F">
        <w:rPr>
          <w:rFonts w:ascii="TimesNewRomanPSMT" w:hAnsi="TimesNewRomanPSMT"/>
        </w:rPr>
        <w:t>da ANPEC</w:t>
      </w:r>
      <w:r>
        <w:rPr>
          <w:rFonts w:ascii="TimesNewRomanPSMT" w:hAnsi="TimesNewRomanPSMT"/>
        </w:rPr>
        <w:t>.</w:t>
      </w:r>
    </w:p>
    <w:p w14:paraId="376CF779" w14:textId="77777777" w:rsidR="009317AE" w:rsidRDefault="009317AE" w:rsidP="009317AE">
      <w:pPr>
        <w:pStyle w:val="NormalWeb"/>
        <w:jc w:val="both"/>
        <w:rPr>
          <w:rFonts w:ascii="TimesNewRomanPSMT" w:hAnsi="TimesNewRomanPSMT"/>
        </w:rPr>
      </w:pPr>
      <w:r>
        <w:rPr>
          <w:rFonts w:ascii="TimesNewRomanPSMT" w:hAnsi="TimesNewRomanPSMT"/>
        </w:rPr>
        <w:t xml:space="preserve">CNM. (2011). CNM </w:t>
      </w:r>
      <w:proofErr w:type="spellStart"/>
      <w:r>
        <w:rPr>
          <w:rFonts w:ascii="TimesNewRomanPSMT" w:hAnsi="TimesNewRomanPSMT"/>
        </w:rPr>
        <w:t>esclarece</w:t>
      </w:r>
      <w:proofErr w:type="spellEnd"/>
      <w:r>
        <w:rPr>
          <w:rFonts w:ascii="TimesNewRomanPSMT" w:hAnsi="TimesNewRomanPSMT"/>
        </w:rPr>
        <w:t xml:space="preserve">: </w:t>
      </w:r>
      <w:proofErr w:type="spellStart"/>
      <w:r>
        <w:rPr>
          <w:rFonts w:ascii="TimesNewRomanPSMT" w:hAnsi="TimesNewRomanPSMT"/>
        </w:rPr>
        <w:t>salário</w:t>
      </w:r>
      <w:proofErr w:type="spellEnd"/>
      <w:r>
        <w:rPr>
          <w:rFonts w:ascii="TimesNewRomanPSMT" w:hAnsi="TimesNewRomanPSMT"/>
        </w:rPr>
        <w:t xml:space="preserve"> </w:t>
      </w:r>
      <w:proofErr w:type="spellStart"/>
      <w:r>
        <w:rPr>
          <w:rFonts w:ascii="TimesNewRomanPSMT" w:hAnsi="TimesNewRomanPSMT"/>
        </w:rPr>
        <w:t>mínimo</w:t>
      </w:r>
      <w:proofErr w:type="spellEnd"/>
      <w:r>
        <w:rPr>
          <w:rFonts w:ascii="TimesNewRomanPSMT" w:hAnsi="TimesNewRomanPSMT"/>
        </w:rPr>
        <w:t xml:space="preserve"> regional </w:t>
      </w:r>
      <w:proofErr w:type="spellStart"/>
      <w:r>
        <w:rPr>
          <w:rFonts w:ascii="TimesNewRomanPSMT" w:hAnsi="TimesNewRomanPSMT"/>
        </w:rPr>
        <w:t>aprovado</w:t>
      </w:r>
      <w:proofErr w:type="spellEnd"/>
      <w:r>
        <w:rPr>
          <w:rFonts w:ascii="TimesNewRomanPSMT" w:hAnsi="TimesNewRomanPSMT"/>
        </w:rPr>
        <w:t xml:space="preserve"> </w:t>
      </w:r>
      <w:proofErr w:type="spellStart"/>
      <w:r>
        <w:rPr>
          <w:rFonts w:ascii="TimesNewRomanPSMT" w:hAnsi="TimesNewRomanPSMT"/>
        </w:rPr>
        <w:t>por</w:t>
      </w:r>
      <w:proofErr w:type="spellEnd"/>
      <w:r>
        <w:rPr>
          <w:rFonts w:ascii="TimesNewRomanPSMT" w:hAnsi="TimesNewRomanPSMT"/>
        </w:rPr>
        <w:t xml:space="preserve"> </w:t>
      </w:r>
      <w:proofErr w:type="spellStart"/>
      <w:r>
        <w:rPr>
          <w:rFonts w:ascii="TimesNewRomanPSMT" w:hAnsi="TimesNewRomanPSMT"/>
        </w:rPr>
        <w:t>alguns</w:t>
      </w:r>
      <w:proofErr w:type="spellEnd"/>
      <w:r>
        <w:rPr>
          <w:rFonts w:ascii="TimesNewRomanPSMT" w:hAnsi="TimesNewRomanPSMT"/>
        </w:rPr>
        <w:t xml:space="preserve"> </w:t>
      </w:r>
      <w:proofErr w:type="spellStart"/>
      <w:r>
        <w:rPr>
          <w:rFonts w:ascii="TimesNewRomanPSMT" w:hAnsi="TimesNewRomanPSMT"/>
        </w:rPr>
        <w:t>Estados</w:t>
      </w:r>
      <w:proofErr w:type="spellEnd"/>
      <w:r>
        <w:rPr>
          <w:rFonts w:ascii="TimesNewRomanPSMT" w:hAnsi="TimesNewRomanPSMT"/>
        </w:rPr>
        <w:t xml:space="preserve"> </w:t>
      </w:r>
      <w:proofErr w:type="spellStart"/>
      <w:r>
        <w:rPr>
          <w:rFonts w:ascii="TimesNewRomanPSMT" w:hAnsi="TimesNewRomanPSMT"/>
        </w:rPr>
        <w:t>não</w:t>
      </w:r>
      <w:proofErr w:type="spellEnd"/>
      <w:r>
        <w:rPr>
          <w:rFonts w:ascii="TimesNewRomanPSMT" w:hAnsi="TimesNewRomanPSMT"/>
        </w:rPr>
        <w:t xml:space="preserve"> vale para </w:t>
      </w:r>
      <w:proofErr w:type="spellStart"/>
      <w:r>
        <w:rPr>
          <w:rFonts w:ascii="TimesNewRomanPSMT" w:hAnsi="TimesNewRomanPSMT"/>
        </w:rPr>
        <w:t>os</w:t>
      </w:r>
      <w:proofErr w:type="spellEnd"/>
      <w:r>
        <w:rPr>
          <w:rFonts w:ascii="TimesNewRomanPSMT" w:hAnsi="TimesNewRomanPSMT"/>
        </w:rPr>
        <w:t xml:space="preserve"> </w:t>
      </w:r>
      <w:proofErr w:type="spellStart"/>
      <w:r>
        <w:rPr>
          <w:rFonts w:ascii="TimesNewRomanPSMT" w:hAnsi="TimesNewRomanPSMT"/>
        </w:rPr>
        <w:t>Municípios</w:t>
      </w:r>
      <w:proofErr w:type="spellEnd"/>
      <w:r>
        <w:rPr>
          <w:rFonts w:ascii="TimesNewRomanPSMT" w:hAnsi="TimesNewRomanPSMT"/>
        </w:rPr>
        <w:t xml:space="preserve">. Available at: </w:t>
      </w:r>
      <w:hyperlink r:id="rId17" w:history="1">
        <w:r w:rsidRPr="00E048BA">
          <w:rPr>
            <w:rStyle w:val="Hyperlink"/>
            <w:rFonts w:ascii="TimesNewRomanPSMT" w:hAnsi="TimesNewRomanPSMT"/>
          </w:rPr>
          <w:t>https://cnm.org.br/comunicacao/noticias/cnm-esclarece-salário-mínimo-regional-aprovado-por-alguns-estados-não-vale-para-os-municípios</w:t>
        </w:r>
      </w:hyperlink>
      <w:r>
        <w:rPr>
          <w:rFonts w:ascii="TimesNewRomanPSMT" w:hAnsi="TimesNewRomanPSMT"/>
        </w:rPr>
        <w:t>. Accessed on Nov. 4</w:t>
      </w:r>
      <w:r w:rsidRPr="002D75CF">
        <w:rPr>
          <w:rFonts w:ascii="TimesNewRomanPSMT" w:hAnsi="TimesNewRomanPSMT"/>
          <w:vertAlign w:val="superscript"/>
        </w:rPr>
        <w:t>th</w:t>
      </w:r>
      <w:r>
        <w:rPr>
          <w:rFonts w:ascii="TimesNewRomanPSMT" w:hAnsi="TimesNewRomanPSMT"/>
        </w:rPr>
        <w:t>, 2024.</w:t>
      </w:r>
    </w:p>
    <w:p w14:paraId="6A5EB033" w14:textId="77777777" w:rsidR="009317AE" w:rsidRPr="009F2111" w:rsidRDefault="009317AE" w:rsidP="009317AE">
      <w:pPr>
        <w:pStyle w:val="NormalWeb"/>
        <w:jc w:val="both"/>
        <w:rPr>
          <w:rFonts w:ascii="TimesNewRomanPSMT" w:hAnsi="TimesNewRomanPSMT"/>
        </w:rPr>
      </w:pPr>
      <w:proofErr w:type="spellStart"/>
      <w:r w:rsidRPr="002F4BF1">
        <w:rPr>
          <w:rFonts w:ascii="TimesNewRomanPSMT" w:hAnsi="TimesNewRomanPSMT"/>
        </w:rPr>
        <w:t>C</w:t>
      </w:r>
      <w:r>
        <w:rPr>
          <w:rFonts w:ascii="TimesNewRomanPSMT" w:hAnsi="TimesNewRomanPSMT"/>
        </w:rPr>
        <w:t>uri</w:t>
      </w:r>
      <w:proofErr w:type="spellEnd"/>
      <w:r w:rsidRPr="002F4BF1">
        <w:rPr>
          <w:rFonts w:ascii="TimesNewRomanPSMT" w:hAnsi="TimesNewRomanPSMT"/>
        </w:rPr>
        <w:t xml:space="preserve">, A.Z.; </w:t>
      </w:r>
      <w:r>
        <w:rPr>
          <w:rFonts w:ascii="TimesNewRomanPSMT" w:hAnsi="TimesNewRomanPSMT"/>
        </w:rPr>
        <w:t>Menezes-Filho</w:t>
      </w:r>
      <w:r w:rsidRPr="002F4BF1">
        <w:rPr>
          <w:rFonts w:ascii="TimesNewRomanPSMT" w:hAnsi="TimesNewRomanPSMT"/>
        </w:rPr>
        <w:t xml:space="preserve">, N.A. </w:t>
      </w:r>
      <w:r>
        <w:rPr>
          <w:rFonts w:ascii="TimesNewRomanPSMT" w:hAnsi="TimesNewRomanPSMT"/>
        </w:rPr>
        <w:t>(2004).</w:t>
      </w:r>
      <w:r w:rsidRPr="002F4BF1">
        <w:rPr>
          <w:rFonts w:ascii="TimesNewRomanPSMT" w:hAnsi="TimesNewRomanPSMT"/>
        </w:rPr>
        <w:t xml:space="preserve"> </w:t>
      </w:r>
      <w:proofErr w:type="spellStart"/>
      <w:r w:rsidRPr="002F4BF1">
        <w:rPr>
          <w:rFonts w:ascii="TimesNewRomanPSMT" w:hAnsi="TimesNewRomanPSMT"/>
        </w:rPr>
        <w:t>Os</w:t>
      </w:r>
      <w:proofErr w:type="spellEnd"/>
      <w:r w:rsidRPr="002F4BF1">
        <w:rPr>
          <w:rFonts w:ascii="TimesNewRomanPSMT" w:hAnsi="TimesNewRomanPSMT"/>
        </w:rPr>
        <w:t xml:space="preserve"> </w:t>
      </w:r>
      <w:proofErr w:type="spellStart"/>
      <w:r w:rsidRPr="002F4BF1">
        <w:rPr>
          <w:rFonts w:ascii="TimesNewRomanPSMT" w:hAnsi="TimesNewRomanPSMT"/>
        </w:rPr>
        <w:t>Determinantes</w:t>
      </w:r>
      <w:proofErr w:type="spellEnd"/>
      <w:r w:rsidRPr="002F4BF1">
        <w:rPr>
          <w:rFonts w:ascii="TimesNewRomanPSMT" w:hAnsi="TimesNewRomanPSMT"/>
        </w:rPr>
        <w:t xml:space="preserve"> das </w:t>
      </w:r>
      <w:proofErr w:type="spellStart"/>
      <w:r w:rsidRPr="002F4BF1">
        <w:rPr>
          <w:rFonts w:ascii="TimesNewRomanPSMT" w:hAnsi="TimesNewRomanPSMT"/>
        </w:rPr>
        <w:t>Transições</w:t>
      </w:r>
      <w:proofErr w:type="spellEnd"/>
      <w:r w:rsidRPr="002F4BF1">
        <w:rPr>
          <w:rFonts w:ascii="TimesNewRomanPSMT" w:hAnsi="TimesNewRomanPSMT"/>
        </w:rPr>
        <w:t xml:space="preserve"> </w:t>
      </w:r>
      <w:proofErr w:type="spellStart"/>
      <w:r w:rsidRPr="002F4BF1">
        <w:rPr>
          <w:rFonts w:ascii="TimesNewRomanPSMT" w:hAnsi="TimesNewRomanPSMT"/>
        </w:rPr>
        <w:t>Ocupacionais</w:t>
      </w:r>
      <w:proofErr w:type="spellEnd"/>
      <w:r w:rsidRPr="002F4BF1">
        <w:rPr>
          <w:rFonts w:ascii="TimesNewRomanPSMT" w:hAnsi="TimesNewRomanPSMT"/>
        </w:rPr>
        <w:t xml:space="preserve"> no Mercado de </w:t>
      </w:r>
      <w:proofErr w:type="spellStart"/>
      <w:r w:rsidRPr="002F4BF1">
        <w:rPr>
          <w:rFonts w:ascii="TimesNewRomanPSMT" w:hAnsi="TimesNewRomanPSMT"/>
        </w:rPr>
        <w:t>trabalho</w:t>
      </w:r>
      <w:proofErr w:type="spellEnd"/>
      <w:r w:rsidRPr="002F4BF1">
        <w:rPr>
          <w:rFonts w:ascii="TimesNewRomanPSMT" w:hAnsi="TimesNewRomanPSMT"/>
        </w:rPr>
        <w:t xml:space="preserve"> </w:t>
      </w:r>
      <w:proofErr w:type="spellStart"/>
      <w:r w:rsidRPr="002F4BF1">
        <w:rPr>
          <w:rFonts w:ascii="TimesNewRomanPSMT" w:hAnsi="TimesNewRomanPSMT"/>
        </w:rPr>
        <w:t>brasileiro</w:t>
      </w:r>
      <w:proofErr w:type="spellEnd"/>
      <w:r w:rsidRPr="002F4BF1">
        <w:rPr>
          <w:rFonts w:ascii="TimesNewRomanPSMT" w:hAnsi="TimesNewRomanPSMT"/>
        </w:rPr>
        <w:t xml:space="preserve">. Anais do XXXII </w:t>
      </w:r>
      <w:proofErr w:type="spellStart"/>
      <w:r w:rsidRPr="002F4BF1">
        <w:rPr>
          <w:rFonts w:ascii="TimesNewRomanPSMT" w:hAnsi="TimesNewRomanPSMT"/>
        </w:rPr>
        <w:t>Encontro</w:t>
      </w:r>
      <w:proofErr w:type="spellEnd"/>
      <w:r w:rsidRPr="002F4BF1">
        <w:rPr>
          <w:rFonts w:ascii="TimesNewRomanPSMT" w:hAnsi="TimesNewRomanPSMT"/>
        </w:rPr>
        <w:t xml:space="preserve"> Nacional da A</w:t>
      </w:r>
      <w:r>
        <w:rPr>
          <w:rFonts w:ascii="TimesNewRomanPSMT" w:hAnsi="TimesNewRomanPSMT"/>
        </w:rPr>
        <w:t>NPEC.</w:t>
      </w:r>
    </w:p>
    <w:p w14:paraId="4D9A8D29" w14:textId="77777777" w:rsidR="009317AE" w:rsidRPr="009F2111" w:rsidRDefault="009317AE" w:rsidP="009317AE">
      <w:pPr>
        <w:pStyle w:val="NormalWeb"/>
        <w:jc w:val="both"/>
        <w:rPr>
          <w:rFonts w:ascii="TimesNewRomanPSMT" w:hAnsi="TimesNewRomanPSMT"/>
        </w:rPr>
      </w:pPr>
      <w:r w:rsidRPr="009F2111">
        <w:rPr>
          <w:rFonts w:ascii="TimesNewRomanPSMT" w:hAnsi="TimesNewRomanPSMT"/>
        </w:rPr>
        <w:t xml:space="preserve">de Almeida, M. A. B., </w:t>
      </w:r>
      <w:proofErr w:type="spellStart"/>
      <w:r w:rsidRPr="009F2111">
        <w:rPr>
          <w:rFonts w:ascii="TimesNewRomanPSMT" w:hAnsi="TimesNewRomanPSMT"/>
        </w:rPr>
        <w:t>Montagner</w:t>
      </w:r>
      <w:proofErr w:type="spellEnd"/>
      <w:r w:rsidRPr="009F2111">
        <w:rPr>
          <w:rFonts w:ascii="TimesNewRomanPSMT" w:hAnsi="TimesNewRomanPSMT"/>
        </w:rPr>
        <w:t xml:space="preserve">, P. C., &amp; Gutierrez, G. L. (2009). </w:t>
      </w:r>
      <w:proofErr w:type="gramStart"/>
      <w:r w:rsidRPr="009F2111">
        <w:rPr>
          <w:rFonts w:ascii="TimesNewRomanPSMT" w:hAnsi="TimesNewRomanPSMT"/>
        </w:rPr>
        <w:t>A</w:t>
      </w:r>
      <w:proofErr w:type="gramEnd"/>
      <w:r w:rsidRPr="009F2111">
        <w:rPr>
          <w:rFonts w:ascii="TimesNewRomanPSMT" w:hAnsi="TimesNewRomanPSMT"/>
        </w:rPr>
        <w:t xml:space="preserve"> </w:t>
      </w:r>
      <w:proofErr w:type="spellStart"/>
      <w:r w:rsidRPr="009F2111">
        <w:rPr>
          <w:rFonts w:ascii="TimesNewRomanPSMT" w:hAnsi="TimesNewRomanPSMT"/>
        </w:rPr>
        <w:t>inserção</w:t>
      </w:r>
      <w:proofErr w:type="spellEnd"/>
      <w:r w:rsidRPr="009F2111">
        <w:rPr>
          <w:rFonts w:ascii="TimesNewRomanPSMT" w:hAnsi="TimesNewRomanPSMT"/>
        </w:rPr>
        <w:t xml:space="preserve"> da </w:t>
      </w:r>
      <w:proofErr w:type="spellStart"/>
      <w:r w:rsidRPr="009F2111">
        <w:rPr>
          <w:rFonts w:ascii="TimesNewRomanPSMT" w:hAnsi="TimesNewRomanPSMT"/>
        </w:rPr>
        <w:t>regulamentação</w:t>
      </w:r>
      <w:proofErr w:type="spellEnd"/>
      <w:r w:rsidRPr="009F2111">
        <w:rPr>
          <w:rFonts w:ascii="TimesNewRomanPSMT" w:hAnsi="TimesNewRomanPSMT"/>
        </w:rPr>
        <w:t xml:space="preserve"> da </w:t>
      </w:r>
      <w:proofErr w:type="spellStart"/>
      <w:r w:rsidRPr="009F2111">
        <w:rPr>
          <w:rFonts w:ascii="TimesNewRomanPSMT" w:hAnsi="TimesNewRomanPSMT"/>
        </w:rPr>
        <w:t>profissão</w:t>
      </w:r>
      <w:proofErr w:type="spellEnd"/>
      <w:r w:rsidRPr="009F2111">
        <w:rPr>
          <w:rFonts w:ascii="TimesNewRomanPSMT" w:hAnsi="TimesNewRomanPSMT"/>
        </w:rPr>
        <w:t xml:space="preserve"> </w:t>
      </w:r>
      <w:proofErr w:type="spellStart"/>
      <w:r w:rsidRPr="009F2111">
        <w:rPr>
          <w:rFonts w:ascii="TimesNewRomanPSMT" w:hAnsi="TimesNewRomanPSMT"/>
        </w:rPr>
        <w:t>na</w:t>
      </w:r>
      <w:proofErr w:type="spellEnd"/>
      <w:r w:rsidRPr="009F2111">
        <w:rPr>
          <w:rFonts w:ascii="TimesNewRomanPSMT" w:hAnsi="TimesNewRomanPSMT"/>
        </w:rPr>
        <w:t xml:space="preserve"> </w:t>
      </w:r>
      <w:proofErr w:type="spellStart"/>
      <w:r w:rsidRPr="009F2111">
        <w:rPr>
          <w:rFonts w:ascii="TimesNewRomanPSMT" w:hAnsi="TimesNewRomanPSMT"/>
        </w:rPr>
        <w:t>área</w:t>
      </w:r>
      <w:proofErr w:type="spellEnd"/>
      <w:r w:rsidRPr="009F2111">
        <w:rPr>
          <w:rFonts w:ascii="TimesNewRomanPSMT" w:hAnsi="TimesNewRomanPSMT"/>
        </w:rPr>
        <w:t xml:space="preserve"> de </w:t>
      </w:r>
      <w:proofErr w:type="spellStart"/>
      <w:r w:rsidRPr="009F2111">
        <w:rPr>
          <w:rFonts w:ascii="TimesNewRomanPSMT" w:hAnsi="TimesNewRomanPSMT"/>
        </w:rPr>
        <w:t>Educação</w:t>
      </w:r>
      <w:proofErr w:type="spellEnd"/>
      <w:r w:rsidRPr="009F2111">
        <w:rPr>
          <w:rFonts w:ascii="TimesNewRomanPSMT" w:hAnsi="TimesNewRomanPSMT"/>
        </w:rPr>
        <w:t xml:space="preserve"> </w:t>
      </w:r>
      <w:proofErr w:type="spellStart"/>
      <w:r w:rsidRPr="009F2111">
        <w:rPr>
          <w:rFonts w:ascii="TimesNewRomanPSMT" w:hAnsi="TimesNewRomanPSMT"/>
        </w:rPr>
        <w:t>Física</w:t>
      </w:r>
      <w:proofErr w:type="spellEnd"/>
      <w:r w:rsidRPr="009F2111">
        <w:rPr>
          <w:rFonts w:ascii="TimesNewRomanPSMT" w:hAnsi="TimesNewRomanPSMT"/>
        </w:rPr>
        <w:t xml:space="preserve">, </w:t>
      </w:r>
      <w:proofErr w:type="spellStart"/>
      <w:r w:rsidRPr="009F2111">
        <w:rPr>
          <w:rFonts w:ascii="TimesNewRomanPSMT" w:hAnsi="TimesNewRomanPSMT"/>
        </w:rPr>
        <w:t>dez</w:t>
      </w:r>
      <w:proofErr w:type="spellEnd"/>
      <w:r w:rsidRPr="009F2111">
        <w:rPr>
          <w:rFonts w:ascii="TimesNewRomanPSMT" w:hAnsi="TimesNewRomanPSMT"/>
        </w:rPr>
        <w:t xml:space="preserve"> </w:t>
      </w:r>
      <w:proofErr w:type="spellStart"/>
      <w:r w:rsidRPr="009F2111">
        <w:rPr>
          <w:rFonts w:ascii="TimesNewRomanPSMT" w:hAnsi="TimesNewRomanPSMT"/>
        </w:rPr>
        <w:t>anos</w:t>
      </w:r>
      <w:proofErr w:type="spellEnd"/>
      <w:r w:rsidRPr="009F2111">
        <w:rPr>
          <w:rFonts w:ascii="TimesNewRomanPSMT" w:hAnsi="TimesNewRomanPSMT"/>
        </w:rPr>
        <w:t xml:space="preserve"> </w:t>
      </w:r>
      <w:proofErr w:type="spellStart"/>
      <w:r w:rsidRPr="009F2111">
        <w:rPr>
          <w:rFonts w:ascii="TimesNewRomanPSMT" w:hAnsi="TimesNewRomanPSMT"/>
        </w:rPr>
        <w:t>depois</w:t>
      </w:r>
      <w:proofErr w:type="spellEnd"/>
      <w:r w:rsidRPr="009F2111">
        <w:rPr>
          <w:rFonts w:ascii="TimesNewRomanPSMT" w:hAnsi="TimesNewRomanPSMT"/>
        </w:rPr>
        <w:t xml:space="preserve">: </w:t>
      </w:r>
      <w:proofErr w:type="spellStart"/>
      <w:r w:rsidRPr="009F2111">
        <w:rPr>
          <w:rFonts w:ascii="TimesNewRomanPSMT" w:hAnsi="TimesNewRomanPSMT"/>
        </w:rPr>
        <w:t>embates</w:t>
      </w:r>
      <w:proofErr w:type="spellEnd"/>
      <w:r w:rsidRPr="009F2111">
        <w:rPr>
          <w:rFonts w:ascii="TimesNewRomanPSMT" w:hAnsi="TimesNewRomanPSMT"/>
        </w:rPr>
        <w:t xml:space="preserve">, debates e </w:t>
      </w:r>
      <w:proofErr w:type="spellStart"/>
      <w:r w:rsidRPr="009F2111">
        <w:rPr>
          <w:rFonts w:ascii="TimesNewRomanPSMT" w:hAnsi="TimesNewRomanPSMT"/>
        </w:rPr>
        <w:t>perspectivas</w:t>
      </w:r>
      <w:proofErr w:type="spellEnd"/>
      <w:r w:rsidRPr="009F2111">
        <w:rPr>
          <w:rFonts w:ascii="TimesNewRomanPSMT" w:hAnsi="TimesNewRomanPSMT"/>
        </w:rPr>
        <w:t>. </w:t>
      </w:r>
      <w:proofErr w:type="spellStart"/>
      <w:r w:rsidRPr="009F2111">
        <w:rPr>
          <w:rFonts w:ascii="TimesNewRomanPSMT" w:hAnsi="TimesNewRomanPSMT"/>
          <w:i/>
          <w:iCs/>
        </w:rPr>
        <w:t>Movimento</w:t>
      </w:r>
      <w:proofErr w:type="spellEnd"/>
      <w:r w:rsidRPr="009F2111">
        <w:rPr>
          <w:rFonts w:ascii="TimesNewRomanPSMT" w:hAnsi="TimesNewRomanPSMT"/>
        </w:rPr>
        <w:t>, </w:t>
      </w:r>
      <w:r w:rsidRPr="009F2111">
        <w:rPr>
          <w:rFonts w:ascii="TimesNewRomanPSMT" w:hAnsi="TimesNewRomanPSMT"/>
          <w:i/>
          <w:iCs/>
        </w:rPr>
        <w:t>15</w:t>
      </w:r>
      <w:r w:rsidRPr="009F2111">
        <w:rPr>
          <w:rFonts w:ascii="TimesNewRomanPSMT" w:hAnsi="TimesNewRomanPSMT"/>
        </w:rPr>
        <w:t>(3), 275-292.</w:t>
      </w:r>
    </w:p>
    <w:p w14:paraId="3D2648AB" w14:textId="77777777" w:rsidR="009317AE" w:rsidRPr="00A32FFA" w:rsidRDefault="009317AE" w:rsidP="009317AE">
      <w:pPr>
        <w:pStyle w:val="NormalWeb"/>
        <w:jc w:val="both"/>
        <w:rPr>
          <w:rFonts w:ascii="TimesNewRomanPSMT" w:hAnsi="TimesNewRomanPSMT"/>
        </w:rPr>
      </w:pPr>
      <w:r w:rsidRPr="00A32FFA">
        <w:rPr>
          <w:rFonts w:ascii="TimesNewRomanPSMT" w:hAnsi="TimesNewRomanPSMT"/>
        </w:rPr>
        <w:t xml:space="preserve">de Moraes Filho, E. (1966). </w:t>
      </w:r>
      <w:proofErr w:type="spellStart"/>
      <w:r w:rsidRPr="00A32FFA">
        <w:rPr>
          <w:rFonts w:ascii="TimesNewRomanPSMT" w:hAnsi="TimesNewRomanPSMT"/>
        </w:rPr>
        <w:t>Regulamentação</w:t>
      </w:r>
      <w:proofErr w:type="spellEnd"/>
      <w:r w:rsidRPr="00A32FFA">
        <w:rPr>
          <w:rFonts w:ascii="TimesNewRomanPSMT" w:hAnsi="TimesNewRomanPSMT"/>
        </w:rPr>
        <w:t xml:space="preserve"> da </w:t>
      </w:r>
      <w:proofErr w:type="spellStart"/>
      <w:r w:rsidRPr="00A32FFA">
        <w:rPr>
          <w:rFonts w:ascii="TimesNewRomanPSMT" w:hAnsi="TimesNewRomanPSMT"/>
        </w:rPr>
        <w:t>profissão</w:t>
      </w:r>
      <w:proofErr w:type="spellEnd"/>
      <w:r w:rsidRPr="00A32FFA">
        <w:rPr>
          <w:rFonts w:ascii="TimesNewRomanPSMT" w:hAnsi="TimesNewRomanPSMT"/>
        </w:rPr>
        <w:t xml:space="preserve"> de </w:t>
      </w:r>
      <w:proofErr w:type="spellStart"/>
      <w:r w:rsidRPr="00A32FFA">
        <w:rPr>
          <w:rFonts w:ascii="TimesNewRomanPSMT" w:hAnsi="TimesNewRomanPSMT"/>
        </w:rPr>
        <w:t>sociólogo</w:t>
      </w:r>
      <w:proofErr w:type="spellEnd"/>
      <w:r w:rsidRPr="00A32FFA">
        <w:rPr>
          <w:rFonts w:ascii="TimesNewRomanPSMT" w:hAnsi="TimesNewRomanPSMT"/>
        </w:rPr>
        <w:t>. </w:t>
      </w:r>
      <w:proofErr w:type="spellStart"/>
      <w:r w:rsidRPr="00A32FFA">
        <w:rPr>
          <w:rFonts w:ascii="TimesNewRomanPSMT" w:hAnsi="TimesNewRomanPSMT"/>
          <w:i/>
          <w:iCs/>
        </w:rPr>
        <w:t>Síntese</w:t>
      </w:r>
      <w:proofErr w:type="spellEnd"/>
      <w:r w:rsidRPr="00A32FFA">
        <w:rPr>
          <w:rFonts w:ascii="TimesNewRomanPSMT" w:hAnsi="TimesNewRomanPSMT"/>
          <w:i/>
          <w:iCs/>
        </w:rPr>
        <w:t xml:space="preserve">: </w:t>
      </w:r>
      <w:proofErr w:type="spellStart"/>
      <w:r w:rsidRPr="00A32FFA">
        <w:rPr>
          <w:rFonts w:ascii="TimesNewRomanPSMT" w:hAnsi="TimesNewRomanPSMT"/>
          <w:i/>
          <w:iCs/>
        </w:rPr>
        <w:t>Revista</w:t>
      </w:r>
      <w:proofErr w:type="spellEnd"/>
      <w:r w:rsidRPr="00A32FFA">
        <w:rPr>
          <w:rFonts w:ascii="TimesNewRomanPSMT" w:hAnsi="TimesNewRomanPSMT"/>
          <w:i/>
          <w:iCs/>
        </w:rPr>
        <w:t xml:space="preserve"> de Filosofia</w:t>
      </w:r>
      <w:r w:rsidRPr="00A32FFA">
        <w:rPr>
          <w:rFonts w:ascii="TimesNewRomanPSMT" w:hAnsi="TimesNewRomanPSMT"/>
        </w:rPr>
        <w:t>, </w:t>
      </w:r>
      <w:r w:rsidRPr="00A32FFA">
        <w:rPr>
          <w:rFonts w:ascii="TimesNewRomanPSMT" w:hAnsi="TimesNewRomanPSMT"/>
          <w:i/>
          <w:iCs/>
        </w:rPr>
        <w:t>8</w:t>
      </w:r>
      <w:r w:rsidRPr="00A32FFA">
        <w:rPr>
          <w:rFonts w:ascii="TimesNewRomanPSMT" w:hAnsi="TimesNewRomanPSMT"/>
        </w:rPr>
        <w:t>(31), 50-79.</w:t>
      </w:r>
    </w:p>
    <w:p w14:paraId="00BE9BBF"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de Souza, N. D. J. (2006). O </w:t>
      </w:r>
      <w:proofErr w:type="spellStart"/>
      <w:r w:rsidRPr="00A32FFA">
        <w:rPr>
          <w:rFonts w:ascii="TimesNewRomanPSMT" w:hAnsi="TimesNewRomanPSMT"/>
        </w:rPr>
        <w:t>economista</w:t>
      </w:r>
      <w:proofErr w:type="spellEnd"/>
      <w:r w:rsidRPr="00A32FFA">
        <w:rPr>
          <w:rFonts w:ascii="TimesNewRomanPSMT" w:hAnsi="TimesNewRomanPSMT"/>
        </w:rPr>
        <w:t xml:space="preserve">: a </w:t>
      </w:r>
      <w:proofErr w:type="spellStart"/>
      <w:r w:rsidRPr="00A32FFA">
        <w:rPr>
          <w:rFonts w:ascii="TimesNewRomanPSMT" w:hAnsi="TimesNewRomanPSMT"/>
        </w:rPr>
        <w:t>história</w:t>
      </w:r>
      <w:proofErr w:type="spellEnd"/>
      <w:r w:rsidRPr="00A32FFA">
        <w:rPr>
          <w:rFonts w:ascii="TimesNewRomanPSMT" w:hAnsi="TimesNewRomanPSMT"/>
        </w:rPr>
        <w:t xml:space="preserve"> da </w:t>
      </w:r>
      <w:proofErr w:type="spellStart"/>
      <w:r w:rsidRPr="00A32FFA">
        <w:rPr>
          <w:rFonts w:ascii="TimesNewRomanPSMT" w:hAnsi="TimesNewRomanPSMT"/>
        </w:rPr>
        <w:t>profissão</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w:t>
      </w:r>
      <w:proofErr w:type="spellStart"/>
      <w:r w:rsidRPr="00A32FFA">
        <w:rPr>
          <w:rFonts w:ascii="TimesNewRomanPSMT" w:hAnsi="TimesNewRomanPSMT"/>
          <w:i/>
          <w:iCs/>
        </w:rPr>
        <w:t>Análise</w:t>
      </w:r>
      <w:proofErr w:type="spellEnd"/>
      <w:r w:rsidRPr="00A32FFA">
        <w:rPr>
          <w:rFonts w:ascii="TimesNewRomanPSMT" w:hAnsi="TimesNewRomanPSMT"/>
          <w:i/>
          <w:iCs/>
        </w:rPr>
        <w:t>–</w:t>
      </w:r>
      <w:proofErr w:type="spellStart"/>
      <w:r w:rsidRPr="00A32FFA">
        <w:rPr>
          <w:rFonts w:ascii="TimesNewRomanPSMT" w:hAnsi="TimesNewRomanPSMT"/>
          <w:i/>
          <w:iCs/>
        </w:rPr>
        <w:t>Revista</w:t>
      </w:r>
      <w:proofErr w:type="spellEnd"/>
      <w:r w:rsidRPr="00A32FFA">
        <w:rPr>
          <w:rFonts w:ascii="TimesNewRomanPSMT" w:hAnsi="TimesNewRomanPSMT"/>
          <w:i/>
          <w:iCs/>
        </w:rPr>
        <w:t xml:space="preserve"> de </w:t>
      </w:r>
      <w:proofErr w:type="spellStart"/>
      <w:r w:rsidRPr="00A32FFA">
        <w:rPr>
          <w:rFonts w:ascii="TimesNewRomanPSMT" w:hAnsi="TimesNewRomanPSMT"/>
          <w:i/>
          <w:iCs/>
        </w:rPr>
        <w:t>Administração</w:t>
      </w:r>
      <w:proofErr w:type="spellEnd"/>
      <w:r w:rsidRPr="00A32FFA">
        <w:rPr>
          <w:rFonts w:ascii="TimesNewRomanPSMT" w:hAnsi="TimesNewRomanPSMT"/>
          <w:i/>
          <w:iCs/>
        </w:rPr>
        <w:t xml:space="preserve"> da PUCRS</w:t>
      </w:r>
      <w:r>
        <w:rPr>
          <w:rFonts w:ascii="TimesNewRomanPSMT" w:hAnsi="TimesNewRomanPSMT"/>
        </w:rPr>
        <w:t>,</w:t>
      </w:r>
      <w:r w:rsidRPr="00A32FFA">
        <w:rPr>
          <w:rFonts w:ascii="TimesNewRomanPSMT" w:hAnsi="TimesNewRomanPSMT"/>
        </w:rPr>
        <w:t> </w:t>
      </w:r>
      <w:r w:rsidRPr="00A32FFA">
        <w:rPr>
          <w:rFonts w:ascii="TimesNewRomanPSMT" w:hAnsi="TimesNewRomanPSMT"/>
          <w:i/>
          <w:iCs/>
        </w:rPr>
        <w:t>17</w:t>
      </w:r>
      <w:r w:rsidRPr="00A32FFA">
        <w:rPr>
          <w:rFonts w:ascii="TimesNewRomanPSMT" w:hAnsi="TimesNewRomanPSMT"/>
        </w:rPr>
        <w:t>(2)</w:t>
      </w:r>
      <w:r>
        <w:rPr>
          <w:rFonts w:ascii="TimesNewRomanPSMT" w:hAnsi="TimesNewRomanPSMT"/>
        </w:rPr>
        <w:t xml:space="preserve">: </w:t>
      </w:r>
      <w:r w:rsidRPr="00C86AD8">
        <w:rPr>
          <w:rFonts w:ascii="TimesNewRomanPSMT" w:hAnsi="TimesNewRomanPSMT"/>
        </w:rPr>
        <w:t>377-383</w:t>
      </w:r>
      <w:r>
        <w:rPr>
          <w:rFonts w:ascii="TimesNewRomanPSMT" w:hAnsi="TimesNewRomanPSMT"/>
        </w:rPr>
        <w:t>.</w:t>
      </w:r>
    </w:p>
    <w:p w14:paraId="2B6996C6"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Ferreira, R. G., de Moraes Pacheco, T., Gonçalves, M. F., Rosas, B. O. A., Camargo, L. E., &amp; Silva, F. P. (2020). A </w:t>
      </w:r>
      <w:proofErr w:type="spellStart"/>
      <w:r w:rsidRPr="00A32FFA">
        <w:rPr>
          <w:rFonts w:ascii="TimesNewRomanPSMT" w:hAnsi="TimesNewRomanPSMT"/>
        </w:rPr>
        <w:t>regulamentação</w:t>
      </w:r>
      <w:proofErr w:type="spellEnd"/>
      <w:r w:rsidRPr="00A32FFA">
        <w:rPr>
          <w:rFonts w:ascii="TimesNewRomanPSMT" w:hAnsi="TimesNewRomanPSMT"/>
        </w:rPr>
        <w:t xml:space="preserve"> da </w:t>
      </w:r>
      <w:proofErr w:type="spellStart"/>
      <w:r w:rsidRPr="00A32FFA">
        <w:rPr>
          <w:rFonts w:ascii="TimesNewRomanPSMT" w:hAnsi="TimesNewRomanPSMT"/>
        </w:rPr>
        <w:t>medicina</w:t>
      </w:r>
      <w:proofErr w:type="spellEnd"/>
      <w:r w:rsidRPr="00A32FFA">
        <w:rPr>
          <w:rFonts w:ascii="TimesNewRomanPSMT" w:hAnsi="TimesNewRomanPSMT"/>
        </w:rPr>
        <w:t xml:space="preserve"> e </w:t>
      </w:r>
      <w:proofErr w:type="spellStart"/>
      <w:r w:rsidRPr="00A32FFA">
        <w:rPr>
          <w:rFonts w:ascii="TimesNewRomanPSMT" w:hAnsi="TimesNewRomanPSMT"/>
        </w:rPr>
        <w:t>os</w:t>
      </w:r>
      <w:proofErr w:type="spellEnd"/>
      <w:r w:rsidRPr="00A32FFA">
        <w:rPr>
          <w:rFonts w:ascii="TimesNewRomanPSMT" w:hAnsi="TimesNewRomanPSMT"/>
        </w:rPr>
        <w:t xml:space="preserve"> </w:t>
      </w:r>
      <w:proofErr w:type="spellStart"/>
      <w:r w:rsidRPr="00A32FFA">
        <w:rPr>
          <w:rFonts w:ascii="TimesNewRomanPSMT" w:hAnsi="TimesNewRomanPSMT"/>
        </w:rPr>
        <w:t>atos</w:t>
      </w:r>
      <w:proofErr w:type="spellEnd"/>
      <w:r w:rsidRPr="00A32FFA">
        <w:rPr>
          <w:rFonts w:ascii="TimesNewRomanPSMT" w:hAnsi="TimesNewRomanPSMT"/>
        </w:rPr>
        <w:t xml:space="preserve"> </w:t>
      </w:r>
      <w:proofErr w:type="spellStart"/>
      <w:r w:rsidRPr="00A32FFA">
        <w:rPr>
          <w:rFonts w:ascii="TimesNewRomanPSMT" w:hAnsi="TimesNewRomanPSMT"/>
        </w:rPr>
        <w:t>privativos</w:t>
      </w:r>
      <w:proofErr w:type="spellEnd"/>
      <w:r w:rsidRPr="00A32FFA">
        <w:rPr>
          <w:rFonts w:ascii="TimesNewRomanPSMT" w:hAnsi="TimesNewRomanPSMT"/>
        </w:rPr>
        <w:t xml:space="preserve"> do </w:t>
      </w:r>
      <w:proofErr w:type="spellStart"/>
      <w:r w:rsidRPr="00A32FFA">
        <w:rPr>
          <w:rFonts w:ascii="TimesNewRomanPSMT" w:hAnsi="TimesNewRomanPSMT"/>
        </w:rPr>
        <w:t>médico</w:t>
      </w:r>
      <w:proofErr w:type="spellEnd"/>
      <w:r w:rsidRPr="00A32FFA">
        <w:rPr>
          <w:rFonts w:ascii="TimesNewRomanPSMT" w:hAnsi="TimesNewRomanPSMT"/>
        </w:rPr>
        <w:t xml:space="preserve"> </w:t>
      </w:r>
      <w:proofErr w:type="spellStart"/>
      <w:r w:rsidRPr="00A32FFA">
        <w:rPr>
          <w:rFonts w:ascii="TimesNewRomanPSMT" w:hAnsi="TimesNewRomanPSMT"/>
        </w:rPr>
        <w:t>em</w:t>
      </w:r>
      <w:proofErr w:type="spellEnd"/>
      <w:r w:rsidRPr="00A32FFA">
        <w:rPr>
          <w:rFonts w:ascii="TimesNewRomanPSMT" w:hAnsi="TimesNewRomanPSMT"/>
        </w:rPr>
        <w:t xml:space="preserve"> </w:t>
      </w:r>
      <w:proofErr w:type="spellStart"/>
      <w:r w:rsidRPr="00A32FFA">
        <w:rPr>
          <w:rFonts w:ascii="TimesNewRomanPSMT" w:hAnsi="TimesNewRomanPSMT"/>
        </w:rPr>
        <w:t>perspectiva</w:t>
      </w:r>
      <w:proofErr w:type="spellEnd"/>
      <w:r w:rsidRPr="00A32FFA">
        <w:rPr>
          <w:rFonts w:ascii="TimesNewRomanPSMT" w:hAnsi="TimesNewRomanPSMT"/>
        </w:rPr>
        <w:t>. </w:t>
      </w:r>
      <w:proofErr w:type="spellStart"/>
      <w:r w:rsidRPr="00A32FFA">
        <w:rPr>
          <w:rFonts w:ascii="TimesNewRomanPSMT" w:hAnsi="TimesNewRomanPSMT"/>
          <w:i/>
          <w:iCs/>
        </w:rPr>
        <w:t>Revista</w:t>
      </w:r>
      <w:proofErr w:type="spellEnd"/>
      <w:r w:rsidRPr="00A32FFA">
        <w:rPr>
          <w:rFonts w:ascii="TimesNewRomanPSMT" w:hAnsi="TimesNewRomanPSMT"/>
          <w:i/>
          <w:iCs/>
        </w:rPr>
        <w:t xml:space="preserve"> </w:t>
      </w:r>
      <w:proofErr w:type="spellStart"/>
      <w:r w:rsidRPr="00A32FFA">
        <w:rPr>
          <w:rFonts w:ascii="TimesNewRomanPSMT" w:hAnsi="TimesNewRomanPSMT"/>
          <w:i/>
          <w:iCs/>
        </w:rPr>
        <w:t>Bioética</w:t>
      </w:r>
      <w:proofErr w:type="spellEnd"/>
      <w:r w:rsidRPr="00A32FFA">
        <w:rPr>
          <w:rFonts w:ascii="TimesNewRomanPSMT" w:hAnsi="TimesNewRomanPSMT"/>
          <w:i/>
          <w:iCs/>
        </w:rPr>
        <w:t xml:space="preserve"> CREMEGO</w:t>
      </w:r>
      <w:r w:rsidRPr="00A32FFA">
        <w:rPr>
          <w:rFonts w:ascii="TimesNewRomanPSMT" w:hAnsi="TimesNewRomanPSMT"/>
        </w:rPr>
        <w:t> </w:t>
      </w:r>
      <w:r w:rsidRPr="00A32FFA">
        <w:rPr>
          <w:rFonts w:ascii="TimesNewRomanPSMT" w:hAnsi="TimesNewRomanPSMT"/>
          <w:i/>
          <w:iCs/>
        </w:rPr>
        <w:t>2</w:t>
      </w:r>
      <w:r w:rsidRPr="00A32FFA">
        <w:rPr>
          <w:rFonts w:ascii="TimesNewRomanPSMT" w:hAnsi="TimesNewRomanPSMT"/>
        </w:rPr>
        <w:t>(2)</w:t>
      </w:r>
      <w:r>
        <w:rPr>
          <w:rFonts w:ascii="TimesNewRomanPSMT" w:hAnsi="TimesNewRomanPSMT"/>
        </w:rPr>
        <w:t>:</w:t>
      </w:r>
      <w:r w:rsidRPr="00A32FFA">
        <w:rPr>
          <w:rFonts w:ascii="TimesNewRomanPSMT" w:hAnsi="TimesNewRomanPSMT"/>
        </w:rPr>
        <w:t xml:space="preserve"> 30-35.</w:t>
      </w:r>
    </w:p>
    <w:p w14:paraId="0CCA001A" w14:textId="77777777" w:rsidR="009317AE" w:rsidRDefault="009317AE" w:rsidP="009317AE">
      <w:pPr>
        <w:pStyle w:val="NormalWeb"/>
        <w:jc w:val="both"/>
        <w:rPr>
          <w:rFonts w:ascii="TimesNewRomanPSMT" w:hAnsi="TimesNewRomanPSMT"/>
        </w:rPr>
      </w:pPr>
      <w:proofErr w:type="spellStart"/>
      <w:r w:rsidRPr="00A32FFA">
        <w:rPr>
          <w:rFonts w:ascii="TimesNewRomanPSMT" w:hAnsi="TimesNewRomanPSMT"/>
        </w:rPr>
        <w:t>Florençano</w:t>
      </w:r>
      <w:proofErr w:type="spellEnd"/>
      <w:r w:rsidRPr="00A32FFA">
        <w:rPr>
          <w:rFonts w:ascii="TimesNewRomanPSMT" w:hAnsi="TimesNewRomanPSMT"/>
        </w:rPr>
        <w:t xml:space="preserve">, J. C. S., &amp; Abud, M. J. M. (1999). </w:t>
      </w:r>
      <w:proofErr w:type="spellStart"/>
      <w:r w:rsidRPr="00A32FFA">
        <w:rPr>
          <w:rFonts w:ascii="TimesNewRomanPSMT" w:hAnsi="TimesNewRomanPSMT"/>
        </w:rPr>
        <w:t>Histórico</w:t>
      </w:r>
      <w:proofErr w:type="spellEnd"/>
      <w:r w:rsidRPr="00A32FFA">
        <w:rPr>
          <w:rFonts w:ascii="TimesNewRomanPSMT" w:hAnsi="TimesNewRomanPSMT"/>
        </w:rPr>
        <w:t xml:space="preserve"> das </w:t>
      </w:r>
      <w:proofErr w:type="spellStart"/>
      <w:r w:rsidRPr="00A32FFA">
        <w:rPr>
          <w:rFonts w:ascii="TimesNewRomanPSMT" w:hAnsi="TimesNewRomanPSMT"/>
        </w:rPr>
        <w:t>profissões</w:t>
      </w:r>
      <w:proofErr w:type="spellEnd"/>
      <w:r w:rsidRPr="00A32FFA">
        <w:rPr>
          <w:rFonts w:ascii="TimesNewRomanPSMT" w:hAnsi="TimesNewRomanPSMT"/>
        </w:rPr>
        <w:t xml:space="preserve"> de </w:t>
      </w:r>
      <w:proofErr w:type="spellStart"/>
      <w:r w:rsidRPr="00A32FFA">
        <w:rPr>
          <w:rFonts w:ascii="TimesNewRomanPSMT" w:hAnsi="TimesNewRomanPSMT"/>
        </w:rPr>
        <w:t>engenheiro</w:t>
      </w:r>
      <w:proofErr w:type="spellEnd"/>
      <w:r w:rsidRPr="00A32FFA">
        <w:rPr>
          <w:rFonts w:ascii="TimesNewRomanPSMT" w:hAnsi="TimesNewRomanPSMT"/>
        </w:rPr>
        <w:t xml:space="preserve">, </w:t>
      </w:r>
      <w:proofErr w:type="spellStart"/>
      <w:r w:rsidRPr="00A32FFA">
        <w:rPr>
          <w:rFonts w:ascii="TimesNewRomanPSMT" w:hAnsi="TimesNewRomanPSMT"/>
        </w:rPr>
        <w:t>arquiteto</w:t>
      </w:r>
      <w:proofErr w:type="spellEnd"/>
      <w:r w:rsidRPr="00A32FFA">
        <w:rPr>
          <w:rFonts w:ascii="TimesNewRomanPSMT" w:hAnsi="TimesNewRomanPSMT"/>
        </w:rPr>
        <w:t xml:space="preserve"> e </w:t>
      </w:r>
      <w:proofErr w:type="spellStart"/>
      <w:r w:rsidRPr="00A32FFA">
        <w:rPr>
          <w:rFonts w:ascii="TimesNewRomanPSMT" w:hAnsi="TimesNewRomanPSMT"/>
        </w:rPr>
        <w:t>agrônomo</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w:t>
      </w:r>
      <w:proofErr w:type="spellStart"/>
      <w:r w:rsidRPr="00A32FFA">
        <w:rPr>
          <w:rFonts w:ascii="TimesNewRomanPSMT" w:hAnsi="TimesNewRomanPSMT"/>
          <w:i/>
          <w:iCs/>
        </w:rPr>
        <w:t>Revista</w:t>
      </w:r>
      <w:proofErr w:type="spellEnd"/>
      <w:r w:rsidRPr="00A32FFA">
        <w:rPr>
          <w:rFonts w:ascii="TimesNewRomanPSMT" w:hAnsi="TimesNewRomanPSMT"/>
          <w:i/>
          <w:iCs/>
        </w:rPr>
        <w:t xml:space="preserve"> </w:t>
      </w:r>
      <w:proofErr w:type="spellStart"/>
      <w:r w:rsidRPr="00A32FFA">
        <w:rPr>
          <w:rFonts w:ascii="TimesNewRomanPSMT" w:hAnsi="TimesNewRomanPSMT"/>
          <w:i/>
          <w:iCs/>
        </w:rPr>
        <w:t>Ciências</w:t>
      </w:r>
      <w:proofErr w:type="spellEnd"/>
      <w:r w:rsidRPr="00A32FFA">
        <w:rPr>
          <w:rFonts w:ascii="TimesNewRomanPSMT" w:hAnsi="TimesNewRomanPSMT"/>
          <w:i/>
          <w:iCs/>
        </w:rPr>
        <w:t xml:space="preserve"> </w:t>
      </w:r>
      <w:proofErr w:type="spellStart"/>
      <w:r w:rsidRPr="00A32FFA">
        <w:rPr>
          <w:rFonts w:ascii="TimesNewRomanPSMT" w:hAnsi="TimesNewRomanPSMT"/>
          <w:i/>
          <w:iCs/>
        </w:rPr>
        <w:t>Exatas</w:t>
      </w:r>
      <w:proofErr w:type="spellEnd"/>
      <w:r>
        <w:rPr>
          <w:rFonts w:ascii="TimesNewRomanPSMT" w:hAnsi="TimesNewRomanPSMT"/>
        </w:rPr>
        <w:t xml:space="preserve"> </w:t>
      </w:r>
      <w:r w:rsidRPr="00FA5DB4">
        <w:rPr>
          <w:rFonts w:ascii="TimesNewRomanPSMT" w:hAnsi="TimesNewRomanPSMT"/>
        </w:rPr>
        <w:t>5</w:t>
      </w:r>
      <w:r>
        <w:rPr>
          <w:rFonts w:ascii="TimesNewRomanPSMT" w:hAnsi="TimesNewRomanPSMT"/>
        </w:rPr>
        <w:t>(</w:t>
      </w:r>
      <w:r w:rsidRPr="00FA5DB4">
        <w:rPr>
          <w:rFonts w:ascii="TimesNewRomanPSMT" w:hAnsi="TimesNewRomanPSMT"/>
        </w:rPr>
        <w:t>8</w:t>
      </w:r>
      <w:r>
        <w:rPr>
          <w:rFonts w:ascii="TimesNewRomanPSMT" w:hAnsi="TimesNewRomanPSMT"/>
        </w:rPr>
        <w:t>):</w:t>
      </w:r>
      <w:r w:rsidRPr="00FA5DB4">
        <w:rPr>
          <w:rFonts w:ascii="TimesNewRomanPSMT" w:hAnsi="TimesNewRomanPSMT"/>
        </w:rPr>
        <w:t xml:space="preserve"> 97-105</w:t>
      </w:r>
      <w:r>
        <w:rPr>
          <w:rFonts w:ascii="TimesNewRomanPSMT" w:hAnsi="TimesNewRomanPSMT"/>
        </w:rPr>
        <w:t>.</w:t>
      </w:r>
    </w:p>
    <w:p w14:paraId="3C72A014" w14:textId="77777777" w:rsidR="009317AE" w:rsidRDefault="009317AE" w:rsidP="009317AE">
      <w:pPr>
        <w:pStyle w:val="NormalWeb"/>
        <w:jc w:val="both"/>
        <w:rPr>
          <w:rFonts w:ascii="TimesNewRomanPSMT" w:hAnsi="TimesNewRomanPSMT"/>
        </w:rPr>
      </w:pPr>
      <w:proofErr w:type="spellStart"/>
      <w:r w:rsidRPr="00043E51">
        <w:rPr>
          <w:rFonts w:ascii="TimesNewRomanPSMT" w:hAnsi="TimesNewRomanPSMT"/>
        </w:rPr>
        <w:t>F</w:t>
      </w:r>
      <w:r>
        <w:rPr>
          <w:rFonts w:ascii="TimesNewRomanPSMT" w:hAnsi="TimesNewRomanPSMT"/>
        </w:rPr>
        <w:t>ugazza</w:t>
      </w:r>
      <w:proofErr w:type="spellEnd"/>
      <w:r w:rsidRPr="00043E51">
        <w:rPr>
          <w:rFonts w:ascii="TimesNewRomanPSMT" w:hAnsi="TimesNewRomanPSMT"/>
        </w:rPr>
        <w:t>, M.; J</w:t>
      </w:r>
      <w:r>
        <w:rPr>
          <w:rFonts w:ascii="TimesNewRomanPSMT" w:hAnsi="TimesNewRomanPSMT"/>
        </w:rPr>
        <w:t>acques</w:t>
      </w:r>
      <w:r w:rsidRPr="00043E51">
        <w:rPr>
          <w:rFonts w:ascii="TimesNewRomanPSMT" w:hAnsi="TimesNewRomanPSMT"/>
        </w:rPr>
        <w:t>, J-F. Labor market institutions, taxation and the underground economy</w:t>
      </w:r>
      <w:r>
        <w:rPr>
          <w:rFonts w:ascii="TimesNewRomanPSMT" w:hAnsi="TimesNewRomanPSMT"/>
        </w:rPr>
        <w:t>.</w:t>
      </w:r>
      <w:r w:rsidRPr="00043E51">
        <w:rPr>
          <w:rFonts w:ascii="TimesNewRomanPSMT" w:hAnsi="TimesNewRomanPSMT"/>
        </w:rPr>
        <w:t xml:space="preserve"> </w:t>
      </w:r>
      <w:r w:rsidRPr="00043E51">
        <w:rPr>
          <w:rFonts w:ascii="TimesNewRomanPSMT" w:hAnsi="TimesNewRomanPSMT"/>
          <w:i/>
          <w:iCs/>
        </w:rPr>
        <w:t>Journal of Public Economics</w:t>
      </w:r>
      <w:r w:rsidRPr="00043E51">
        <w:rPr>
          <w:rFonts w:ascii="TimesNewRomanPSMT" w:hAnsi="TimesNewRomanPSMT"/>
        </w:rPr>
        <w:t>,</w:t>
      </w:r>
      <w:r>
        <w:rPr>
          <w:rFonts w:ascii="TimesNewRomanPSMT" w:hAnsi="TimesNewRomanPSMT"/>
        </w:rPr>
        <w:t xml:space="preserve"> </w:t>
      </w:r>
      <w:r w:rsidRPr="00043E51">
        <w:rPr>
          <w:rFonts w:ascii="TimesNewRomanPSMT" w:hAnsi="TimesNewRomanPSMT"/>
        </w:rPr>
        <w:t>88</w:t>
      </w:r>
      <w:r>
        <w:rPr>
          <w:rFonts w:ascii="TimesNewRomanPSMT" w:hAnsi="TimesNewRomanPSMT"/>
        </w:rPr>
        <w:t>(</w:t>
      </w:r>
      <w:r w:rsidRPr="00043E51">
        <w:rPr>
          <w:rFonts w:ascii="TimesNewRomanPSMT" w:hAnsi="TimesNewRomanPSMT"/>
        </w:rPr>
        <w:t>1-2</w:t>
      </w:r>
      <w:r>
        <w:rPr>
          <w:rFonts w:ascii="TimesNewRomanPSMT" w:hAnsi="TimesNewRomanPSMT"/>
        </w:rPr>
        <w:t xml:space="preserve">): </w:t>
      </w:r>
      <w:r w:rsidRPr="00FA5DB4">
        <w:rPr>
          <w:rFonts w:ascii="TimesNewRomanPSMT" w:hAnsi="TimesNewRomanPSMT"/>
        </w:rPr>
        <w:t>395-418.</w:t>
      </w:r>
    </w:p>
    <w:p w14:paraId="1473EB0F" w14:textId="77777777" w:rsidR="009317AE" w:rsidRDefault="009317AE" w:rsidP="009317AE">
      <w:pPr>
        <w:pStyle w:val="NormalWeb"/>
        <w:jc w:val="both"/>
        <w:rPr>
          <w:rFonts w:ascii="TimesNewRomanPSMT" w:hAnsi="TimesNewRomanPSMT"/>
        </w:rPr>
      </w:pPr>
      <w:proofErr w:type="spellStart"/>
      <w:r w:rsidRPr="00A32FFA">
        <w:rPr>
          <w:rFonts w:ascii="TimesNewRomanPSMT" w:hAnsi="TimesNewRomanPSMT"/>
        </w:rPr>
        <w:t>Gir</w:t>
      </w:r>
      <w:proofErr w:type="spellEnd"/>
      <w:r w:rsidRPr="00A32FFA">
        <w:rPr>
          <w:rFonts w:ascii="TimesNewRomanPSMT" w:hAnsi="TimesNewRomanPSMT"/>
        </w:rPr>
        <w:t xml:space="preserve">, E., Duarte, G., Pinto, V. M., Machado, J. P., Reis, R. K., &amp; Carvalho, M. J. (2003). </w:t>
      </w:r>
      <w:proofErr w:type="spellStart"/>
      <w:r w:rsidRPr="00A32FFA">
        <w:rPr>
          <w:rFonts w:ascii="TimesNewRomanPSMT" w:hAnsi="TimesNewRomanPSMT"/>
        </w:rPr>
        <w:t>Conhecimentos</w:t>
      </w:r>
      <w:proofErr w:type="spellEnd"/>
      <w:r w:rsidRPr="00A32FFA">
        <w:rPr>
          <w:rFonts w:ascii="TimesNewRomanPSMT" w:hAnsi="TimesNewRomanPSMT"/>
        </w:rPr>
        <w:t xml:space="preserve"> de </w:t>
      </w:r>
      <w:proofErr w:type="spellStart"/>
      <w:r w:rsidRPr="00A32FFA">
        <w:rPr>
          <w:rFonts w:ascii="TimesNewRomanPSMT" w:hAnsi="TimesNewRomanPSMT"/>
        </w:rPr>
        <w:t>balconistas</w:t>
      </w:r>
      <w:proofErr w:type="spellEnd"/>
      <w:r w:rsidRPr="00A32FFA">
        <w:rPr>
          <w:rFonts w:ascii="TimesNewRomanPSMT" w:hAnsi="TimesNewRomanPSMT"/>
        </w:rPr>
        <w:t xml:space="preserve"> de </w:t>
      </w:r>
      <w:proofErr w:type="spellStart"/>
      <w:r w:rsidRPr="00A32FFA">
        <w:rPr>
          <w:rFonts w:ascii="TimesNewRomanPSMT" w:hAnsi="TimesNewRomanPSMT"/>
        </w:rPr>
        <w:t>farmácia</w:t>
      </w:r>
      <w:proofErr w:type="spellEnd"/>
      <w:r w:rsidRPr="00A32FFA">
        <w:rPr>
          <w:rFonts w:ascii="TimesNewRomanPSMT" w:hAnsi="TimesNewRomanPSMT"/>
        </w:rPr>
        <w:t xml:space="preserve"> de </w:t>
      </w:r>
      <w:proofErr w:type="spellStart"/>
      <w:r w:rsidRPr="00A32FFA">
        <w:rPr>
          <w:rFonts w:ascii="TimesNewRomanPSMT" w:hAnsi="TimesNewRomanPSMT"/>
        </w:rPr>
        <w:t>Ribeirão</w:t>
      </w:r>
      <w:proofErr w:type="spellEnd"/>
      <w:r w:rsidRPr="00A32FFA">
        <w:rPr>
          <w:rFonts w:ascii="TimesNewRomanPSMT" w:hAnsi="TimesNewRomanPSMT"/>
        </w:rPr>
        <w:t xml:space="preserve"> Preto </w:t>
      </w:r>
      <w:proofErr w:type="spellStart"/>
      <w:r w:rsidRPr="00A32FFA">
        <w:rPr>
          <w:rFonts w:ascii="TimesNewRomanPSMT" w:hAnsi="TimesNewRomanPSMT"/>
        </w:rPr>
        <w:t>sobre</w:t>
      </w:r>
      <w:proofErr w:type="spellEnd"/>
      <w:r w:rsidRPr="00A32FFA">
        <w:rPr>
          <w:rFonts w:ascii="TimesNewRomanPSMT" w:hAnsi="TimesNewRomanPSMT"/>
        </w:rPr>
        <w:t xml:space="preserve"> </w:t>
      </w:r>
      <w:proofErr w:type="spellStart"/>
      <w:r w:rsidRPr="00A32FFA">
        <w:rPr>
          <w:rFonts w:ascii="TimesNewRomanPSMT" w:hAnsi="TimesNewRomanPSMT"/>
        </w:rPr>
        <w:t>gonorréia</w:t>
      </w:r>
      <w:proofErr w:type="spellEnd"/>
      <w:r w:rsidRPr="00A32FFA">
        <w:rPr>
          <w:rFonts w:ascii="TimesNewRomanPSMT" w:hAnsi="TimesNewRomanPSMT"/>
        </w:rPr>
        <w:t>. </w:t>
      </w:r>
      <w:r w:rsidRPr="00A32FFA">
        <w:rPr>
          <w:rFonts w:ascii="TimesNewRomanPSMT" w:hAnsi="TimesNewRomanPSMT"/>
          <w:i/>
          <w:iCs/>
        </w:rPr>
        <w:t>Brazilian Journal of Sexually Transmitted Diseases</w:t>
      </w:r>
      <w:r w:rsidRPr="00A32FFA">
        <w:rPr>
          <w:rFonts w:ascii="TimesNewRomanPSMT" w:hAnsi="TimesNewRomanPSMT"/>
        </w:rPr>
        <w:t>, </w:t>
      </w:r>
      <w:r w:rsidRPr="00A32FFA">
        <w:rPr>
          <w:rFonts w:ascii="TimesNewRomanPSMT" w:hAnsi="TimesNewRomanPSMT"/>
          <w:i/>
          <w:iCs/>
        </w:rPr>
        <w:t>15</w:t>
      </w:r>
      <w:r w:rsidRPr="00A32FFA">
        <w:rPr>
          <w:rFonts w:ascii="TimesNewRomanPSMT" w:hAnsi="TimesNewRomanPSMT"/>
        </w:rPr>
        <w:t>(3), 24-30.</w:t>
      </w:r>
    </w:p>
    <w:p w14:paraId="3E0D5AC4"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Girardi, S. N., Fernandes Jr, H., &amp; Carvalho, C. L. (2000). A </w:t>
      </w:r>
      <w:proofErr w:type="spellStart"/>
      <w:r w:rsidRPr="00A32FFA">
        <w:rPr>
          <w:rFonts w:ascii="TimesNewRomanPSMT" w:hAnsi="TimesNewRomanPSMT"/>
        </w:rPr>
        <w:t>regulamentação</w:t>
      </w:r>
      <w:proofErr w:type="spellEnd"/>
      <w:r w:rsidRPr="00A32FFA">
        <w:rPr>
          <w:rFonts w:ascii="TimesNewRomanPSMT" w:hAnsi="TimesNewRomanPSMT"/>
        </w:rPr>
        <w:t xml:space="preserve"> das </w:t>
      </w:r>
      <w:proofErr w:type="spellStart"/>
      <w:r w:rsidRPr="00A32FFA">
        <w:rPr>
          <w:rFonts w:ascii="TimesNewRomanPSMT" w:hAnsi="TimesNewRomanPSMT"/>
        </w:rPr>
        <w:t>profissões</w:t>
      </w:r>
      <w:proofErr w:type="spellEnd"/>
      <w:r w:rsidRPr="00A32FFA">
        <w:rPr>
          <w:rFonts w:ascii="TimesNewRomanPSMT" w:hAnsi="TimesNewRomanPSMT"/>
        </w:rPr>
        <w:t xml:space="preserve"> de </w:t>
      </w:r>
      <w:proofErr w:type="spellStart"/>
      <w:r w:rsidRPr="00A32FFA">
        <w:rPr>
          <w:rFonts w:ascii="TimesNewRomanPSMT" w:hAnsi="TimesNewRomanPSMT"/>
        </w:rPr>
        <w:t>saúde</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w:t>
      </w:r>
      <w:proofErr w:type="spellStart"/>
      <w:r w:rsidRPr="00A32FFA">
        <w:rPr>
          <w:rFonts w:ascii="TimesNewRomanPSMT" w:hAnsi="TimesNewRomanPSMT"/>
          <w:i/>
          <w:iCs/>
        </w:rPr>
        <w:t>Espaço</w:t>
      </w:r>
      <w:proofErr w:type="spellEnd"/>
      <w:r w:rsidRPr="00A32FFA">
        <w:rPr>
          <w:rFonts w:ascii="TimesNewRomanPSMT" w:hAnsi="TimesNewRomanPSMT"/>
          <w:i/>
          <w:iCs/>
        </w:rPr>
        <w:t xml:space="preserve"> para </w:t>
      </w:r>
      <w:proofErr w:type="spellStart"/>
      <w:r w:rsidRPr="00A32FFA">
        <w:rPr>
          <w:rFonts w:ascii="TimesNewRomanPSMT" w:hAnsi="TimesNewRomanPSMT"/>
          <w:i/>
          <w:iCs/>
        </w:rPr>
        <w:t>Saúde</w:t>
      </w:r>
      <w:proofErr w:type="spellEnd"/>
      <w:r w:rsidRPr="00A32FFA">
        <w:rPr>
          <w:rFonts w:ascii="TimesNewRomanPSMT" w:hAnsi="TimesNewRomanPSMT"/>
        </w:rPr>
        <w:t>, </w:t>
      </w:r>
      <w:r w:rsidRPr="00A32FFA">
        <w:rPr>
          <w:rFonts w:ascii="TimesNewRomanPSMT" w:hAnsi="TimesNewRomanPSMT"/>
          <w:i/>
          <w:iCs/>
        </w:rPr>
        <w:t>2</w:t>
      </w:r>
      <w:r w:rsidRPr="00A32FFA">
        <w:rPr>
          <w:rFonts w:ascii="TimesNewRomanPSMT" w:hAnsi="TimesNewRomanPSMT"/>
        </w:rPr>
        <w:t>(1), 1-21.</w:t>
      </w:r>
    </w:p>
    <w:p w14:paraId="215FF383" w14:textId="77777777" w:rsidR="009317AE" w:rsidRDefault="009317AE" w:rsidP="009317AE">
      <w:pPr>
        <w:pStyle w:val="NormalWeb"/>
        <w:jc w:val="both"/>
        <w:rPr>
          <w:rFonts w:ascii="TimesNewRomanPSMT" w:hAnsi="TimesNewRomanPSMT"/>
        </w:rPr>
      </w:pPr>
      <w:proofErr w:type="spellStart"/>
      <w:r w:rsidRPr="00A32FFA">
        <w:rPr>
          <w:rFonts w:ascii="TimesNewRomanPSMT" w:hAnsi="TimesNewRomanPSMT"/>
        </w:rPr>
        <w:t>Guimarães</w:t>
      </w:r>
      <w:proofErr w:type="spellEnd"/>
      <w:r w:rsidRPr="00A32FFA">
        <w:rPr>
          <w:rFonts w:ascii="TimesNewRomanPSMT" w:hAnsi="TimesNewRomanPSMT"/>
        </w:rPr>
        <w:t xml:space="preserve">, R. G. M., &amp; Rego, S. (2005). O debate </w:t>
      </w:r>
      <w:proofErr w:type="spellStart"/>
      <w:r w:rsidRPr="00A32FFA">
        <w:rPr>
          <w:rFonts w:ascii="TimesNewRomanPSMT" w:hAnsi="TimesNewRomanPSMT"/>
        </w:rPr>
        <w:t>sobre</w:t>
      </w:r>
      <w:proofErr w:type="spellEnd"/>
      <w:r w:rsidRPr="00A32FFA">
        <w:rPr>
          <w:rFonts w:ascii="TimesNewRomanPSMT" w:hAnsi="TimesNewRomanPSMT"/>
        </w:rPr>
        <w:t xml:space="preserve"> a </w:t>
      </w:r>
      <w:proofErr w:type="spellStart"/>
      <w:r w:rsidRPr="00A32FFA">
        <w:rPr>
          <w:rFonts w:ascii="TimesNewRomanPSMT" w:hAnsi="TimesNewRomanPSMT"/>
        </w:rPr>
        <w:t>regulamentação</w:t>
      </w:r>
      <w:proofErr w:type="spellEnd"/>
      <w:r w:rsidRPr="00A32FFA">
        <w:rPr>
          <w:rFonts w:ascii="TimesNewRomanPSMT" w:hAnsi="TimesNewRomanPSMT"/>
        </w:rPr>
        <w:t xml:space="preserve"> do </w:t>
      </w:r>
      <w:proofErr w:type="spellStart"/>
      <w:r w:rsidRPr="00A32FFA">
        <w:rPr>
          <w:rFonts w:ascii="TimesNewRomanPSMT" w:hAnsi="TimesNewRomanPSMT"/>
        </w:rPr>
        <w:t>ato</w:t>
      </w:r>
      <w:proofErr w:type="spellEnd"/>
      <w:r w:rsidRPr="00A32FFA">
        <w:rPr>
          <w:rFonts w:ascii="TimesNewRomanPSMT" w:hAnsi="TimesNewRomanPSMT"/>
        </w:rPr>
        <w:t xml:space="preserve"> </w:t>
      </w:r>
      <w:proofErr w:type="spellStart"/>
      <w:r w:rsidRPr="00A32FFA">
        <w:rPr>
          <w:rFonts w:ascii="TimesNewRomanPSMT" w:hAnsi="TimesNewRomanPSMT"/>
        </w:rPr>
        <w:t>médico</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w:t>
      </w:r>
      <w:proofErr w:type="spellStart"/>
      <w:r w:rsidRPr="00A32FFA">
        <w:rPr>
          <w:rFonts w:ascii="TimesNewRomanPSMT" w:hAnsi="TimesNewRomanPSMT"/>
          <w:i/>
          <w:iCs/>
        </w:rPr>
        <w:t>Ciência</w:t>
      </w:r>
      <w:proofErr w:type="spellEnd"/>
      <w:r w:rsidRPr="00A32FFA">
        <w:rPr>
          <w:rFonts w:ascii="TimesNewRomanPSMT" w:hAnsi="TimesNewRomanPSMT"/>
          <w:i/>
          <w:iCs/>
        </w:rPr>
        <w:t xml:space="preserve"> &amp; </w:t>
      </w:r>
      <w:proofErr w:type="spellStart"/>
      <w:r w:rsidRPr="00A32FFA">
        <w:rPr>
          <w:rFonts w:ascii="TimesNewRomanPSMT" w:hAnsi="TimesNewRomanPSMT"/>
          <w:i/>
          <w:iCs/>
        </w:rPr>
        <w:t>Saúde</w:t>
      </w:r>
      <w:proofErr w:type="spellEnd"/>
      <w:r w:rsidRPr="00A32FFA">
        <w:rPr>
          <w:rFonts w:ascii="TimesNewRomanPSMT" w:hAnsi="TimesNewRomanPSMT"/>
          <w:i/>
          <w:iCs/>
        </w:rPr>
        <w:t xml:space="preserve"> </w:t>
      </w:r>
      <w:proofErr w:type="spellStart"/>
      <w:r w:rsidRPr="00A32FFA">
        <w:rPr>
          <w:rFonts w:ascii="TimesNewRomanPSMT" w:hAnsi="TimesNewRomanPSMT"/>
          <w:i/>
          <w:iCs/>
        </w:rPr>
        <w:t>Coletiva</w:t>
      </w:r>
      <w:proofErr w:type="spellEnd"/>
      <w:r w:rsidRPr="00A32FFA">
        <w:rPr>
          <w:rFonts w:ascii="TimesNewRomanPSMT" w:hAnsi="TimesNewRomanPSMT"/>
        </w:rPr>
        <w:t>, </w:t>
      </w:r>
      <w:r w:rsidRPr="00A32FFA">
        <w:rPr>
          <w:rFonts w:ascii="TimesNewRomanPSMT" w:hAnsi="TimesNewRomanPSMT"/>
          <w:i/>
          <w:iCs/>
        </w:rPr>
        <w:t>10</w:t>
      </w:r>
      <w:r w:rsidRPr="00A32FFA">
        <w:rPr>
          <w:rFonts w:ascii="TimesNewRomanPSMT" w:hAnsi="TimesNewRomanPSMT"/>
        </w:rPr>
        <w:t>, 7-17.</w:t>
      </w:r>
    </w:p>
    <w:p w14:paraId="790DA80D" w14:textId="77777777" w:rsidR="009317AE" w:rsidRDefault="009317AE" w:rsidP="009317AE">
      <w:pPr>
        <w:pStyle w:val="NormalWeb"/>
        <w:jc w:val="both"/>
        <w:rPr>
          <w:rFonts w:ascii="TimesNewRomanPSMT" w:hAnsi="TimesNewRomanPSMT"/>
        </w:rPr>
      </w:pPr>
      <w:r w:rsidRPr="00C32D3C">
        <w:rPr>
          <w:rFonts w:ascii="TimesNewRomanPSMT" w:hAnsi="TimesNewRomanPSMT"/>
        </w:rPr>
        <w:lastRenderedPageBreak/>
        <w:t xml:space="preserve">Heckman, J. J., &amp; </w:t>
      </w:r>
      <w:proofErr w:type="spellStart"/>
      <w:r w:rsidRPr="00C32D3C">
        <w:rPr>
          <w:rFonts w:ascii="TimesNewRomanPSMT" w:hAnsi="TimesNewRomanPSMT"/>
        </w:rPr>
        <w:t>Pagés</w:t>
      </w:r>
      <w:proofErr w:type="spellEnd"/>
      <w:r w:rsidRPr="00C32D3C">
        <w:rPr>
          <w:rFonts w:ascii="TimesNewRomanPSMT" w:hAnsi="TimesNewRomanPSMT"/>
        </w:rPr>
        <w:t>, C. (2000). The cost of job security regulation: Evidence from Latin American labor markets.</w:t>
      </w:r>
      <w:r>
        <w:rPr>
          <w:rFonts w:ascii="TimesNewRomanPSMT" w:hAnsi="TimesNewRomanPSMT"/>
        </w:rPr>
        <w:t xml:space="preserve"> Working Paper 7773. National Bureau of Economic Research. </w:t>
      </w:r>
    </w:p>
    <w:p w14:paraId="1BF4F528" w14:textId="77777777" w:rsidR="009317AE" w:rsidRDefault="009317AE" w:rsidP="009317AE">
      <w:pPr>
        <w:pStyle w:val="NormalWeb"/>
        <w:jc w:val="both"/>
        <w:rPr>
          <w:rFonts w:ascii="TimesNewRomanPSMT" w:hAnsi="TimesNewRomanPSMT"/>
        </w:rPr>
      </w:pPr>
      <w:proofErr w:type="spellStart"/>
      <w:r w:rsidRPr="00B222D3">
        <w:rPr>
          <w:rFonts w:ascii="TimesNewRomanPSMT" w:hAnsi="TimesNewRomanPSMT"/>
        </w:rPr>
        <w:t>Jatoba</w:t>
      </w:r>
      <w:proofErr w:type="spellEnd"/>
      <w:r w:rsidRPr="00B222D3">
        <w:rPr>
          <w:rFonts w:ascii="TimesNewRomanPSMT" w:hAnsi="TimesNewRomanPSMT"/>
        </w:rPr>
        <w:t>́, J</w:t>
      </w:r>
      <w:r>
        <w:rPr>
          <w:rFonts w:ascii="TimesNewRomanPSMT" w:hAnsi="TimesNewRomanPSMT"/>
        </w:rPr>
        <w:t>. (</w:t>
      </w:r>
      <w:r w:rsidRPr="00B222D3">
        <w:rPr>
          <w:rFonts w:ascii="TimesNewRomanPSMT" w:hAnsi="TimesNewRomanPSMT"/>
        </w:rPr>
        <w:t>1994</w:t>
      </w:r>
      <w:r>
        <w:rPr>
          <w:rFonts w:ascii="TimesNewRomanPSMT" w:hAnsi="TimesNewRomanPSMT"/>
        </w:rPr>
        <w:t>)</w:t>
      </w:r>
      <w:r w:rsidRPr="00B222D3">
        <w:rPr>
          <w:rFonts w:ascii="TimesNewRomanPSMT" w:hAnsi="TimesNewRomanPSMT"/>
        </w:rPr>
        <w:t xml:space="preserve">. </w:t>
      </w:r>
      <w:proofErr w:type="spellStart"/>
      <w:r w:rsidRPr="00B222D3">
        <w:rPr>
          <w:rFonts w:ascii="TimesNewRomanPSMT" w:hAnsi="TimesNewRomanPSMT"/>
        </w:rPr>
        <w:t>Encargos</w:t>
      </w:r>
      <w:proofErr w:type="spellEnd"/>
      <w:r w:rsidRPr="00B222D3">
        <w:rPr>
          <w:rFonts w:ascii="TimesNewRomanPSMT" w:hAnsi="TimesNewRomanPSMT"/>
        </w:rPr>
        <w:t xml:space="preserve"> </w:t>
      </w:r>
      <w:proofErr w:type="spellStart"/>
      <w:r w:rsidRPr="00B222D3">
        <w:rPr>
          <w:rFonts w:ascii="TimesNewRomanPSMT" w:hAnsi="TimesNewRomanPSMT"/>
        </w:rPr>
        <w:t>sociais</w:t>
      </w:r>
      <w:proofErr w:type="spellEnd"/>
      <w:r w:rsidRPr="00B222D3">
        <w:rPr>
          <w:rFonts w:ascii="TimesNewRomanPSMT" w:hAnsi="TimesNewRomanPSMT"/>
        </w:rPr>
        <w:t xml:space="preserve">, custos da </w:t>
      </w:r>
      <w:proofErr w:type="spellStart"/>
      <w:r w:rsidRPr="00B222D3">
        <w:rPr>
          <w:rFonts w:ascii="TimesNewRomanPSMT" w:hAnsi="TimesNewRomanPSMT"/>
        </w:rPr>
        <w:t>mão</w:t>
      </w:r>
      <w:proofErr w:type="spellEnd"/>
      <w:r w:rsidRPr="00B222D3">
        <w:rPr>
          <w:rFonts w:ascii="TimesNewRomanPSMT" w:hAnsi="TimesNewRomanPSMT"/>
        </w:rPr>
        <w:t xml:space="preserve"> de </w:t>
      </w:r>
      <w:proofErr w:type="spellStart"/>
      <w:r w:rsidRPr="00B222D3">
        <w:rPr>
          <w:rFonts w:ascii="TimesNewRomanPSMT" w:hAnsi="TimesNewRomanPSMT"/>
        </w:rPr>
        <w:t>obra</w:t>
      </w:r>
      <w:proofErr w:type="spellEnd"/>
      <w:r w:rsidRPr="00B222D3">
        <w:rPr>
          <w:rFonts w:ascii="TimesNewRomanPSMT" w:hAnsi="TimesNewRomanPSMT"/>
        </w:rPr>
        <w:t xml:space="preserve"> e </w:t>
      </w:r>
      <w:proofErr w:type="spellStart"/>
      <w:r w:rsidRPr="00B222D3">
        <w:rPr>
          <w:rFonts w:ascii="TimesNewRomanPSMT" w:hAnsi="TimesNewRomanPSMT"/>
        </w:rPr>
        <w:t>flexibilidade</w:t>
      </w:r>
      <w:proofErr w:type="spellEnd"/>
      <w:r w:rsidRPr="00B222D3">
        <w:rPr>
          <w:rFonts w:ascii="TimesNewRomanPSMT" w:hAnsi="TimesNewRomanPSMT"/>
        </w:rPr>
        <w:t xml:space="preserve"> do mercado de </w:t>
      </w:r>
      <w:proofErr w:type="spellStart"/>
      <w:r w:rsidRPr="00B222D3">
        <w:rPr>
          <w:rFonts w:ascii="TimesNewRomanPSMT" w:hAnsi="TimesNewRomanPSMT"/>
        </w:rPr>
        <w:t>trabalho</w:t>
      </w:r>
      <w:proofErr w:type="spellEnd"/>
      <w:r w:rsidRPr="00B222D3">
        <w:rPr>
          <w:rFonts w:ascii="TimesNewRomanPSMT" w:hAnsi="TimesNewRomanPSMT"/>
        </w:rPr>
        <w:t xml:space="preserve"> no </w:t>
      </w:r>
      <w:proofErr w:type="spellStart"/>
      <w:r w:rsidRPr="00B222D3">
        <w:rPr>
          <w:rFonts w:ascii="TimesNewRomanPSMT" w:hAnsi="TimesNewRomanPSMT"/>
        </w:rPr>
        <w:t>Brasil</w:t>
      </w:r>
      <w:proofErr w:type="spellEnd"/>
      <w:r w:rsidRPr="00B222D3">
        <w:rPr>
          <w:rFonts w:ascii="TimesNewRomanPSMT" w:hAnsi="TimesNewRomanPSMT"/>
        </w:rPr>
        <w:t xml:space="preserve">. In </w:t>
      </w:r>
      <w:proofErr w:type="spellStart"/>
      <w:r w:rsidRPr="00B222D3">
        <w:rPr>
          <w:rFonts w:ascii="TimesNewRomanPSMT" w:hAnsi="TimesNewRomanPSMT"/>
          <w:i/>
          <w:iCs/>
        </w:rPr>
        <w:t>Conferência</w:t>
      </w:r>
      <w:proofErr w:type="spellEnd"/>
      <w:r w:rsidRPr="00B222D3">
        <w:rPr>
          <w:rFonts w:ascii="TimesNewRomanPSMT" w:hAnsi="TimesNewRomanPSMT"/>
          <w:i/>
          <w:iCs/>
        </w:rPr>
        <w:t xml:space="preserve"> </w:t>
      </w:r>
      <w:proofErr w:type="spellStart"/>
      <w:r w:rsidRPr="00B222D3">
        <w:rPr>
          <w:rFonts w:ascii="TimesNewRomanPSMT" w:hAnsi="TimesNewRomanPSMT"/>
          <w:i/>
          <w:iCs/>
        </w:rPr>
        <w:t>sobre</w:t>
      </w:r>
      <w:proofErr w:type="spellEnd"/>
      <w:r w:rsidRPr="00B222D3">
        <w:rPr>
          <w:rFonts w:ascii="TimesNewRomanPSMT" w:hAnsi="TimesNewRomanPSMT"/>
          <w:i/>
          <w:iCs/>
        </w:rPr>
        <w:t xml:space="preserve"> </w:t>
      </w:r>
      <w:proofErr w:type="spellStart"/>
      <w:r w:rsidRPr="00B222D3">
        <w:rPr>
          <w:rFonts w:ascii="TimesNewRomanPSMT" w:hAnsi="TimesNewRomanPSMT"/>
          <w:i/>
          <w:iCs/>
        </w:rPr>
        <w:t>regulamentação</w:t>
      </w:r>
      <w:proofErr w:type="spellEnd"/>
      <w:r w:rsidRPr="00B222D3">
        <w:rPr>
          <w:rFonts w:ascii="TimesNewRomanPSMT" w:hAnsi="TimesNewRomanPSMT"/>
          <w:i/>
          <w:iCs/>
        </w:rPr>
        <w:t xml:space="preserve"> do mercado de </w:t>
      </w:r>
      <w:proofErr w:type="spellStart"/>
      <w:r w:rsidRPr="00B222D3">
        <w:rPr>
          <w:rFonts w:ascii="TimesNewRomanPSMT" w:hAnsi="TimesNewRomanPSMT"/>
          <w:i/>
          <w:iCs/>
        </w:rPr>
        <w:t>trabalho</w:t>
      </w:r>
      <w:proofErr w:type="spellEnd"/>
      <w:r w:rsidRPr="00B222D3">
        <w:rPr>
          <w:rFonts w:ascii="TimesNewRomanPSMT" w:hAnsi="TimesNewRomanPSMT"/>
          <w:i/>
          <w:iCs/>
        </w:rPr>
        <w:t xml:space="preserve"> no </w:t>
      </w:r>
      <w:proofErr w:type="spellStart"/>
      <w:r w:rsidRPr="00B222D3">
        <w:rPr>
          <w:rFonts w:ascii="TimesNewRomanPSMT" w:hAnsi="TimesNewRomanPSMT"/>
          <w:i/>
          <w:iCs/>
        </w:rPr>
        <w:t>Brasil</w:t>
      </w:r>
      <w:proofErr w:type="spellEnd"/>
      <w:r w:rsidRPr="00B222D3">
        <w:rPr>
          <w:rFonts w:ascii="TimesNewRomanPSMT" w:hAnsi="TimesNewRomanPSMT"/>
          <w:i/>
          <w:iCs/>
        </w:rPr>
        <w:t xml:space="preserve">, </w:t>
      </w:r>
      <w:r w:rsidRPr="00B222D3">
        <w:rPr>
          <w:rFonts w:ascii="TimesNewRomanPSMT" w:hAnsi="TimesNewRomanPSMT"/>
        </w:rPr>
        <w:t xml:space="preserve">ed. IPEA, 1–36. Rio de Janeiro, Brazil: Institute for Applied Economic Research. </w:t>
      </w:r>
    </w:p>
    <w:p w14:paraId="1F6DD1BB" w14:textId="77777777" w:rsidR="009317AE" w:rsidRDefault="009317AE" w:rsidP="009317AE">
      <w:pPr>
        <w:pStyle w:val="NormalWeb"/>
        <w:jc w:val="both"/>
        <w:rPr>
          <w:rFonts w:ascii="TimesNewRomanPSMT" w:hAnsi="TimesNewRomanPSMT"/>
        </w:rPr>
      </w:pPr>
      <w:r w:rsidRPr="00C32D3C">
        <w:rPr>
          <w:rFonts w:ascii="TimesNewRomanPSMT" w:hAnsi="TimesNewRomanPSMT"/>
        </w:rPr>
        <w:t>K</w:t>
      </w:r>
      <w:r>
        <w:rPr>
          <w:rFonts w:ascii="TimesNewRomanPSMT" w:hAnsi="TimesNewRomanPSMT"/>
        </w:rPr>
        <w:t>ugler</w:t>
      </w:r>
      <w:r w:rsidRPr="00C32D3C">
        <w:rPr>
          <w:rFonts w:ascii="TimesNewRomanPSMT" w:hAnsi="TimesNewRomanPSMT"/>
        </w:rPr>
        <w:t xml:space="preserve">, A. </w:t>
      </w:r>
      <w:r>
        <w:rPr>
          <w:rFonts w:ascii="TimesNewRomanPSMT" w:hAnsi="TimesNewRomanPSMT"/>
        </w:rPr>
        <w:t xml:space="preserve">(2000). </w:t>
      </w:r>
      <w:r w:rsidRPr="00C32D3C">
        <w:rPr>
          <w:rFonts w:ascii="TimesNewRomanPSMT" w:hAnsi="TimesNewRomanPSMT"/>
        </w:rPr>
        <w:t>The Incidence of Job Security Regulations on Labor Market Flexibility and Compliance in Colombia: Evidence from the 1990 Reform</w:t>
      </w:r>
      <w:r>
        <w:rPr>
          <w:rFonts w:ascii="TimesNewRomanPSMT" w:hAnsi="TimesNewRomanPSMT"/>
        </w:rPr>
        <w:t xml:space="preserve">. </w:t>
      </w:r>
      <w:r w:rsidRPr="00C32D3C">
        <w:rPr>
          <w:rFonts w:ascii="TimesNewRomanPSMT" w:hAnsi="TimesNewRomanPSMT"/>
        </w:rPr>
        <w:t>Research Network Working Paper R-393</w:t>
      </w:r>
      <w:r>
        <w:rPr>
          <w:rFonts w:ascii="TimesNewRomanPSMT" w:hAnsi="TimesNewRomanPSMT"/>
        </w:rPr>
        <w:t xml:space="preserve">. </w:t>
      </w:r>
      <w:r w:rsidRPr="00C32D3C">
        <w:rPr>
          <w:rFonts w:ascii="TimesNewRomanPSMT" w:hAnsi="TimesNewRomanPSMT"/>
        </w:rPr>
        <w:t>Inter-American Development Bank</w:t>
      </w:r>
      <w:r>
        <w:rPr>
          <w:rFonts w:ascii="TimesNewRomanPSMT" w:hAnsi="TimesNewRomanPSMT"/>
        </w:rPr>
        <w:t>.</w:t>
      </w:r>
    </w:p>
    <w:p w14:paraId="5313B060" w14:textId="77777777" w:rsidR="009317AE" w:rsidRDefault="009317AE" w:rsidP="009317AE">
      <w:pPr>
        <w:pStyle w:val="NormalWeb"/>
        <w:jc w:val="both"/>
        <w:rPr>
          <w:rFonts w:ascii="TimesNewRomanPSMT" w:hAnsi="TimesNewRomanPSMT"/>
        </w:rPr>
      </w:pPr>
      <w:r w:rsidRPr="00B222D3">
        <w:rPr>
          <w:rFonts w:ascii="TimesNewRomanPSMT" w:hAnsi="TimesNewRomanPSMT"/>
        </w:rPr>
        <w:t>Macedo, R</w:t>
      </w:r>
      <w:r>
        <w:rPr>
          <w:rFonts w:ascii="TimesNewRomanPSMT" w:hAnsi="TimesNewRomanPSMT"/>
        </w:rPr>
        <w:t>.</w:t>
      </w:r>
      <w:r w:rsidRPr="00B222D3">
        <w:rPr>
          <w:rFonts w:ascii="TimesNewRomanPSMT" w:hAnsi="TimesNewRomanPSMT"/>
        </w:rPr>
        <w:t xml:space="preserve"> B</w:t>
      </w:r>
      <w:r>
        <w:rPr>
          <w:rFonts w:ascii="TimesNewRomanPSMT" w:hAnsi="TimesNewRomanPSMT"/>
        </w:rPr>
        <w:t>.</w:t>
      </w:r>
      <w:r w:rsidRPr="00B222D3">
        <w:rPr>
          <w:rFonts w:ascii="TimesNewRomanPSMT" w:hAnsi="TimesNewRomanPSMT"/>
        </w:rPr>
        <w:t xml:space="preserve"> M. </w:t>
      </w:r>
      <w:r>
        <w:rPr>
          <w:rFonts w:ascii="TimesNewRomanPSMT" w:hAnsi="TimesNewRomanPSMT"/>
        </w:rPr>
        <w:t>(</w:t>
      </w:r>
      <w:r w:rsidRPr="00B222D3">
        <w:rPr>
          <w:rFonts w:ascii="TimesNewRomanPSMT" w:hAnsi="TimesNewRomanPSMT"/>
        </w:rPr>
        <w:t>1985</w:t>
      </w:r>
      <w:r>
        <w:rPr>
          <w:rFonts w:ascii="TimesNewRomanPSMT" w:hAnsi="TimesNewRomanPSMT"/>
        </w:rPr>
        <w:t>)</w:t>
      </w:r>
      <w:r w:rsidRPr="00B222D3">
        <w:rPr>
          <w:rFonts w:ascii="TimesNewRomanPSMT" w:hAnsi="TimesNewRomanPSMT"/>
        </w:rPr>
        <w:t xml:space="preserve">. </w:t>
      </w:r>
      <w:proofErr w:type="spellStart"/>
      <w:r w:rsidRPr="00B222D3">
        <w:rPr>
          <w:rFonts w:ascii="TimesNewRomanPSMT" w:hAnsi="TimesNewRomanPSMT"/>
        </w:rPr>
        <w:t>Diferenciais</w:t>
      </w:r>
      <w:proofErr w:type="spellEnd"/>
      <w:r w:rsidRPr="00B222D3">
        <w:rPr>
          <w:rFonts w:ascii="TimesNewRomanPSMT" w:hAnsi="TimesNewRomanPSMT"/>
        </w:rPr>
        <w:t xml:space="preserve"> de </w:t>
      </w:r>
      <w:proofErr w:type="spellStart"/>
      <w:r w:rsidRPr="00B222D3">
        <w:rPr>
          <w:rFonts w:ascii="TimesNewRomanPSMT" w:hAnsi="TimesNewRomanPSMT"/>
        </w:rPr>
        <w:t>salários</w:t>
      </w:r>
      <w:proofErr w:type="spellEnd"/>
      <w:r w:rsidRPr="00B222D3">
        <w:rPr>
          <w:rFonts w:ascii="TimesNewRomanPSMT" w:hAnsi="TimesNewRomanPSMT"/>
        </w:rPr>
        <w:t xml:space="preserve"> entre </w:t>
      </w:r>
      <w:proofErr w:type="spellStart"/>
      <w:r w:rsidRPr="00B222D3">
        <w:rPr>
          <w:rFonts w:ascii="TimesNewRomanPSMT" w:hAnsi="TimesNewRomanPSMT"/>
        </w:rPr>
        <w:t>empresas</w:t>
      </w:r>
      <w:proofErr w:type="spellEnd"/>
      <w:r w:rsidRPr="00B222D3">
        <w:rPr>
          <w:rFonts w:ascii="TimesNewRomanPSMT" w:hAnsi="TimesNewRomanPSMT"/>
        </w:rPr>
        <w:t xml:space="preserve"> </w:t>
      </w:r>
      <w:proofErr w:type="spellStart"/>
      <w:r w:rsidRPr="00B222D3">
        <w:rPr>
          <w:rFonts w:ascii="TimesNewRomanPSMT" w:hAnsi="TimesNewRomanPSMT"/>
        </w:rPr>
        <w:t>privadas</w:t>
      </w:r>
      <w:proofErr w:type="spellEnd"/>
      <w:r w:rsidRPr="00B222D3">
        <w:rPr>
          <w:rFonts w:ascii="TimesNewRomanPSMT" w:hAnsi="TimesNewRomanPSMT"/>
        </w:rPr>
        <w:t xml:space="preserve"> e </w:t>
      </w:r>
      <w:proofErr w:type="spellStart"/>
      <w:r w:rsidRPr="00B222D3">
        <w:rPr>
          <w:rFonts w:ascii="TimesNewRomanPSMT" w:hAnsi="TimesNewRomanPSMT"/>
        </w:rPr>
        <w:t>estatais</w:t>
      </w:r>
      <w:proofErr w:type="spellEnd"/>
      <w:r w:rsidRPr="00B222D3">
        <w:rPr>
          <w:rFonts w:ascii="TimesNewRomanPSMT" w:hAnsi="TimesNewRomanPSMT"/>
        </w:rPr>
        <w:t xml:space="preserve"> no </w:t>
      </w:r>
      <w:proofErr w:type="spellStart"/>
      <w:r w:rsidRPr="00B222D3">
        <w:rPr>
          <w:rFonts w:ascii="TimesNewRomanPSMT" w:hAnsi="TimesNewRomanPSMT"/>
        </w:rPr>
        <w:t>Brasil</w:t>
      </w:r>
      <w:proofErr w:type="spellEnd"/>
      <w:r w:rsidRPr="00B222D3">
        <w:rPr>
          <w:rFonts w:ascii="TimesNewRomanPSMT" w:hAnsi="TimesNewRomanPSMT"/>
        </w:rPr>
        <w:t xml:space="preserve">. </w:t>
      </w:r>
      <w:proofErr w:type="spellStart"/>
      <w:r w:rsidRPr="00B222D3">
        <w:rPr>
          <w:rFonts w:ascii="TimesNewRomanPSMT" w:hAnsi="TimesNewRomanPSMT"/>
          <w:i/>
          <w:iCs/>
        </w:rPr>
        <w:t>Revista</w:t>
      </w:r>
      <w:proofErr w:type="spellEnd"/>
      <w:r w:rsidRPr="00B222D3">
        <w:rPr>
          <w:rFonts w:ascii="TimesNewRomanPSMT" w:hAnsi="TimesNewRomanPSMT"/>
          <w:i/>
          <w:iCs/>
        </w:rPr>
        <w:t xml:space="preserve"> </w:t>
      </w:r>
      <w:proofErr w:type="spellStart"/>
      <w:r w:rsidRPr="00B222D3">
        <w:rPr>
          <w:rFonts w:ascii="TimesNewRomanPSMT" w:hAnsi="TimesNewRomanPSMT"/>
          <w:i/>
          <w:iCs/>
        </w:rPr>
        <w:t>Brasileira</w:t>
      </w:r>
      <w:proofErr w:type="spellEnd"/>
      <w:r w:rsidRPr="00B222D3">
        <w:rPr>
          <w:rFonts w:ascii="TimesNewRomanPSMT" w:hAnsi="TimesNewRomanPSMT"/>
          <w:i/>
          <w:iCs/>
        </w:rPr>
        <w:t xml:space="preserve"> de Economia </w:t>
      </w:r>
      <w:r w:rsidRPr="00B222D3">
        <w:rPr>
          <w:rFonts w:ascii="TimesNewRomanPSMT" w:hAnsi="TimesNewRomanPSMT"/>
        </w:rPr>
        <w:t xml:space="preserve">39 (4): 448–73. </w:t>
      </w:r>
    </w:p>
    <w:p w14:paraId="35622A9E" w14:textId="77777777" w:rsidR="009317AE" w:rsidRDefault="009317AE" w:rsidP="009317AE">
      <w:pPr>
        <w:pStyle w:val="NormalWeb"/>
        <w:jc w:val="both"/>
        <w:rPr>
          <w:rFonts w:ascii="TimesNewRomanPSMT" w:hAnsi="TimesNewRomanPSMT"/>
        </w:rPr>
      </w:pPr>
      <w:proofErr w:type="spellStart"/>
      <w:r w:rsidRPr="00660C47">
        <w:rPr>
          <w:rFonts w:ascii="TimesNewRomanPSMT" w:hAnsi="TimesNewRomanPSMT"/>
        </w:rPr>
        <w:t>Madalozzo</w:t>
      </w:r>
      <w:proofErr w:type="spellEnd"/>
      <w:r w:rsidRPr="00660C47">
        <w:rPr>
          <w:rFonts w:ascii="TimesNewRomanPSMT" w:hAnsi="TimesNewRomanPSMT"/>
        </w:rPr>
        <w:t>, R. (2010). Occupational segregation and the gender wage gap in Brazil: an empirical analysis. </w:t>
      </w:r>
      <w:r w:rsidRPr="00660C47">
        <w:rPr>
          <w:rFonts w:ascii="TimesNewRomanPSMT" w:hAnsi="TimesNewRomanPSMT"/>
          <w:i/>
          <w:iCs/>
        </w:rPr>
        <w:t xml:space="preserve">Economia </w:t>
      </w:r>
      <w:proofErr w:type="spellStart"/>
      <w:r>
        <w:rPr>
          <w:rFonts w:ascii="TimesNewRomanPSMT" w:hAnsi="TimesNewRomanPSMT"/>
          <w:i/>
          <w:iCs/>
        </w:rPr>
        <w:t>A</w:t>
      </w:r>
      <w:r w:rsidRPr="00660C47">
        <w:rPr>
          <w:rFonts w:ascii="TimesNewRomanPSMT" w:hAnsi="TimesNewRomanPSMT"/>
          <w:i/>
          <w:iCs/>
        </w:rPr>
        <w:t>plicada</w:t>
      </w:r>
      <w:proofErr w:type="spellEnd"/>
      <w:r w:rsidRPr="00660C47">
        <w:rPr>
          <w:rFonts w:ascii="TimesNewRomanPSMT" w:hAnsi="TimesNewRomanPSMT"/>
        </w:rPr>
        <w:t>, 14</w:t>
      </w:r>
      <w:r>
        <w:rPr>
          <w:rFonts w:ascii="TimesNewRomanPSMT" w:hAnsi="TimesNewRomanPSMT"/>
        </w:rPr>
        <w:t>(2):</w:t>
      </w:r>
      <w:r w:rsidRPr="00660C47">
        <w:rPr>
          <w:rFonts w:ascii="TimesNewRomanPSMT" w:hAnsi="TimesNewRomanPSMT"/>
        </w:rPr>
        <w:t xml:space="preserve"> 147-168.</w:t>
      </w:r>
    </w:p>
    <w:p w14:paraId="1209BDC7" w14:textId="77777777" w:rsidR="009317AE" w:rsidRDefault="009317AE" w:rsidP="009317AE">
      <w:pPr>
        <w:pStyle w:val="NormalWeb"/>
        <w:jc w:val="both"/>
        <w:rPr>
          <w:rFonts w:ascii="TimesNewRomanPSMT" w:hAnsi="TimesNewRomanPSMT"/>
        </w:rPr>
      </w:pPr>
      <w:r w:rsidRPr="00C32D3C">
        <w:rPr>
          <w:rFonts w:ascii="TimesNewRomanPSMT" w:hAnsi="TimesNewRomanPSMT"/>
        </w:rPr>
        <w:t>M</w:t>
      </w:r>
      <w:r>
        <w:rPr>
          <w:rFonts w:ascii="TimesNewRomanPSMT" w:hAnsi="TimesNewRomanPSMT"/>
        </w:rPr>
        <w:t>árquez</w:t>
      </w:r>
      <w:r w:rsidRPr="00C32D3C">
        <w:rPr>
          <w:rFonts w:ascii="TimesNewRomanPSMT" w:hAnsi="TimesNewRomanPSMT"/>
        </w:rPr>
        <w:t xml:space="preserve">, G.; </w:t>
      </w:r>
      <w:proofErr w:type="spellStart"/>
      <w:r w:rsidRPr="00C32D3C">
        <w:rPr>
          <w:rFonts w:ascii="TimesNewRomanPSMT" w:hAnsi="TimesNewRomanPSMT"/>
        </w:rPr>
        <w:t>P</w:t>
      </w:r>
      <w:r>
        <w:rPr>
          <w:rFonts w:ascii="TimesNewRomanPSMT" w:hAnsi="TimesNewRomanPSMT"/>
        </w:rPr>
        <w:t>agés</w:t>
      </w:r>
      <w:proofErr w:type="spellEnd"/>
      <w:r w:rsidRPr="00C32D3C">
        <w:rPr>
          <w:rFonts w:ascii="TimesNewRomanPSMT" w:hAnsi="TimesNewRomanPSMT"/>
        </w:rPr>
        <w:t xml:space="preserve">, C. </w:t>
      </w:r>
      <w:r>
        <w:rPr>
          <w:rFonts w:ascii="TimesNewRomanPSMT" w:hAnsi="TimesNewRomanPSMT"/>
        </w:rPr>
        <w:t xml:space="preserve">(1998). </w:t>
      </w:r>
      <w:r w:rsidRPr="00C32D3C">
        <w:rPr>
          <w:rFonts w:ascii="TimesNewRomanPSMT" w:hAnsi="TimesNewRomanPSMT"/>
        </w:rPr>
        <w:t xml:space="preserve">Ties that Bind: Employment Protection and the Labor Outcomes in La- tin America. Inter-American Development Bank, Office of the Chief Economist, 1998. </w:t>
      </w:r>
    </w:p>
    <w:p w14:paraId="1AC22E9F"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Nascimento, L. C. (2011). Um diploma </w:t>
      </w:r>
      <w:proofErr w:type="spellStart"/>
      <w:r w:rsidRPr="00A32FFA">
        <w:rPr>
          <w:rFonts w:ascii="TimesNewRomanPSMT" w:hAnsi="TimesNewRomanPSMT"/>
        </w:rPr>
        <w:t>em</w:t>
      </w:r>
      <w:proofErr w:type="spellEnd"/>
      <w:r w:rsidRPr="00A32FFA">
        <w:rPr>
          <w:rFonts w:ascii="TimesNewRomanPSMT" w:hAnsi="TimesNewRomanPSMT"/>
        </w:rPr>
        <w:t xml:space="preserve"> </w:t>
      </w:r>
      <w:proofErr w:type="spellStart"/>
      <w:r w:rsidRPr="00A32FFA">
        <w:rPr>
          <w:rFonts w:ascii="TimesNewRomanPSMT" w:hAnsi="TimesNewRomanPSMT"/>
        </w:rPr>
        <w:t>disputa</w:t>
      </w:r>
      <w:proofErr w:type="spellEnd"/>
      <w:r w:rsidRPr="00A32FFA">
        <w:rPr>
          <w:rFonts w:ascii="TimesNewRomanPSMT" w:hAnsi="TimesNewRomanPSMT"/>
        </w:rPr>
        <w:t xml:space="preserve">: </w:t>
      </w:r>
      <w:proofErr w:type="gramStart"/>
      <w:r w:rsidRPr="00A32FFA">
        <w:rPr>
          <w:rFonts w:ascii="TimesNewRomanPSMT" w:hAnsi="TimesNewRomanPSMT"/>
        </w:rPr>
        <w:t>a</w:t>
      </w:r>
      <w:proofErr w:type="gramEnd"/>
      <w:r w:rsidRPr="00A32FFA">
        <w:rPr>
          <w:rFonts w:ascii="TimesNewRomanPSMT" w:hAnsi="TimesNewRomanPSMT"/>
        </w:rPr>
        <w:t xml:space="preserve"> </w:t>
      </w:r>
      <w:proofErr w:type="spellStart"/>
      <w:r w:rsidRPr="00A32FFA">
        <w:rPr>
          <w:rFonts w:ascii="TimesNewRomanPSMT" w:hAnsi="TimesNewRomanPSMT"/>
        </w:rPr>
        <w:t>obrigatoriedade</w:t>
      </w:r>
      <w:proofErr w:type="spellEnd"/>
      <w:r w:rsidRPr="00A32FFA">
        <w:rPr>
          <w:rFonts w:ascii="TimesNewRomanPSMT" w:hAnsi="TimesNewRomanPSMT"/>
        </w:rPr>
        <w:t xml:space="preserve"> do diploma </w:t>
      </w:r>
      <w:proofErr w:type="spellStart"/>
      <w:r w:rsidRPr="00A32FFA">
        <w:rPr>
          <w:rFonts w:ascii="TimesNewRomanPSMT" w:hAnsi="TimesNewRomanPSMT"/>
        </w:rPr>
        <w:t>em</w:t>
      </w:r>
      <w:proofErr w:type="spellEnd"/>
      <w:r w:rsidRPr="00A32FFA">
        <w:rPr>
          <w:rFonts w:ascii="TimesNewRomanPSMT" w:hAnsi="TimesNewRomanPSMT"/>
        </w:rPr>
        <w:t xml:space="preserve"> </w:t>
      </w:r>
      <w:proofErr w:type="spellStart"/>
      <w:r w:rsidRPr="00A32FFA">
        <w:rPr>
          <w:rFonts w:ascii="TimesNewRomanPSMT" w:hAnsi="TimesNewRomanPSMT"/>
        </w:rPr>
        <w:t>jornalismo</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w:t>
      </w:r>
      <w:proofErr w:type="spellStart"/>
      <w:r w:rsidRPr="00A32FFA">
        <w:rPr>
          <w:rFonts w:ascii="TimesNewRomanPSMT" w:hAnsi="TimesNewRomanPSMT"/>
          <w:i/>
          <w:iCs/>
        </w:rPr>
        <w:t>Sociedade</w:t>
      </w:r>
      <w:proofErr w:type="spellEnd"/>
      <w:r w:rsidRPr="00A32FFA">
        <w:rPr>
          <w:rFonts w:ascii="TimesNewRomanPSMT" w:hAnsi="TimesNewRomanPSMT"/>
          <w:i/>
          <w:iCs/>
        </w:rPr>
        <w:t xml:space="preserve"> e Cultura</w:t>
      </w:r>
      <w:r w:rsidRPr="00A32FFA">
        <w:rPr>
          <w:rFonts w:ascii="TimesNewRomanPSMT" w:hAnsi="TimesNewRomanPSMT"/>
        </w:rPr>
        <w:t>, </w:t>
      </w:r>
      <w:r w:rsidRPr="00A32FFA">
        <w:rPr>
          <w:rFonts w:ascii="TimesNewRomanPSMT" w:hAnsi="TimesNewRomanPSMT"/>
          <w:i/>
          <w:iCs/>
        </w:rPr>
        <w:t>14</w:t>
      </w:r>
      <w:r w:rsidRPr="00A32FFA">
        <w:rPr>
          <w:rFonts w:ascii="TimesNewRomanPSMT" w:hAnsi="TimesNewRomanPSMT"/>
        </w:rPr>
        <w:t>(1)</w:t>
      </w:r>
      <w:r>
        <w:rPr>
          <w:rFonts w:ascii="TimesNewRomanPSMT" w:hAnsi="TimesNewRomanPSMT"/>
        </w:rPr>
        <w:t>:</w:t>
      </w:r>
      <w:r w:rsidRPr="00A32FFA">
        <w:rPr>
          <w:rFonts w:ascii="TimesNewRomanPSMT" w:hAnsi="TimesNewRomanPSMT"/>
        </w:rPr>
        <w:t xml:space="preserve"> 1</w:t>
      </w:r>
      <w:r>
        <w:rPr>
          <w:rFonts w:ascii="TimesNewRomanPSMT" w:hAnsi="TimesNewRomanPSMT"/>
        </w:rPr>
        <w:t>41-150.</w:t>
      </w:r>
    </w:p>
    <w:p w14:paraId="26834D80"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Pereira, F. M., &amp; Pereira Neto, A. (2003). O </w:t>
      </w:r>
      <w:proofErr w:type="spellStart"/>
      <w:r w:rsidRPr="00A32FFA">
        <w:rPr>
          <w:rFonts w:ascii="TimesNewRomanPSMT" w:hAnsi="TimesNewRomanPSMT"/>
        </w:rPr>
        <w:t>psicólogo</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xml:space="preserve">: </w:t>
      </w:r>
      <w:proofErr w:type="spellStart"/>
      <w:r w:rsidRPr="00A32FFA">
        <w:rPr>
          <w:rFonts w:ascii="TimesNewRomanPSMT" w:hAnsi="TimesNewRomanPSMT"/>
        </w:rPr>
        <w:t>notas</w:t>
      </w:r>
      <w:proofErr w:type="spellEnd"/>
      <w:r w:rsidRPr="00A32FFA">
        <w:rPr>
          <w:rFonts w:ascii="TimesNewRomanPSMT" w:hAnsi="TimesNewRomanPSMT"/>
        </w:rPr>
        <w:t xml:space="preserve"> </w:t>
      </w:r>
      <w:proofErr w:type="spellStart"/>
      <w:r w:rsidRPr="00A32FFA">
        <w:rPr>
          <w:rFonts w:ascii="TimesNewRomanPSMT" w:hAnsi="TimesNewRomanPSMT"/>
        </w:rPr>
        <w:t>sobre</w:t>
      </w:r>
      <w:proofErr w:type="spellEnd"/>
      <w:r w:rsidRPr="00A32FFA">
        <w:rPr>
          <w:rFonts w:ascii="TimesNewRomanPSMT" w:hAnsi="TimesNewRomanPSMT"/>
        </w:rPr>
        <w:t xml:space="preserve"> </w:t>
      </w:r>
      <w:proofErr w:type="spellStart"/>
      <w:r w:rsidRPr="00A32FFA">
        <w:rPr>
          <w:rFonts w:ascii="TimesNewRomanPSMT" w:hAnsi="TimesNewRomanPSMT"/>
        </w:rPr>
        <w:t>seu</w:t>
      </w:r>
      <w:proofErr w:type="spellEnd"/>
      <w:r w:rsidRPr="00A32FFA">
        <w:rPr>
          <w:rFonts w:ascii="TimesNewRomanPSMT" w:hAnsi="TimesNewRomanPSMT"/>
        </w:rPr>
        <w:t xml:space="preserve"> </w:t>
      </w:r>
      <w:proofErr w:type="spellStart"/>
      <w:r w:rsidRPr="00A32FFA">
        <w:rPr>
          <w:rFonts w:ascii="TimesNewRomanPSMT" w:hAnsi="TimesNewRomanPSMT"/>
        </w:rPr>
        <w:t>processo</w:t>
      </w:r>
      <w:proofErr w:type="spellEnd"/>
      <w:r w:rsidRPr="00A32FFA">
        <w:rPr>
          <w:rFonts w:ascii="TimesNewRomanPSMT" w:hAnsi="TimesNewRomanPSMT"/>
        </w:rPr>
        <w:t xml:space="preserve"> de </w:t>
      </w:r>
      <w:proofErr w:type="spellStart"/>
      <w:r w:rsidRPr="00A32FFA">
        <w:rPr>
          <w:rFonts w:ascii="TimesNewRomanPSMT" w:hAnsi="TimesNewRomanPSMT"/>
        </w:rPr>
        <w:t>profissionalização</w:t>
      </w:r>
      <w:proofErr w:type="spellEnd"/>
      <w:r w:rsidRPr="00A32FFA">
        <w:rPr>
          <w:rFonts w:ascii="TimesNewRomanPSMT" w:hAnsi="TimesNewRomanPSMT"/>
        </w:rPr>
        <w:t>. </w:t>
      </w:r>
      <w:proofErr w:type="spellStart"/>
      <w:r w:rsidRPr="00A32FFA">
        <w:rPr>
          <w:rFonts w:ascii="TimesNewRomanPSMT" w:hAnsi="TimesNewRomanPSMT"/>
          <w:i/>
          <w:iCs/>
        </w:rPr>
        <w:t>Psicologia</w:t>
      </w:r>
      <w:proofErr w:type="spellEnd"/>
      <w:r w:rsidRPr="00A32FFA">
        <w:rPr>
          <w:rFonts w:ascii="TimesNewRomanPSMT" w:hAnsi="TimesNewRomanPSMT"/>
          <w:i/>
          <w:iCs/>
        </w:rPr>
        <w:t xml:space="preserve"> </w:t>
      </w:r>
      <w:proofErr w:type="spellStart"/>
      <w:r w:rsidRPr="00A32FFA">
        <w:rPr>
          <w:rFonts w:ascii="TimesNewRomanPSMT" w:hAnsi="TimesNewRomanPSMT"/>
          <w:i/>
          <w:iCs/>
        </w:rPr>
        <w:t>em</w:t>
      </w:r>
      <w:proofErr w:type="spellEnd"/>
      <w:r w:rsidRPr="00A32FFA">
        <w:rPr>
          <w:rFonts w:ascii="TimesNewRomanPSMT" w:hAnsi="TimesNewRomanPSMT"/>
          <w:i/>
          <w:iCs/>
        </w:rPr>
        <w:t xml:space="preserve"> </w:t>
      </w:r>
      <w:proofErr w:type="spellStart"/>
      <w:r w:rsidRPr="00A32FFA">
        <w:rPr>
          <w:rFonts w:ascii="TimesNewRomanPSMT" w:hAnsi="TimesNewRomanPSMT"/>
          <w:i/>
          <w:iCs/>
        </w:rPr>
        <w:t>estudo</w:t>
      </w:r>
      <w:proofErr w:type="spellEnd"/>
      <w:r w:rsidRPr="00A32FFA">
        <w:rPr>
          <w:rFonts w:ascii="TimesNewRomanPSMT" w:hAnsi="TimesNewRomanPSMT"/>
        </w:rPr>
        <w:t>, </w:t>
      </w:r>
      <w:r w:rsidRPr="00A32FFA">
        <w:rPr>
          <w:rFonts w:ascii="TimesNewRomanPSMT" w:hAnsi="TimesNewRomanPSMT"/>
          <w:i/>
          <w:iCs/>
        </w:rPr>
        <w:t>8</w:t>
      </w:r>
      <w:r>
        <w:rPr>
          <w:rFonts w:ascii="TimesNewRomanPSMT" w:hAnsi="TimesNewRomanPSMT"/>
        </w:rPr>
        <w:t>:</w:t>
      </w:r>
      <w:r w:rsidRPr="00A32FFA">
        <w:rPr>
          <w:rFonts w:ascii="TimesNewRomanPSMT" w:hAnsi="TimesNewRomanPSMT"/>
        </w:rPr>
        <w:t xml:space="preserve"> 19-27.</w:t>
      </w:r>
    </w:p>
    <w:p w14:paraId="1640E2C5" w14:textId="77777777" w:rsidR="009317AE" w:rsidRDefault="009317AE" w:rsidP="009317AE">
      <w:pPr>
        <w:pStyle w:val="NormalWeb"/>
        <w:jc w:val="both"/>
        <w:rPr>
          <w:rFonts w:ascii="TimesNewRomanPSMT" w:hAnsi="TimesNewRomanPSMT"/>
        </w:rPr>
      </w:pPr>
      <w:r w:rsidRPr="000437CA">
        <w:rPr>
          <w:rFonts w:ascii="TimesNewRomanPSMT" w:hAnsi="TimesNewRomanPSMT"/>
        </w:rPr>
        <w:t xml:space="preserve">Pires, Roberto. </w:t>
      </w:r>
      <w:r>
        <w:rPr>
          <w:rFonts w:ascii="TimesNewRomanPSMT" w:hAnsi="TimesNewRomanPSMT"/>
        </w:rPr>
        <w:t>(</w:t>
      </w:r>
      <w:r w:rsidRPr="000437CA">
        <w:rPr>
          <w:rFonts w:ascii="TimesNewRomanPSMT" w:hAnsi="TimesNewRomanPSMT"/>
        </w:rPr>
        <w:t>2008</w:t>
      </w:r>
      <w:r>
        <w:rPr>
          <w:rFonts w:ascii="TimesNewRomanPSMT" w:hAnsi="TimesNewRomanPSMT"/>
        </w:rPr>
        <w:t>)</w:t>
      </w:r>
      <w:r w:rsidRPr="000437CA">
        <w:rPr>
          <w:rFonts w:ascii="TimesNewRomanPSMT" w:hAnsi="TimesNewRomanPSMT"/>
        </w:rPr>
        <w:t xml:space="preserve">. Promoting Sustainable Compliance: Styles of </w:t>
      </w:r>
      <w:proofErr w:type="spellStart"/>
      <w:r w:rsidRPr="000437CA">
        <w:rPr>
          <w:rFonts w:ascii="TimesNewRomanPSMT" w:hAnsi="TimesNewRomanPSMT"/>
        </w:rPr>
        <w:t>Labour</w:t>
      </w:r>
      <w:proofErr w:type="spellEnd"/>
      <w:r w:rsidRPr="000437CA">
        <w:rPr>
          <w:rFonts w:ascii="TimesNewRomanPSMT" w:hAnsi="TimesNewRomanPSMT"/>
        </w:rPr>
        <w:t xml:space="preserve"> Inspection and Compliance Outcomes in Brazil. </w:t>
      </w:r>
      <w:r w:rsidRPr="000437CA">
        <w:rPr>
          <w:rFonts w:ascii="TimesNewRomanPSMT" w:hAnsi="TimesNewRomanPSMT"/>
          <w:i/>
          <w:iCs/>
        </w:rPr>
        <w:t xml:space="preserve">International </w:t>
      </w:r>
      <w:proofErr w:type="spellStart"/>
      <w:r w:rsidRPr="000437CA">
        <w:rPr>
          <w:rFonts w:ascii="TimesNewRomanPSMT" w:hAnsi="TimesNewRomanPSMT"/>
          <w:i/>
          <w:iCs/>
        </w:rPr>
        <w:t>Labour</w:t>
      </w:r>
      <w:proofErr w:type="spellEnd"/>
      <w:r w:rsidRPr="000437CA">
        <w:rPr>
          <w:rFonts w:ascii="TimesNewRomanPSMT" w:hAnsi="TimesNewRomanPSMT"/>
          <w:i/>
          <w:iCs/>
        </w:rPr>
        <w:t xml:space="preserve"> Review</w:t>
      </w:r>
      <w:r w:rsidRPr="000437CA">
        <w:rPr>
          <w:rFonts w:ascii="TimesNewRomanPSMT" w:hAnsi="TimesNewRomanPSMT"/>
        </w:rPr>
        <w:t xml:space="preserve"> 147 (2–3): 199–229.</w:t>
      </w:r>
    </w:p>
    <w:p w14:paraId="52486D0B" w14:textId="77777777" w:rsidR="009317AE" w:rsidRDefault="009317AE" w:rsidP="009317AE">
      <w:pPr>
        <w:pStyle w:val="NormalWeb"/>
        <w:jc w:val="both"/>
        <w:rPr>
          <w:rFonts w:ascii="TimesNewRomanPSMT" w:hAnsi="TimesNewRomanPSMT"/>
        </w:rPr>
      </w:pPr>
      <w:r w:rsidRPr="002F4BF1">
        <w:rPr>
          <w:rFonts w:ascii="TimesNewRomanPSMT" w:hAnsi="TimesNewRomanPSMT"/>
        </w:rPr>
        <w:t>R</w:t>
      </w:r>
      <w:r>
        <w:rPr>
          <w:rFonts w:ascii="TimesNewRomanPSMT" w:hAnsi="TimesNewRomanPSMT"/>
        </w:rPr>
        <w:t>amos</w:t>
      </w:r>
      <w:r w:rsidRPr="002F4BF1">
        <w:rPr>
          <w:rFonts w:ascii="TimesNewRomanPSMT" w:hAnsi="TimesNewRomanPSMT"/>
        </w:rPr>
        <w:t xml:space="preserve">, L. </w:t>
      </w:r>
      <w:r>
        <w:rPr>
          <w:rFonts w:ascii="TimesNewRomanPSMT" w:hAnsi="TimesNewRomanPSMT"/>
        </w:rPr>
        <w:t xml:space="preserve">(2002). </w:t>
      </w:r>
      <w:proofErr w:type="gramStart"/>
      <w:r w:rsidRPr="002F4BF1">
        <w:rPr>
          <w:rFonts w:ascii="TimesNewRomanPSMT" w:hAnsi="TimesNewRomanPSMT"/>
        </w:rPr>
        <w:t>A</w:t>
      </w:r>
      <w:proofErr w:type="gramEnd"/>
      <w:r w:rsidRPr="002F4BF1">
        <w:rPr>
          <w:rFonts w:ascii="TimesNewRomanPSMT" w:hAnsi="TimesNewRomanPSMT"/>
        </w:rPr>
        <w:t xml:space="preserve"> </w:t>
      </w:r>
      <w:proofErr w:type="spellStart"/>
      <w:r w:rsidRPr="002F4BF1">
        <w:rPr>
          <w:rFonts w:ascii="TimesNewRomanPSMT" w:hAnsi="TimesNewRomanPSMT"/>
        </w:rPr>
        <w:t>evolução</w:t>
      </w:r>
      <w:proofErr w:type="spellEnd"/>
      <w:r w:rsidRPr="002F4BF1">
        <w:rPr>
          <w:rFonts w:ascii="TimesNewRomanPSMT" w:hAnsi="TimesNewRomanPSMT"/>
        </w:rPr>
        <w:t xml:space="preserve"> da </w:t>
      </w:r>
      <w:proofErr w:type="spellStart"/>
      <w:r w:rsidRPr="002F4BF1">
        <w:rPr>
          <w:rFonts w:ascii="TimesNewRomanPSMT" w:hAnsi="TimesNewRomanPSMT"/>
        </w:rPr>
        <w:t>informalidade</w:t>
      </w:r>
      <w:proofErr w:type="spellEnd"/>
      <w:r w:rsidRPr="002F4BF1">
        <w:rPr>
          <w:rFonts w:ascii="TimesNewRomanPSMT" w:hAnsi="TimesNewRomanPSMT"/>
        </w:rPr>
        <w:t xml:space="preserve"> no </w:t>
      </w:r>
      <w:proofErr w:type="spellStart"/>
      <w:r w:rsidRPr="002F4BF1">
        <w:rPr>
          <w:rFonts w:ascii="TimesNewRomanPSMT" w:hAnsi="TimesNewRomanPSMT"/>
        </w:rPr>
        <w:t>Brasil</w:t>
      </w:r>
      <w:proofErr w:type="spellEnd"/>
      <w:r w:rsidRPr="002F4BF1">
        <w:rPr>
          <w:rFonts w:ascii="TimesNewRomanPSMT" w:hAnsi="TimesNewRomanPSMT"/>
        </w:rPr>
        <w:t xml:space="preserve"> </w:t>
      </w:r>
      <w:proofErr w:type="spellStart"/>
      <w:r w:rsidRPr="002F4BF1">
        <w:rPr>
          <w:rFonts w:ascii="TimesNewRomanPSMT" w:hAnsi="TimesNewRomanPSMT"/>
        </w:rPr>
        <w:t>metropolitano</w:t>
      </w:r>
      <w:proofErr w:type="spellEnd"/>
      <w:r w:rsidRPr="002F4BF1">
        <w:rPr>
          <w:rFonts w:ascii="TimesNewRomanPSMT" w:hAnsi="TimesNewRomanPSMT"/>
        </w:rPr>
        <w:t xml:space="preserve">: 1991-2001. </w:t>
      </w:r>
      <w:proofErr w:type="spellStart"/>
      <w:r>
        <w:rPr>
          <w:rFonts w:ascii="TimesNewRomanPSMT" w:hAnsi="TimesNewRomanPSMT"/>
        </w:rPr>
        <w:t>T</w:t>
      </w:r>
      <w:r w:rsidRPr="002F4BF1">
        <w:rPr>
          <w:rFonts w:ascii="TimesNewRomanPSMT" w:hAnsi="TimesNewRomanPSMT"/>
        </w:rPr>
        <w:t>exto</w:t>
      </w:r>
      <w:proofErr w:type="spellEnd"/>
      <w:r w:rsidRPr="002F4BF1">
        <w:rPr>
          <w:rFonts w:ascii="TimesNewRomanPSMT" w:hAnsi="TimesNewRomanPSMT"/>
        </w:rPr>
        <w:t xml:space="preserve"> para discussã</w:t>
      </w:r>
      <w:proofErr w:type="spellStart"/>
      <w:r w:rsidRPr="002F4BF1">
        <w:rPr>
          <w:rFonts w:ascii="TimesNewRomanPSMT" w:hAnsi="TimesNewRomanPSMT"/>
        </w:rPr>
        <w:t>o n</w:t>
      </w:r>
      <w:proofErr w:type="spellEnd"/>
      <w:r w:rsidRPr="002F4BF1">
        <w:rPr>
          <w:rFonts w:ascii="TimesNewRomanPSMT" w:hAnsi="TimesNewRomanPSMT"/>
        </w:rPr>
        <w:t xml:space="preserve">. 914, </w:t>
      </w:r>
      <w:r>
        <w:rPr>
          <w:rFonts w:ascii="TimesNewRomanPSMT" w:hAnsi="TimesNewRomanPSMT"/>
        </w:rPr>
        <w:t xml:space="preserve">Instituto de </w:t>
      </w:r>
      <w:proofErr w:type="spellStart"/>
      <w:r>
        <w:rPr>
          <w:rFonts w:ascii="TimesNewRomanPSMT" w:hAnsi="TimesNewRomanPSMT"/>
        </w:rPr>
        <w:t>Pesquisa</w:t>
      </w:r>
      <w:proofErr w:type="spellEnd"/>
      <w:r>
        <w:rPr>
          <w:rFonts w:ascii="TimesNewRomanPSMT" w:hAnsi="TimesNewRomanPSMT"/>
        </w:rPr>
        <w:t xml:space="preserve"> </w:t>
      </w:r>
      <w:proofErr w:type="spellStart"/>
      <w:r>
        <w:rPr>
          <w:rFonts w:ascii="TimesNewRomanPSMT" w:hAnsi="TimesNewRomanPSMT"/>
        </w:rPr>
        <w:t>Econômica</w:t>
      </w:r>
      <w:proofErr w:type="spellEnd"/>
      <w:r>
        <w:rPr>
          <w:rFonts w:ascii="TimesNewRomanPSMT" w:hAnsi="TimesNewRomanPSMT"/>
        </w:rPr>
        <w:t xml:space="preserve"> </w:t>
      </w:r>
      <w:proofErr w:type="spellStart"/>
      <w:r>
        <w:rPr>
          <w:rFonts w:ascii="TimesNewRomanPSMT" w:hAnsi="TimesNewRomanPSMT"/>
        </w:rPr>
        <w:t>Aplicada</w:t>
      </w:r>
      <w:proofErr w:type="spellEnd"/>
      <w:r>
        <w:rPr>
          <w:rFonts w:ascii="TimesNewRomanPSMT" w:hAnsi="TimesNewRomanPSMT"/>
        </w:rPr>
        <w:t>.</w:t>
      </w:r>
    </w:p>
    <w:p w14:paraId="3F8C11CB" w14:textId="77777777" w:rsidR="009317AE" w:rsidRDefault="009317AE" w:rsidP="009317AE">
      <w:pPr>
        <w:pStyle w:val="NormalWeb"/>
        <w:jc w:val="both"/>
        <w:rPr>
          <w:rFonts w:ascii="TimesNewRomanPSMT" w:hAnsi="TimesNewRomanPSMT"/>
        </w:rPr>
      </w:pPr>
      <w:proofErr w:type="spellStart"/>
      <w:r w:rsidRPr="00352632">
        <w:rPr>
          <w:rFonts w:ascii="TimesNewRomanPSMT" w:hAnsi="TimesNewRomanPSMT"/>
        </w:rPr>
        <w:t>Roubaud</w:t>
      </w:r>
      <w:proofErr w:type="spellEnd"/>
      <w:r w:rsidRPr="00352632">
        <w:rPr>
          <w:rFonts w:ascii="TimesNewRomanPSMT" w:hAnsi="TimesNewRomanPSMT"/>
        </w:rPr>
        <w:t>, F</w:t>
      </w:r>
      <w:r>
        <w:rPr>
          <w:rFonts w:ascii="TimesNewRomanPSMT" w:hAnsi="TimesNewRomanPSMT"/>
        </w:rPr>
        <w:t>.,</w:t>
      </w:r>
      <w:r w:rsidRPr="00352632">
        <w:rPr>
          <w:rFonts w:ascii="TimesNewRomanPSMT" w:hAnsi="TimesNewRomanPSMT"/>
        </w:rPr>
        <w:t xml:space="preserve"> </w:t>
      </w:r>
      <w:proofErr w:type="spellStart"/>
      <w:r w:rsidRPr="00352632">
        <w:rPr>
          <w:rFonts w:ascii="TimesNewRomanPSMT" w:hAnsi="TimesNewRomanPSMT"/>
        </w:rPr>
        <w:t>Razafindrakoto</w:t>
      </w:r>
      <w:proofErr w:type="spellEnd"/>
      <w:r w:rsidRPr="00352632">
        <w:rPr>
          <w:rFonts w:ascii="TimesNewRomanPSMT" w:hAnsi="TimesNewRomanPSMT"/>
        </w:rPr>
        <w:t>, M</w:t>
      </w:r>
      <w:r>
        <w:rPr>
          <w:rFonts w:ascii="TimesNewRomanPSMT" w:hAnsi="TimesNewRomanPSMT"/>
        </w:rPr>
        <w:t>.,</w:t>
      </w:r>
      <w:r w:rsidRPr="00352632">
        <w:rPr>
          <w:rFonts w:ascii="TimesNewRomanPSMT" w:hAnsi="TimesNewRomanPSMT"/>
        </w:rPr>
        <w:t xml:space="preserve"> </w:t>
      </w:r>
      <w:proofErr w:type="spellStart"/>
      <w:r w:rsidRPr="00352632">
        <w:rPr>
          <w:rFonts w:ascii="TimesNewRomanPSMT" w:hAnsi="TimesNewRomanPSMT"/>
        </w:rPr>
        <w:t>Saboia</w:t>
      </w:r>
      <w:proofErr w:type="spellEnd"/>
      <w:r w:rsidRPr="00352632">
        <w:rPr>
          <w:rFonts w:ascii="TimesNewRomanPSMT" w:hAnsi="TimesNewRomanPSMT"/>
        </w:rPr>
        <w:t>, J</w:t>
      </w:r>
      <w:r>
        <w:rPr>
          <w:rFonts w:ascii="TimesNewRomanPSMT" w:hAnsi="TimesNewRomanPSMT"/>
        </w:rPr>
        <w:t>.,</w:t>
      </w:r>
      <w:r w:rsidRPr="00352632">
        <w:rPr>
          <w:rFonts w:ascii="TimesNewRomanPSMT" w:hAnsi="TimesNewRomanPSMT"/>
        </w:rPr>
        <w:t xml:space="preserve"> </w:t>
      </w:r>
      <w:proofErr w:type="spellStart"/>
      <w:r w:rsidRPr="00352632">
        <w:rPr>
          <w:rFonts w:ascii="TimesNewRomanPSMT" w:hAnsi="TimesNewRomanPSMT"/>
        </w:rPr>
        <w:t>Simões</w:t>
      </w:r>
      <w:proofErr w:type="spellEnd"/>
      <w:r w:rsidRPr="00352632">
        <w:rPr>
          <w:rFonts w:ascii="TimesNewRomanPSMT" w:hAnsi="TimesNewRomanPSMT"/>
        </w:rPr>
        <w:t>, A</w:t>
      </w:r>
      <w:r>
        <w:rPr>
          <w:rFonts w:ascii="TimesNewRomanPSMT" w:hAnsi="TimesNewRomanPSMT"/>
        </w:rPr>
        <w:t>.,</w:t>
      </w:r>
      <w:r w:rsidRPr="00352632">
        <w:rPr>
          <w:rFonts w:ascii="TimesNewRomanPSMT" w:hAnsi="TimesNewRomanPSMT"/>
        </w:rPr>
        <w:t xml:space="preserve"> </w:t>
      </w:r>
      <w:proofErr w:type="spellStart"/>
      <w:r w:rsidRPr="00352632">
        <w:rPr>
          <w:rFonts w:ascii="TimesNewRomanPSMT" w:hAnsi="TimesNewRomanPSMT"/>
        </w:rPr>
        <w:t>Hallak</w:t>
      </w:r>
      <w:proofErr w:type="spellEnd"/>
      <w:r w:rsidRPr="00352632">
        <w:rPr>
          <w:rFonts w:ascii="TimesNewRomanPSMT" w:hAnsi="TimesNewRomanPSMT"/>
        </w:rPr>
        <w:t xml:space="preserve"> Neto, J</w:t>
      </w:r>
      <w:r>
        <w:rPr>
          <w:rFonts w:ascii="TimesNewRomanPSMT" w:hAnsi="TimesNewRomanPSMT"/>
        </w:rPr>
        <w:t>.,</w:t>
      </w:r>
      <w:r w:rsidRPr="00352632">
        <w:rPr>
          <w:rFonts w:ascii="TimesNewRomanPSMT" w:hAnsi="TimesNewRomanPSMT"/>
        </w:rPr>
        <w:t xml:space="preserve"> Chaves Botelho, L. (2020). </w:t>
      </w:r>
      <w:proofErr w:type="spellStart"/>
      <w:r w:rsidRPr="00352632">
        <w:rPr>
          <w:rFonts w:ascii="TimesNewRomanPSMT" w:hAnsi="TimesNewRomanPSMT"/>
        </w:rPr>
        <w:t>Conceitos</w:t>
      </w:r>
      <w:proofErr w:type="spellEnd"/>
      <w:r w:rsidRPr="00352632">
        <w:rPr>
          <w:rFonts w:ascii="TimesNewRomanPSMT" w:hAnsi="TimesNewRomanPSMT"/>
        </w:rPr>
        <w:t xml:space="preserve">, </w:t>
      </w:r>
      <w:proofErr w:type="spellStart"/>
      <w:r w:rsidRPr="00352632">
        <w:rPr>
          <w:rFonts w:ascii="TimesNewRomanPSMT" w:hAnsi="TimesNewRomanPSMT"/>
        </w:rPr>
        <w:t>definições</w:t>
      </w:r>
      <w:proofErr w:type="spellEnd"/>
      <w:r w:rsidRPr="00352632">
        <w:rPr>
          <w:rFonts w:ascii="TimesNewRomanPSMT" w:hAnsi="TimesNewRomanPSMT"/>
        </w:rPr>
        <w:t xml:space="preserve"> e </w:t>
      </w:r>
      <w:proofErr w:type="spellStart"/>
      <w:r w:rsidRPr="00352632">
        <w:rPr>
          <w:rFonts w:ascii="TimesNewRomanPSMT" w:hAnsi="TimesNewRomanPSMT"/>
        </w:rPr>
        <w:t>mensuração</w:t>
      </w:r>
      <w:proofErr w:type="spellEnd"/>
      <w:r w:rsidRPr="00352632">
        <w:rPr>
          <w:rFonts w:ascii="TimesNewRomanPSMT" w:hAnsi="TimesNewRomanPSMT"/>
        </w:rPr>
        <w:t xml:space="preserve"> do </w:t>
      </w:r>
      <w:proofErr w:type="spellStart"/>
      <w:r w:rsidRPr="00352632">
        <w:rPr>
          <w:rFonts w:ascii="TimesNewRomanPSMT" w:hAnsi="TimesNewRomanPSMT"/>
        </w:rPr>
        <w:t>trabalho</w:t>
      </w:r>
      <w:proofErr w:type="spellEnd"/>
      <w:r w:rsidRPr="00352632">
        <w:rPr>
          <w:rFonts w:ascii="TimesNewRomanPSMT" w:hAnsi="TimesNewRomanPSMT"/>
        </w:rPr>
        <w:t xml:space="preserve"> informal no </w:t>
      </w:r>
      <w:proofErr w:type="spellStart"/>
      <w:r w:rsidRPr="00352632">
        <w:rPr>
          <w:rFonts w:ascii="TimesNewRomanPSMT" w:hAnsi="TimesNewRomanPSMT"/>
        </w:rPr>
        <w:t>Brasil</w:t>
      </w:r>
      <w:proofErr w:type="spellEnd"/>
      <w:r w:rsidRPr="00352632">
        <w:rPr>
          <w:rFonts w:ascii="TimesNewRomanPSMT" w:hAnsi="TimesNewRomanPSMT"/>
        </w:rPr>
        <w:t>.</w:t>
      </w:r>
      <w:r>
        <w:rPr>
          <w:rFonts w:ascii="TimesNewRomanPSMT" w:hAnsi="TimesNewRomanPSMT"/>
        </w:rPr>
        <w:t xml:space="preserve"> Discussion Paper </w:t>
      </w:r>
      <w:r w:rsidRPr="00352632">
        <w:rPr>
          <w:rFonts w:ascii="TimesNewRomanPSMT" w:hAnsi="TimesNewRomanPSMT"/>
        </w:rPr>
        <w:t>031-2020</w:t>
      </w:r>
      <w:r>
        <w:rPr>
          <w:rFonts w:ascii="TimesNewRomanPSMT" w:hAnsi="TimesNewRomanPSMT"/>
        </w:rPr>
        <w:t xml:space="preserve">. </w:t>
      </w:r>
      <w:r w:rsidRPr="00352632">
        <w:rPr>
          <w:rFonts w:ascii="TimesNewRomanPSMT" w:hAnsi="TimesNewRomanPSMT"/>
        </w:rPr>
        <w:t>IE-UFRJ</w:t>
      </w:r>
      <w:r>
        <w:rPr>
          <w:rFonts w:ascii="TimesNewRomanPSMT" w:hAnsi="TimesNewRomanPSMT"/>
        </w:rPr>
        <w:t>.</w:t>
      </w:r>
    </w:p>
    <w:p w14:paraId="7B936791" w14:textId="77777777" w:rsidR="009317AE" w:rsidRDefault="009317AE" w:rsidP="009317AE">
      <w:pPr>
        <w:pStyle w:val="NormalWeb"/>
        <w:jc w:val="both"/>
        <w:rPr>
          <w:rFonts w:ascii="TimesNewRomanPSMT" w:hAnsi="TimesNewRomanPSMT"/>
        </w:rPr>
      </w:pPr>
      <w:proofErr w:type="spellStart"/>
      <w:r>
        <w:rPr>
          <w:rFonts w:ascii="TimesNewRomanPSMT" w:hAnsi="TimesNewRomanPSMT"/>
        </w:rPr>
        <w:t>Sayão</w:t>
      </w:r>
      <w:proofErr w:type="spellEnd"/>
      <w:r>
        <w:rPr>
          <w:rFonts w:ascii="TimesNewRomanPSMT" w:hAnsi="TimesNewRomanPSMT"/>
        </w:rPr>
        <w:t xml:space="preserve"> Romita, Arion. (2001) </w:t>
      </w:r>
      <w:proofErr w:type="spellStart"/>
      <w:r w:rsidRPr="00F510A2">
        <w:rPr>
          <w:rFonts w:ascii="TimesNewRomanPSMT" w:hAnsi="TimesNewRomanPSMT"/>
        </w:rPr>
        <w:t>Salário</w:t>
      </w:r>
      <w:proofErr w:type="spellEnd"/>
      <w:r w:rsidRPr="00F510A2">
        <w:rPr>
          <w:rFonts w:ascii="TimesNewRomanPSMT" w:hAnsi="TimesNewRomanPSMT"/>
        </w:rPr>
        <w:t xml:space="preserve"> </w:t>
      </w:r>
      <w:proofErr w:type="spellStart"/>
      <w:r w:rsidRPr="00F510A2">
        <w:rPr>
          <w:rFonts w:ascii="TimesNewRomanPSMT" w:hAnsi="TimesNewRomanPSMT"/>
        </w:rPr>
        <w:t>Mínimo</w:t>
      </w:r>
      <w:proofErr w:type="spellEnd"/>
      <w:r w:rsidRPr="00F510A2">
        <w:rPr>
          <w:rFonts w:ascii="TimesNewRomanPSMT" w:hAnsi="TimesNewRomanPSMT"/>
        </w:rPr>
        <w:t xml:space="preserve"> </w:t>
      </w:r>
      <w:proofErr w:type="spellStart"/>
      <w:r w:rsidRPr="00F510A2">
        <w:rPr>
          <w:rFonts w:ascii="TimesNewRomanPSMT" w:hAnsi="TimesNewRomanPSMT"/>
        </w:rPr>
        <w:t>Estadual</w:t>
      </w:r>
      <w:proofErr w:type="spellEnd"/>
      <w:r w:rsidRPr="00F510A2">
        <w:rPr>
          <w:rFonts w:ascii="TimesNewRomanPSMT" w:hAnsi="TimesNewRomanPSMT"/>
        </w:rPr>
        <w:t>?</w:t>
      </w:r>
      <w:r>
        <w:rPr>
          <w:rFonts w:ascii="TimesNewRomanPSMT" w:hAnsi="TimesNewRomanPSMT"/>
        </w:rPr>
        <w:t xml:space="preserve"> </w:t>
      </w:r>
      <w:proofErr w:type="spellStart"/>
      <w:r w:rsidRPr="00F510A2">
        <w:rPr>
          <w:rFonts w:ascii="TimesNewRomanPSMT" w:hAnsi="TimesNewRomanPSMT"/>
          <w:i/>
          <w:iCs/>
        </w:rPr>
        <w:t>Revista</w:t>
      </w:r>
      <w:proofErr w:type="spellEnd"/>
      <w:r w:rsidRPr="00F510A2">
        <w:rPr>
          <w:rFonts w:ascii="TimesNewRomanPSMT" w:hAnsi="TimesNewRomanPSMT"/>
          <w:i/>
          <w:iCs/>
        </w:rPr>
        <w:t xml:space="preserve"> </w:t>
      </w:r>
      <w:proofErr w:type="spellStart"/>
      <w:r w:rsidRPr="00F510A2">
        <w:rPr>
          <w:rFonts w:ascii="TimesNewRomanPSMT" w:hAnsi="TimesNewRomanPSMT"/>
          <w:i/>
          <w:iCs/>
        </w:rPr>
        <w:t>Jurídica</w:t>
      </w:r>
      <w:proofErr w:type="spellEnd"/>
      <w:r w:rsidRPr="00F510A2">
        <w:rPr>
          <w:rFonts w:ascii="TimesNewRomanPSMT" w:hAnsi="TimesNewRomanPSMT"/>
          <w:i/>
          <w:iCs/>
        </w:rPr>
        <w:t xml:space="preserve"> Virtual</w:t>
      </w:r>
      <w:r>
        <w:rPr>
          <w:rFonts w:ascii="TimesNewRomanPSMT" w:hAnsi="TimesNewRomanPSMT"/>
        </w:rPr>
        <w:t xml:space="preserve">, 2(20). </w:t>
      </w:r>
    </w:p>
    <w:p w14:paraId="60F9292C" w14:textId="77777777" w:rsidR="009317AE" w:rsidRPr="000437CA" w:rsidRDefault="009317AE" w:rsidP="009317AE">
      <w:pPr>
        <w:pStyle w:val="NormalWeb"/>
        <w:jc w:val="both"/>
        <w:rPr>
          <w:rFonts w:ascii="TimesNewRomanPSMT" w:hAnsi="TimesNewRomanPSMT"/>
        </w:rPr>
      </w:pPr>
      <w:r w:rsidRPr="009F2111">
        <w:rPr>
          <w:rFonts w:ascii="TimesNewRomanPSMT" w:hAnsi="TimesNewRomanPSMT"/>
        </w:rPr>
        <w:t>Silva, A. S. P. D., M</w:t>
      </w:r>
      <w:r>
        <w:rPr>
          <w:rFonts w:ascii="TimesNewRomanPSMT" w:hAnsi="TimesNewRomanPSMT"/>
        </w:rPr>
        <w:t>a</w:t>
      </w:r>
      <w:r w:rsidRPr="009F2111">
        <w:rPr>
          <w:rFonts w:ascii="TimesNewRomanPSMT" w:hAnsi="TimesNewRomanPSMT"/>
        </w:rPr>
        <w:t xml:space="preserve">nsueto, S. E., &amp; </w:t>
      </w:r>
      <w:proofErr w:type="spellStart"/>
      <w:r w:rsidRPr="009F2111">
        <w:rPr>
          <w:rFonts w:ascii="TimesNewRomanPSMT" w:hAnsi="TimesNewRomanPSMT"/>
        </w:rPr>
        <w:t>Porsse</w:t>
      </w:r>
      <w:proofErr w:type="spellEnd"/>
      <w:r w:rsidRPr="009F2111">
        <w:rPr>
          <w:rFonts w:ascii="TimesNewRomanPSMT" w:hAnsi="TimesNewRomanPSMT"/>
        </w:rPr>
        <w:t xml:space="preserve">, A. A. (2015). </w:t>
      </w:r>
      <w:proofErr w:type="spellStart"/>
      <w:r w:rsidRPr="009F2111">
        <w:rPr>
          <w:rFonts w:ascii="TimesNewRomanPSMT" w:hAnsi="TimesNewRomanPSMT"/>
        </w:rPr>
        <w:t>Flexibilidade</w:t>
      </w:r>
      <w:proofErr w:type="spellEnd"/>
      <w:r w:rsidRPr="009F2111">
        <w:rPr>
          <w:rFonts w:ascii="TimesNewRomanPSMT" w:hAnsi="TimesNewRomanPSMT"/>
        </w:rPr>
        <w:t xml:space="preserve"> do mercado de </w:t>
      </w:r>
      <w:proofErr w:type="spellStart"/>
      <w:r w:rsidRPr="009F2111">
        <w:rPr>
          <w:rFonts w:ascii="TimesNewRomanPSMT" w:hAnsi="TimesNewRomanPSMT"/>
        </w:rPr>
        <w:t>trabalho</w:t>
      </w:r>
      <w:proofErr w:type="spellEnd"/>
      <w:r w:rsidRPr="009F2111">
        <w:rPr>
          <w:rFonts w:ascii="TimesNewRomanPSMT" w:hAnsi="TimesNewRomanPSMT"/>
        </w:rPr>
        <w:t xml:space="preserve">: </w:t>
      </w:r>
      <w:proofErr w:type="spellStart"/>
      <w:r w:rsidRPr="009F2111">
        <w:rPr>
          <w:rFonts w:ascii="TimesNewRomanPSMT" w:hAnsi="TimesNewRomanPSMT"/>
        </w:rPr>
        <w:t>uma</w:t>
      </w:r>
      <w:proofErr w:type="spellEnd"/>
      <w:r w:rsidRPr="009F2111">
        <w:rPr>
          <w:rFonts w:ascii="TimesNewRomanPSMT" w:hAnsi="TimesNewRomanPSMT"/>
        </w:rPr>
        <w:t xml:space="preserve"> </w:t>
      </w:r>
      <w:proofErr w:type="spellStart"/>
      <w:r w:rsidRPr="009F2111">
        <w:rPr>
          <w:rFonts w:ascii="TimesNewRomanPSMT" w:hAnsi="TimesNewRomanPSMT"/>
        </w:rPr>
        <w:t>análise</w:t>
      </w:r>
      <w:proofErr w:type="spellEnd"/>
      <w:r w:rsidRPr="009F2111">
        <w:rPr>
          <w:rFonts w:ascii="TimesNewRomanPSMT" w:hAnsi="TimesNewRomanPSMT"/>
        </w:rPr>
        <w:t xml:space="preserve"> </w:t>
      </w:r>
      <w:proofErr w:type="spellStart"/>
      <w:r w:rsidRPr="009F2111">
        <w:rPr>
          <w:rFonts w:ascii="TimesNewRomanPSMT" w:hAnsi="TimesNewRomanPSMT"/>
        </w:rPr>
        <w:t>comparativa</w:t>
      </w:r>
      <w:proofErr w:type="spellEnd"/>
      <w:r w:rsidRPr="009F2111">
        <w:rPr>
          <w:rFonts w:ascii="TimesNewRomanPSMT" w:hAnsi="TimesNewRomanPSMT"/>
        </w:rPr>
        <w:t xml:space="preserve"> entre </w:t>
      </w:r>
      <w:proofErr w:type="spellStart"/>
      <w:r w:rsidRPr="009F2111">
        <w:rPr>
          <w:rFonts w:ascii="TimesNewRomanPSMT" w:hAnsi="TimesNewRomanPSMT"/>
        </w:rPr>
        <w:t>segmentos</w:t>
      </w:r>
      <w:proofErr w:type="spellEnd"/>
      <w:r w:rsidRPr="009F2111">
        <w:rPr>
          <w:rFonts w:ascii="TimesNewRomanPSMT" w:hAnsi="TimesNewRomanPSMT"/>
        </w:rPr>
        <w:t xml:space="preserve"> </w:t>
      </w:r>
      <w:proofErr w:type="spellStart"/>
      <w:r w:rsidRPr="009F2111">
        <w:rPr>
          <w:rFonts w:ascii="TimesNewRomanPSMT" w:hAnsi="TimesNewRomanPSMT"/>
        </w:rPr>
        <w:t>socioeconômicos</w:t>
      </w:r>
      <w:proofErr w:type="spellEnd"/>
      <w:r w:rsidRPr="009F2111">
        <w:rPr>
          <w:rFonts w:ascii="TimesNewRomanPSMT" w:hAnsi="TimesNewRomanPSMT"/>
        </w:rPr>
        <w:t xml:space="preserve"> no </w:t>
      </w:r>
      <w:proofErr w:type="spellStart"/>
      <w:r w:rsidRPr="009F2111">
        <w:rPr>
          <w:rFonts w:ascii="TimesNewRomanPSMT" w:hAnsi="TimesNewRomanPSMT"/>
        </w:rPr>
        <w:t>Brasil</w:t>
      </w:r>
      <w:proofErr w:type="spellEnd"/>
      <w:r w:rsidRPr="009F2111">
        <w:rPr>
          <w:rFonts w:ascii="TimesNewRomanPSMT" w:hAnsi="TimesNewRomanPSMT"/>
        </w:rPr>
        <w:t xml:space="preserve"> (2002-2009).</w:t>
      </w:r>
      <w:r>
        <w:rPr>
          <w:rFonts w:ascii="TimesNewRomanPSMT" w:hAnsi="TimesNewRomanPSMT"/>
        </w:rPr>
        <w:t xml:space="preserve"> </w:t>
      </w:r>
      <w:proofErr w:type="spellStart"/>
      <w:r>
        <w:rPr>
          <w:rFonts w:ascii="TimesNewRomanPSMT" w:hAnsi="TimesNewRomanPSMT"/>
          <w:i/>
          <w:iCs/>
        </w:rPr>
        <w:t>Pesquisa</w:t>
      </w:r>
      <w:proofErr w:type="spellEnd"/>
      <w:r>
        <w:rPr>
          <w:rFonts w:ascii="TimesNewRomanPSMT" w:hAnsi="TimesNewRomanPSMT"/>
          <w:i/>
          <w:iCs/>
        </w:rPr>
        <w:t xml:space="preserve"> e </w:t>
      </w:r>
      <w:proofErr w:type="spellStart"/>
      <w:r>
        <w:rPr>
          <w:rFonts w:ascii="TimesNewRomanPSMT" w:hAnsi="TimesNewRomanPSMT"/>
          <w:i/>
          <w:iCs/>
        </w:rPr>
        <w:t>Planejamento</w:t>
      </w:r>
      <w:proofErr w:type="spellEnd"/>
      <w:r>
        <w:rPr>
          <w:rFonts w:ascii="TimesNewRomanPSMT" w:hAnsi="TimesNewRomanPSMT"/>
          <w:i/>
          <w:iCs/>
        </w:rPr>
        <w:t xml:space="preserve"> </w:t>
      </w:r>
      <w:proofErr w:type="spellStart"/>
      <w:r>
        <w:rPr>
          <w:rFonts w:ascii="TimesNewRomanPSMT" w:hAnsi="TimesNewRomanPSMT"/>
          <w:i/>
          <w:iCs/>
        </w:rPr>
        <w:t>Econômico</w:t>
      </w:r>
      <w:proofErr w:type="spellEnd"/>
      <w:r>
        <w:rPr>
          <w:rFonts w:ascii="TimesNewRomanPSMT" w:hAnsi="TimesNewRomanPSMT"/>
        </w:rPr>
        <w:t>, 45(1): 125-153.</w:t>
      </w:r>
    </w:p>
    <w:p w14:paraId="51AD74CB" w14:textId="77777777" w:rsidR="009317AE" w:rsidRDefault="009317AE" w:rsidP="009317AE">
      <w:pPr>
        <w:pStyle w:val="NormalWeb"/>
        <w:jc w:val="both"/>
        <w:rPr>
          <w:rFonts w:ascii="TimesNewRomanPSMT" w:hAnsi="TimesNewRomanPSMT"/>
        </w:rPr>
      </w:pPr>
      <w:r w:rsidRPr="00A32FFA">
        <w:rPr>
          <w:rFonts w:ascii="TimesNewRomanPSMT" w:hAnsi="TimesNewRomanPSMT"/>
        </w:rPr>
        <w:t xml:space="preserve">Silva, L. R. D., &amp; Vieira, E. M. (2004). </w:t>
      </w:r>
      <w:proofErr w:type="spellStart"/>
      <w:r w:rsidRPr="00A32FFA">
        <w:rPr>
          <w:rFonts w:ascii="TimesNewRomanPSMT" w:hAnsi="TimesNewRomanPSMT"/>
        </w:rPr>
        <w:t>Conhecimento</w:t>
      </w:r>
      <w:proofErr w:type="spellEnd"/>
      <w:r w:rsidRPr="00A32FFA">
        <w:rPr>
          <w:rFonts w:ascii="TimesNewRomanPSMT" w:hAnsi="TimesNewRomanPSMT"/>
        </w:rPr>
        <w:t xml:space="preserve"> dos </w:t>
      </w:r>
      <w:proofErr w:type="spellStart"/>
      <w:r w:rsidRPr="00A32FFA">
        <w:rPr>
          <w:rFonts w:ascii="TimesNewRomanPSMT" w:hAnsi="TimesNewRomanPSMT"/>
        </w:rPr>
        <w:t>farmacêuticos</w:t>
      </w:r>
      <w:proofErr w:type="spellEnd"/>
      <w:r w:rsidRPr="00A32FFA">
        <w:rPr>
          <w:rFonts w:ascii="TimesNewRomanPSMT" w:hAnsi="TimesNewRomanPSMT"/>
        </w:rPr>
        <w:t xml:space="preserve"> </w:t>
      </w:r>
      <w:proofErr w:type="spellStart"/>
      <w:r w:rsidRPr="00A32FFA">
        <w:rPr>
          <w:rFonts w:ascii="TimesNewRomanPSMT" w:hAnsi="TimesNewRomanPSMT"/>
        </w:rPr>
        <w:t>sobre</w:t>
      </w:r>
      <w:proofErr w:type="spellEnd"/>
      <w:r w:rsidRPr="00A32FFA">
        <w:rPr>
          <w:rFonts w:ascii="TimesNewRomanPSMT" w:hAnsi="TimesNewRomanPSMT"/>
        </w:rPr>
        <w:t xml:space="preserve"> </w:t>
      </w:r>
      <w:proofErr w:type="spellStart"/>
      <w:r w:rsidRPr="00A32FFA">
        <w:rPr>
          <w:rFonts w:ascii="TimesNewRomanPSMT" w:hAnsi="TimesNewRomanPSMT"/>
        </w:rPr>
        <w:t>legislação</w:t>
      </w:r>
      <w:proofErr w:type="spellEnd"/>
      <w:r w:rsidRPr="00A32FFA">
        <w:rPr>
          <w:rFonts w:ascii="TimesNewRomanPSMT" w:hAnsi="TimesNewRomanPSMT"/>
        </w:rPr>
        <w:t xml:space="preserve"> </w:t>
      </w:r>
      <w:proofErr w:type="spellStart"/>
      <w:r w:rsidRPr="00A32FFA">
        <w:rPr>
          <w:rFonts w:ascii="TimesNewRomanPSMT" w:hAnsi="TimesNewRomanPSMT"/>
        </w:rPr>
        <w:t>sanitária</w:t>
      </w:r>
      <w:proofErr w:type="spellEnd"/>
      <w:r w:rsidRPr="00A32FFA">
        <w:rPr>
          <w:rFonts w:ascii="TimesNewRomanPSMT" w:hAnsi="TimesNewRomanPSMT"/>
        </w:rPr>
        <w:t xml:space="preserve"> e </w:t>
      </w:r>
      <w:proofErr w:type="spellStart"/>
      <w:r w:rsidRPr="00A32FFA">
        <w:rPr>
          <w:rFonts w:ascii="TimesNewRomanPSMT" w:hAnsi="TimesNewRomanPSMT"/>
        </w:rPr>
        <w:t>regulamentação</w:t>
      </w:r>
      <w:proofErr w:type="spellEnd"/>
      <w:r w:rsidRPr="00A32FFA">
        <w:rPr>
          <w:rFonts w:ascii="TimesNewRomanPSMT" w:hAnsi="TimesNewRomanPSMT"/>
        </w:rPr>
        <w:t xml:space="preserve"> da </w:t>
      </w:r>
      <w:proofErr w:type="spellStart"/>
      <w:r w:rsidRPr="00A32FFA">
        <w:rPr>
          <w:rFonts w:ascii="TimesNewRomanPSMT" w:hAnsi="TimesNewRomanPSMT"/>
        </w:rPr>
        <w:t>profissão</w:t>
      </w:r>
      <w:proofErr w:type="spellEnd"/>
      <w:r w:rsidRPr="00A32FFA">
        <w:rPr>
          <w:rFonts w:ascii="TimesNewRomanPSMT" w:hAnsi="TimesNewRomanPSMT"/>
        </w:rPr>
        <w:t>. </w:t>
      </w:r>
      <w:proofErr w:type="spellStart"/>
      <w:r w:rsidRPr="00A32FFA">
        <w:rPr>
          <w:rFonts w:ascii="TimesNewRomanPSMT" w:hAnsi="TimesNewRomanPSMT"/>
          <w:i/>
          <w:iCs/>
        </w:rPr>
        <w:t>Revista</w:t>
      </w:r>
      <w:proofErr w:type="spellEnd"/>
      <w:r w:rsidRPr="00A32FFA">
        <w:rPr>
          <w:rFonts w:ascii="TimesNewRomanPSMT" w:hAnsi="TimesNewRomanPSMT"/>
          <w:i/>
          <w:iCs/>
        </w:rPr>
        <w:t xml:space="preserve"> de </w:t>
      </w:r>
      <w:proofErr w:type="spellStart"/>
      <w:r w:rsidRPr="00A32FFA">
        <w:rPr>
          <w:rFonts w:ascii="TimesNewRomanPSMT" w:hAnsi="TimesNewRomanPSMT"/>
          <w:i/>
          <w:iCs/>
        </w:rPr>
        <w:t>Saúde</w:t>
      </w:r>
      <w:proofErr w:type="spellEnd"/>
      <w:r w:rsidRPr="00A32FFA">
        <w:rPr>
          <w:rFonts w:ascii="TimesNewRomanPSMT" w:hAnsi="TimesNewRomanPSMT"/>
          <w:i/>
          <w:iCs/>
        </w:rPr>
        <w:t xml:space="preserve"> Pública</w:t>
      </w:r>
      <w:r w:rsidRPr="00A32FFA">
        <w:rPr>
          <w:rFonts w:ascii="TimesNewRomanPSMT" w:hAnsi="TimesNewRomanPSMT"/>
        </w:rPr>
        <w:t>, </w:t>
      </w:r>
      <w:r w:rsidRPr="00A32FFA">
        <w:rPr>
          <w:rFonts w:ascii="TimesNewRomanPSMT" w:hAnsi="TimesNewRomanPSMT"/>
          <w:i/>
          <w:iCs/>
        </w:rPr>
        <w:t>38</w:t>
      </w:r>
      <w:r>
        <w:rPr>
          <w:rFonts w:ascii="TimesNewRomanPSMT" w:hAnsi="TimesNewRomanPSMT"/>
        </w:rPr>
        <w:t>:</w:t>
      </w:r>
      <w:r w:rsidRPr="00A32FFA">
        <w:rPr>
          <w:rFonts w:ascii="TimesNewRomanPSMT" w:hAnsi="TimesNewRomanPSMT"/>
        </w:rPr>
        <w:t xml:space="preserve"> 429-437.</w:t>
      </w:r>
    </w:p>
    <w:p w14:paraId="06667A99" w14:textId="77777777" w:rsidR="009317AE" w:rsidRDefault="009317AE" w:rsidP="009317AE">
      <w:pPr>
        <w:pStyle w:val="NormalWeb"/>
        <w:jc w:val="both"/>
        <w:rPr>
          <w:rFonts w:ascii="TimesNewRomanPSMT" w:hAnsi="TimesNewRomanPSMT"/>
        </w:rPr>
      </w:pPr>
      <w:r w:rsidRPr="00FA5DB4">
        <w:rPr>
          <w:rFonts w:ascii="TimesNewRomanPSMT" w:hAnsi="TimesNewRomanPSMT"/>
        </w:rPr>
        <w:lastRenderedPageBreak/>
        <w:t>S</w:t>
      </w:r>
      <w:r>
        <w:rPr>
          <w:rFonts w:ascii="TimesNewRomanPSMT" w:hAnsi="TimesNewRomanPSMT"/>
        </w:rPr>
        <w:t>oares</w:t>
      </w:r>
      <w:r w:rsidRPr="00FA5DB4">
        <w:rPr>
          <w:rFonts w:ascii="TimesNewRomanPSMT" w:hAnsi="TimesNewRomanPSMT"/>
        </w:rPr>
        <w:t>, F.V.</w:t>
      </w:r>
      <w:r>
        <w:rPr>
          <w:rFonts w:ascii="TimesNewRomanPSMT" w:hAnsi="TimesNewRomanPSMT"/>
        </w:rPr>
        <w:t xml:space="preserve"> (2000)</w:t>
      </w:r>
      <w:r w:rsidRPr="00FA5DB4">
        <w:rPr>
          <w:rFonts w:ascii="TimesNewRomanPSMT" w:hAnsi="TimesNewRomanPSMT"/>
        </w:rPr>
        <w:t xml:space="preserve"> “Do Informal Workers Queue for Formal Jobs in Brazil?”. </w:t>
      </w:r>
      <w:r>
        <w:rPr>
          <w:rFonts w:ascii="TimesNewRomanPSMT" w:hAnsi="TimesNewRomanPSMT"/>
        </w:rPr>
        <w:t>Discussion Text</w:t>
      </w:r>
      <w:r w:rsidRPr="00FA5DB4">
        <w:rPr>
          <w:rFonts w:ascii="TimesNewRomanPSMT" w:hAnsi="TimesNewRomanPSMT"/>
        </w:rPr>
        <w:t>, n. 1021</w:t>
      </w:r>
      <w:r>
        <w:rPr>
          <w:rFonts w:ascii="TimesNewRomanPSMT" w:hAnsi="TimesNewRomanPSMT"/>
        </w:rPr>
        <w:t xml:space="preserve">. Instituto de </w:t>
      </w:r>
      <w:proofErr w:type="spellStart"/>
      <w:r>
        <w:rPr>
          <w:rFonts w:ascii="TimesNewRomanPSMT" w:hAnsi="TimesNewRomanPSMT"/>
        </w:rPr>
        <w:t>Pesquisa</w:t>
      </w:r>
      <w:proofErr w:type="spellEnd"/>
      <w:r>
        <w:rPr>
          <w:rFonts w:ascii="TimesNewRomanPSMT" w:hAnsi="TimesNewRomanPSMT"/>
        </w:rPr>
        <w:t xml:space="preserve"> </w:t>
      </w:r>
      <w:proofErr w:type="spellStart"/>
      <w:r>
        <w:rPr>
          <w:rFonts w:ascii="TimesNewRomanPSMT" w:hAnsi="TimesNewRomanPSMT"/>
        </w:rPr>
        <w:t>Econômica</w:t>
      </w:r>
      <w:proofErr w:type="spellEnd"/>
      <w:r>
        <w:rPr>
          <w:rFonts w:ascii="TimesNewRomanPSMT" w:hAnsi="TimesNewRomanPSMT"/>
        </w:rPr>
        <w:t xml:space="preserve"> </w:t>
      </w:r>
      <w:proofErr w:type="spellStart"/>
      <w:r>
        <w:rPr>
          <w:rFonts w:ascii="TimesNewRomanPSMT" w:hAnsi="TimesNewRomanPSMT"/>
        </w:rPr>
        <w:t>Aplicada</w:t>
      </w:r>
      <w:proofErr w:type="spellEnd"/>
      <w:r>
        <w:rPr>
          <w:rFonts w:ascii="TimesNewRomanPSMT" w:hAnsi="TimesNewRomanPSMT"/>
        </w:rPr>
        <w:t>.</w:t>
      </w:r>
    </w:p>
    <w:p w14:paraId="2479F3CF" w14:textId="77777777" w:rsidR="009317AE" w:rsidRDefault="009317AE" w:rsidP="009317AE">
      <w:pPr>
        <w:pStyle w:val="NormalWeb"/>
        <w:jc w:val="both"/>
        <w:rPr>
          <w:rFonts w:ascii="TimesNewRomanPSMT" w:hAnsi="TimesNewRomanPSMT"/>
        </w:rPr>
      </w:pPr>
      <w:proofErr w:type="spellStart"/>
      <w:r w:rsidRPr="00FA5DB4">
        <w:rPr>
          <w:rFonts w:ascii="TimesNewRomanPSMT" w:hAnsi="TimesNewRomanPSMT"/>
        </w:rPr>
        <w:t>T</w:t>
      </w:r>
      <w:r>
        <w:rPr>
          <w:rFonts w:ascii="TimesNewRomanPSMT" w:hAnsi="TimesNewRomanPSMT"/>
        </w:rPr>
        <w:t>annuri</w:t>
      </w:r>
      <w:r w:rsidRPr="00FA5DB4">
        <w:rPr>
          <w:rFonts w:ascii="TimesNewRomanPSMT" w:hAnsi="TimesNewRomanPSMT"/>
        </w:rPr>
        <w:t>-P</w:t>
      </w:r>
      <w:r>
        <w:rPr>
          <w:rFonts w:ascii="TimesNewRomanPSMT" w:hAnsi="TimesNewRomanPSMT"/>
        </w:rPr>
        <w:t>ianto</w:t>
      </w:r>
      <w:proofErr w:type="spellEnd"/>
      <w:r w:rsidRPr="00FA5DB4">
        <w:rPr>
          <w:rFonts w:ascii="TimesNewRomanPSMT" w:hAnsi="TimesNewRomanPSMT"/>
        </w:rPr>
        <w:t xml:space="preserve">, M.E.; </w:t>
      </w:r>
      <w:proofErr w:type="spellStart"/>
      <w:r w:rsidRPr="00FA5DB4">
        <w:rPr>
          <w:rFonts w:ascii="TimesNewRomanPSMT" w:hAnsi="TimesNewRomanPSMT"/>
        </w:rPr>
        <w:t>P</w:t>
      </w:r>
      <w:r>
        <w:rPr>
          <w:rFonts w:ascii="TimesNewRomanPSMT" w:hAnsi="TimesNewRomanPSMT"/>
        </w:rPr>
        <w:t>ianto</w:t>
      </w:r>
      <w:proofErr w:type="spellEnd"/>
      <w:r w:rsidRPr="00FA5DB4">
        <w:rPr>
          <w:rFonts w:ascii="TimesNewRomanPSMT" w:hAnsi="TimesNewRomanPSMT"/>
        </w:rPr>
        <w:t xml:space="preserve">, D. </w:t>
      </w:r>
      <w:r>
        <w:rPr>
          <w:rFonts w:ascii="TimesNewRomanPSMT" w:hAnsi="TimesNewRomanPSMT"/>
        </w:rPr>
        <w:t xml:space="preserve">(2002). </w:t>
      </w:r>
      <w:r w:rsidRPr="00FA5DB4">
        <w:rPr>
          <w:rFonts w:ascii="TimesNewRomanPSMT" w:hAnsi="TimesNewRomanPSMT"/>
        </w:rPr>
        <w:t xml:space="preserve">Informal Employment in Brazil — A Choice at the Top and Segmentation at the Bottom: A Quantile Regression Approach. Anais do XXIV </w:t>
      </w:r>
      <w:proofErr w:type="spellStart"/>
      <w:r w:rsidRPr="00FA5DB4">
        <w:rPr>
          <w:rFonts w:ascii="TimesNewRomanPSMT" w:hAnsi="TimesNewRomanPSMT"/>
        </w:rPr>
        <w:t>Encontro</w:t>
      </w:r>
      <w:proofErr w:type="spellEnd"/>
      <w:r w:rsidRPr="00FA5DB4">
        <w:rPr>
          <w:rFonts w:ascii="TimesNewRomanPSMT" w:hAnsi="TimesNewRomanPSMT"/>
        </w:rPr>
        <w:t xml:space="preserve"> </w:t>
      </w:r>
      <w:proofErr w:type="spellStart"/>
      <w:r w:rsidRPr="00FA5DB4">
        <w:rPr>
          <w:rFonts w:ascii="TimesNewRomanPSMT" w:hAnsi="TimesNewRomanPSMT"/>
        </w:rPr>
        <w:t>Brasileiro</w:t>
      </w:r>
      <w:proofErr w:type="spellEnd"/>
      <w:r w:rsidRPr="00FA5DB4">
        <w:rPr>
          <w:rFonts w:ascii="TimesNewRomanPSMT" w:hAnsi="TimesNewRomanPSMT"/>
        </w:rPr>
        <w:t xml:space="preserve"> de </w:t>
      </w:r>
      <w:proofErr w:type="spellStart"/>
      <w:r w:rsidRPr="00FA5DB4">
        <w:rPr>
          <w:rFonts w:ascii="TimesNewRomanPSMT" w:hAnsi="TimesNewRomanPSMT"/>
        </w:rPr>
        <w:t>Econometria</w:t>
      </w:r>
      <w:proofErr w:type="spellEnd"/>
      <w:r w:rsidRPr="00FA5DB4">
        <w:rPr>
          <w:rFonts w:ascii="TimesNewRomanPSMT" w:hAnsi="TimesNewRomanPSMT"/>
        </w:rPr>
        <w:t>, v. 2</w:t>
      </w:r>
      <w:r>
        <w:rPr>
          <w:rFonts w:ascii="TimesNewRomanPSMT" w:hAnsi="TimesNewRomanPSMT"/>
        </w:rPr>
        <w:t>.</w:t>
      </w:r>
    </w:p>
    <w:p w14:paraId="758B16D3" w14:textId="77777777" w:rsidR="009317AE" w:rsidRPr="00A32FFA" w:rsidRDefault="009317AE" w:rsidP="009317AE">
      <w:pPr>
        <w:pStyle w:val="NormalWeb"/>
        <w:jc w:val="both"/>
        <w:rPr>
          <w:rFonts w:ascii="TimesNewRomanPSMT" w:hAnsi="TimesNewRomanPSMT"/>
        </w:rPr>
      </w:pPr>
      <w:r w:rsidRPr="00A32FFA">
        <w:rPr>
          <w:rFonts w:ascii="TimesNewRomanPSMT" w:hAnsi="TimesNewRomanPSMT"/>
        </w:rPr>
        <w:t xml:space="preserve">Vieira, R. S. C. (2020). </w:t>
      </w:r>
      <w:proofErr w:type="spellStart"/>
      <w:r w:rsidRPr="00A32FFA">
        <w:rPr>
          <w:rFonts w:ascii="TimesNewRomanPSMT" w:hAnsi="TimesNewRomanPSMT"/>
        </w:rPr>
        <w:t>Entraves</w:t>
      </w:r>
      <w:proofErr w:type="spellEnd"/>
      <w:r w:rsidRPr="00A32FFA">
        <w:rPr>
          <w:rFonts w:ascii="TimesNewRomanPSMT" w:hAnsi="TimesNewRomanPSMT"/>
        </w:rPr>
        <w:t xml:space="preserve"> à </w:t>
      </w:r>
      <w:proofErr w:type="spellStart"/>
      <w:r w:rsidRPr="00A32FFA">
        <w:rPr>
          <w:rFonts w:ascii="TimesNewRomanPSMT" w:hAnsi="TimesNewRomanPSMT"/>
        </w:rPr>
        <w:t>regulamentação</w:t>
      </w:r>
      <w:proofErr w:type="spellEnd"/>
      <w:r w:rsidRPr="00A32FFA">
        <w:rPr>
          <w:rFonts w:ascii="TimesNewRomanPSMT" w:hAnsi="TimesNewRomanPSMT"/>
        </w:rPr>
        <w:t xml:space="preserve"> da </w:t>
      </w:r>
      <w:proofErr w:type="spellStart"/>
      <w:r w:rsidRPr="00A32FFA">
        <w:rPr>
          <w:rFonts w:ascii="TimesNewRomanPSMT" w:hAnsi="TimesNewRomanPSMT"/>
        </w:rPr>
        <w:t>profissão</w:t>
      </w:r>
      <w:proofErr w:type="spellEnd"/>
      <w:r w:rsidRPr="00A32FFA">
        <w:rPr>
          <w:rFonts w:ascii="TimesNewRomanPSMT" w:hAnsi="TimesNewRomanPSMT"/>
        </w:rPr>
        <w:t xml:space="preserve"> de </w:t>
      </w:r>
      <w:proofErr w:type="spellStart"/>
      <w:r w:rsidRPr="00A32FFA">
        <w:rPr>
          <w:rFonts w:ascii="TimesNewRomanPSMT" w:hAnsi="TimesNewRomanPSMT"/>
        </w:rPr>
        <w:t>cuidadora</w:t>
      </w:r>
      <w:proofErr w:type="spellEnd"/>
      <w:r w:rsidRPr="00A32FFA">
        <w:rPr>
          <w:rFonts w:ascii="TimesNewRomanPSMT" w:hAnsi="TimesNewRomanPSMT"/>
        </w:rPr>
        <w:t xml:space="preserve"> no </w:t>
      </w:r>
      <w:proofErr w:type="spellStart"/>
      <w:r w:rsidRPr="00A32FFA">
        <w:rPr>
          <w:rFonts w:ascii="TimesNewRomanPSMT" w:hAnsi="TimesNewRomanPSMT"/>
        </w:rPr>
        <w:t>Brasil</w:t>
      </w:r>
      <w:proofErr w:type="spellEnd"/>
      <w:r w:rsidRPr="00A32FFA">
        <w:rPr>
          <w:rFonts w:ascii="TimesNewRomanPSMT" w:hAnsi="TimesNewRomanPSMT"/>
        </w:rPr>
        <w:t xml:space="preserve">: </w:t>
      </w:r>
      <w:proofErr w:type="spellStart"/>
      <w:r w:rsidRPr="00A32FFA">
        <w:rPr>
          <w:rFonts w:ascii="TimesNewRomanPSMT" w:hAnsi="TimesNewRomanPSMT"/>
        </w:rPr>
        <w:t>uma</w:t>
      </w:r>
      <w:proofErr w:type="spellEnd"/>
      <w:r w:rsidRPr="00A32FFA">
        <w:rPr>
          <w:rFonts w:ascii="TimesNewRomanPSMT" w:hAnsi="TimesNewRomanPSMT"/>
        </w:rPr>
        <w:t xml:space="preserve"> </w:t>
      </w:r>
      <w:proofErr w:type="spellStart"/>
      <w:r w:rsidRPr="00A32FFA">
        <w:rPr>
          <w:rFonts w:ascii="TimesNewRomanPSMT" w:hAnsi="TimesNewRomanPSMT"/>
        </w:rPr>
        <w:t>análise</w:t>
      </w:r>
      <w:proofErr w:type="spellEnd"/>
      <w:r w:rsidRPr="00A32FFA">
        <w:rPr>
          <w:rFonts w:ascii="TimesNewRomanPSMT" w:hAnsi="TimesNewRomanPSMT"/>
        </w:rPr>
        <w:t xml:space="preserve"> a </w:t>
      </w:r>
      <w:proofErr w:type="spellStart"/>
      <w:r w:rsidRPr="00A32FFA">
        <w:rPr>
          <w:rFonts w:ascii="TimesNewRomanPSMT" w:hAnsi="TimesNewRomanPSMT"/>
        </w:rPr>
        <w:t>partir</w:t>
      </w:r>
      <w:proofErr w:type="spellEnd"/>
      <w:r w:rsidRPr="00A32FFA">
        <w:rPr>
          <w:rFonts w:ascii="TimesNewRomanPSMT" w:hAnsi="TimesNewRomanPSMT"/>
        </w:rPr>
        <w:t xml:space="preserve"> do </w:t>
      </w:r>
      <w:proofErr w:type="spellStart"/>
      <w:r w:rsidRPr="00A32FFA">
        <w:rPr>
          <w:rFonts w:ascii="TimesNewRomanPSMT" w:hAnsi="TimesNewRomanPSMT"/>
        </w:rPr>
        <w:t>Direito</w:t>
      </w:r>
      <w:proofErr w:type="spellEnd"/>
      <w:r w:rsidRPr="00A32FFA">
        <w:rPr>
          <w:rFonts w:ascii="TimesNewRomanPSMT" w:hAnsi="TimesNewRomanPSMT"/>
        </w:rPr>
        <w:t xml:space="preserve"> </w:t>
      </w:r>
      <w:proofErr w:type="spellStart"/>
      <w:r w:rsidRPr="00A32FFA">
        <w:rPr>
          <w:rFonts w:ascii="TimesNewRomanPSMT" w:hAnsi="TimesNewRomanPSMT"/>
        </w:rPr>
        <w:t>Econômico</w:t>
      </w:r>
      <w:proofErr w:type="spellEnd"/>
      <w:r w:rsidRPr="00A32FFA">
        <w:rPr>
          <w:rFonts w:ascii="TimesNewRomanPSMT" w:hAnsi="TimesNewRomanPSMT"/>
        </w:rPr>
        <w:t>. </w:t>
      </w:r>
      <w:proofErr w:type="spellStart"/>
      <w:r w:rsidRPr="00A32FFA">
        <w:rPr>
          <w:rFonts w:ascii="TimesNewRomanPSMT" w:hAnsi="TimesNewRomanPSMT"/>
          <w:i/>
          <w:iCs/>
        </w:rPr>
        <w:t>Revista</w:t>
      </w:r>
      <w:proofErr w:type="spellEnd"/>
      <w:r w:rsidRPr="00A32FFA">
        <w:rPr>
          <w:rFonts w:ascii="TimesNewRomanPSMT" w:hAnsi="TimesNewRomanPSMT"/>
          <w:i/>
          <w:iCs/>
        </w:rPr>
        <w:t xml:space="preserve"> </w:t>
      </w:r>
      <w:proofErr w:type="spellStart"/>
      <w:r w:rsidRPr="00A32FFA">
        <w:rPr>
          <w:rFonts w:ascii="TimesNewRomanPSMT" w:hAnsi="TimesNewRomanPSMT"/>
          <w:i/>
          <w:iCs/>
        </w:rPr>
        <w:t>Fórum</w:t>
      </w:r>
      <w:proofErr w:type="spellEnd"/>
      <w:r w:rsidRPr="00A32FFA">
        <w:rPr>
          <w:rFonts w:ascii="TimesNewRomanPSMT" w:hAnsi="TimesNewRomanPSMT"/>
          <w:i/>
          <w:iCs/>
        </w:rPr>
        <w:t xml:space="preserve"> de </w:t>
      </w:r>
      <w:proofErr w:type="spellStart"/>
      <w:r w:rsidRPr="00A32FFA">
        <w:rPr>
          <w:rFonts w:ascii="TimesNewRomanPSMT" w:hAnsi="TimesNewRomanPSMT"/>
          <w:i/>
          <w:iCs/>
        </w:rPr>
        <w:t>Direito</w:t>
      </w:r>
      <w:proofErr w:type="spellEnd"/>
      <w:r w:rsidRPr="00A32FFA">
        <w:rPr>
          <w:rFonts w:ascii="TimesNewRomanPSMT" w:hAnsi="TimesNewRomanPSMT"/>
          <w:i/>
          <w:iCs/>
        </w:rPr>
        <w:t xml:space="preserve"> </w:t>
      </w:r>
      <w:proofErr w:type="spellStart"/>
      <w:r w:rsidRPr="00A32FFA">
        <w:rPr>
          <w:rFonts w:ascii="TimesNewRomanPSMT" w:hAnsi="TimesNewRomanPSMT"/>
          <w:i/>
          <w:iCs/>
        </w:rPr>
        <w:t>Financeiro</w:t>
      </w:r>
      <w:proofErr w:type="spellEnd"/>
      <w:r w:rsidRPr="00A32FFA">
        <w:rPr>
          <w:rFonts w:ascii="TimesNewRomanPSMT" w:hAnsi="TimesNewRomanPSMT"/>
          <w:i/>
          <w:iCs/>
        </w:rPr>
        <w:t xml:space="preserve"> e </w:t>
      </w:r>
      <w:proofErr w:type="spellStart"/>
      <w:r w:rsidRPr="00A32FFA">
        <w:rPr>
          <w:rFonts w:ascii="TimesNewRomanPSMT" w:hAnsi="TimesNewRomanPSMT"/>
          <w:i/>
          <w:iCs/>
        </w:rPr>
        <w:t>Econômico</w:t>
      </w:r>
      <w:proofErr w:type="spellEnd"/>
      <w:r w:rsidRPr="00A32FFA">
        <w:rPr>
          <w:rFonts w:ascii="TimesNewRomanPSMT" w:hAnsi="TimesNewRomanPSMT"/>
          <w:i/>
          <w:iCs/>
        </w:rPr>
        <w:t>–RFDFE</w:t>
      </w:r>
      <w:r w:rsidRPr="00A32FFA">
        <w:rPr>
          <w:rFonts w:ascii="TimesNewRomanPSMT" w:hAnsi="TimesNewRomanPSMT"/>
        </w:rPr>
        <w:t>, </w:t>
      </w:r>
      <w:r w:rsidRPr="00A32FFA">
        <w:rPr>
          <w:rFonts w:ascii="TimesNewRomanPSMT" w:hAnsi="TimesNewRomanPSMT"/>
          <w:i/>
          <w:iCs/>
        </w:rPr>
        <w:t>9</w:t>
      </w:r>
      <w:r w:rsidRPr="00A32FFA">
        <w:rPr>
          <w:rFonts w:ascii="TimesNewRomanPSMT" w:hAnsi="TimesNewRomanPSMT"/>
        </w:rPr>
        <w:t>(17)</w:t>
      </w:r>
      <w:r>
        <w:rPr>
          <w:rFonts w:ascii="TimesNewRomanPSMT" w:hAnsi="TimesNewRomanPSMT"/>
        </w:rPr>
        <w:t>:</w:t>
      </w:r>
      <w:r w:rsidRPr="00A32FFA">
        <w:rPr>
          <w:rFonts w:ascii="TimesNewRomanPSMT" w:hAnsi="TimesNewRomanPSMT"/>
        </w:rPr>
        <w:t xml:space="preserve"> 179-192.</w:t>
      </w:r>
    </w:p>
    <w:p w14:paraId="20800153" w14:textId="77777777" w:rsidR="009317AE" w:rsidRDefault="009317AE" w:rsidP="00492C61">
      <w:pPr>
        <w:pStyle w:val="NormalWeb"/>
        <w:jc w:val="both"/>
        <w:rPr>
          <w:rFonts w:ascii="TimesNewRomanPSMT" w:hAnsi="TimesNewRomanPSMT"/>
        </w:rPr>
      </w:pPr>
    </w:p>
    <w:p w14:paraId="628DC225" w14:textId="77777777" w:rsidR="009317AE" w:rsidRDefault="009317AE" w:rsidP="00492C61">
      <w:pPr>
        <w:pStyle w:val="NormalWeb"/>
        <w:jc w:val="both"/>
        <w:rPr>
          <w:rFonts w:ascii="TimesNewRomanPSMT" w:hAnsi="TimesNewRomanPSMT"/>
        </w:rPr>
      </w:pPr>
    </w:p>
    <w:p w14:paraId="3F24460B" w14:textId="77777777" w:rsidR="009317AE" w:rsidRDefault="009317AE" w:rsidP="009317AE">
      <w:pPr>
        <w:pStyle w:val="NormalWeb"/>
        <w:jc w:val="center"/>
        <w:rPr>
          <w:rFonts w:ascii="TimesNewRomanPSMT" w:hAnsi="TimesNewRomanPSMT"/>
          <w:b/>
          <w:bCs/>
          <w:sz w:val="26"/>
          <w:szCs w:val="28"/>
        </w:rPr>
      </w:pPr>
    </w:p>
    <w:p w14:paraId="2A4909DE" w14:textId="77777777" w:rsidR="009317AE" w:rsidRDefault="009317AE" w:rsidP="009317AE">
      <w:pPr>
        <w:pStyle w:val="NormalWeb"/>
        <w:jc w:val="center"/>
        <w:rPr>
          <w:rFonts w:ascii="TimesNewRomanPSMT" w:hAnsi="TimesNewRomanPSMT"/>
          <w:b/>
          <w:bCs/>
          <w:sz w:val="26"/>
          <w:szCs w:val="28"/>
        </w:rPr>
      </w:pPr>
    </w:p>
    <w:p w14:paraId="247D7BB2" w14:textId="77777777" w:rsidR="009317AE" w:rsidRDefault="009317AE" w:rsidP="009317AE">
      <w:pPr>
        <w:pStyle w:val="NormalWeb"/>
        <w:jc w:val="center"/>
        <w:rPr>
          <w:rFonts w:ascii="TimesNewRomanPSMT" w:hAnsi="TimesNewRomanPSMT"/>
          <w:b/>
          <w:bCs/>
          <w:sz w:val="26"/>
          <w:szCs w:val="28"/>
        </w:rPr>
      </w:pPr>
    </w:p>
    <w:p w14:paraId="60FD1DDA" w14:textId="77777777" w:rsidR="009317AE" w:rsidRDefault="009317AE" w:rsidP="009317AE">
      <w:pPr>
        <w:pStyle w:val="NormalWeb"/>
        <w:jc w:val="center"/>
        <w:rPr>
          <w:rFonts w:ascii="TimesNewRomanPSMT" w:hAnsi="TimesNewRomanPSMT"/>
          <w:b/>
          <w:bCs/>
          <w:sz w:val="26"/>
          <w:szCs w:val="28"/>
        </w:rPr>
      </w:pPr>
    </w:p>
    <w:p w14:paraId="651579F5" w14:textId="77777777" w:rsidR="009317AE" w:rsidRDefault="009317AE" w:rsidP="009317AE">
      <w:pPr>
        <w:pStyle w:val="NormalWeb"/>
        <w:jc w:val="center"/>
        <w:rPr>
          <w:rFonts w:ascii="TimesNewRomanPSMT" w:hAnsi="TimesNewRomanPSMT"/>
          <w:b/>
          <w:bCs/>
          <w:sz w:val="26"/>
          <w:szCs w:val="28"/>
        </w:rPr>
      </w:pPr>
    </w:p>
    <w:p w14:paraId="57D374B9" w14:textId="77777777" w:rsidR="009317AE" w:rsidRDefault="009317AE" w:rsidP="009317AE">
      <w:pPr>
        <w:pStyle w:val="NormalWeb"/>
        <w:jc w:val="center"/>
        <w:rPr>
          <w:rFonts w:ascii="TimesNewRomanPSMT" w:hAnsi="TimesNewRomanPSMT"/>
          <w:b/>
          <w:bCs/>
          <w:sz w:val="26"/>
          <w:szCs w:val="28"/>
        </w:rPr>
      </w:pPr>
    </w:p>
    <w:p w14:paraId="202AAC49" w14:textId="77777777" w:rsidR="009317AE" w:rsidRDefault="009317AE" w:rsidP="009317AE">
      <w:pPr>
        <w:pStyle w:val="NormalWeb"/>
        <w:jc w:val="center"/>
        <w:rPr>
          <w:rFonts w:ascii="TimesNewRomanPSMT" w:hAnsi="TimesNewRomanPSMT"/>
          <w:b/>
          <w:bCs/>
          <w:sz w:val="26"/>
          <w:szCs w:val="28"/>
        </w:rPr>
      </w:pPr>
    </w:p>
    <w:p w14:paraId="102F94FF" w14:textId="77777777" w:rsidR="009317AE" w:rsidRDefault="009317AE" w:rsidP="009317AE">
      <w:pPr>
        <w:pStyle w:val="NormalWeb"/>
        <w:jc w:val="center"/>
        <w:rPr>
          <w:rFonts w:ascii="TimesNewRomanPSMT" w:hAnsi="TimesNewRomanPSMT"/>
          <w:b/>
          <w:bCs/>
          <w:sz w:val="26"/>
          <w:szCs w:val="28"/>
        </w:rPr>
      </w:pPr>
    </w:p>
    <w:p w14:paraId="4C2DA8BE" w14:textId="77777777" w:rsidR="009317AE" w:rsidRDefault="009317AE" w:rsidP="009317AE">
      <w:pPr>
        <w:pStyle w:val="NormalWeb"/>
        <w:jc w:val="center"/>
        <w:rPr>
          <w:rFonts w:ascii="TimesNewRomanPSMT" w:hAnsi="TimesNewRomanPSMT"/>
          <w:b/>
          <w:bCs/>
          <w:sz w:val="26"/>
          <w:szCs w:val="28"/>
        </w:rPr>
      </w:pPr>
    </w:p>
    <w:p w14:paraId="78B09CC8" w14:textId="77777777" w:rsidR="009317AE" w:rsidRDefault="009317AE" w:rsidP="009317AE">
      <w:pPr>
        <w:pStyle w:val="NormalWeb"/>
        <w:jc w:val="center"/>
        <w:rPr>
          <w:rFonts w:ascii="TimesNewRomanPSMT" w:hAnsi="TimesNewRomanPSMT"/>
          <w:b/>
          <w:bCs/>
          <w:sz w:val="26"/>
          <w:szCs w:val="28"/>
        </w:rPr>
      </w:pPr>
    </w:p>
    <w:p w14:paraId="62AA321A" w14:textId="77777777" w:rsidR="009317AE" w:rsidRDefault="009317AE" w:rsidP="009317AE">
      <w:pPr>
        <w:pStyle w:val="NormalWeb"/>
        <w:jc w:val="center"/>
        <w:rPr>
          <w:rFonts w:ascii="TimesNewRomanPSMT" w:hAnsi="TimesNewRomanPSMT"/>
          <w:b/>
          <w:bCs/>
          <w:sz w:val="26"/>
          <w:szCs w:val="28"/>
        </w:rPr>
      </w:pPr>
    </w:p>
    <w:p w14:paraId="59E43DC0" w14:textId="77777777" w:rsidR="009317AE" w:rsidRDefault="009317AE" w:rsidP="009317AE">
      <w:pPr>
        <w:pStyle w:val="NormalWeb"/>
        <w:jc w:val="center"/>
        <w:rPr>
          <w:rFonts w:ascii="TimesNewRomanPSMT" w:hAnsi="TimesNewRomanPSMT"/>
          <w:b/>
          <w:bCs/>
          <w:sz w:val="26"/>
          <w:szCs w:val="28"/>
        </w:rPr>
      </w:pPr>
    </w:p>
    <w:p w14:paraId="3FF0B0D4" w14:textId="77777777" w:rsidR="009317AE" w:rsidRDefault="009317AE" w:rsidP="009317AE">
      <w:pPr>
        <w:pStyle w:val="NormalWeb"/>
        <w:jc w:val="center"/>
        <w:rPr>
          <w:rFonts w:ascii="TimesNewRomanPSMT" w:hAnsi="TimesNewRomanPSMT"/>
          <w:b/>
          <w:bCs/>
          <w:sz w:val="26"/>
          <w:szCs w:val="28"/>
        </w:rPr>
      </w:pPr>
    </w:p>
    <w:p w14:paraId="4F5C9DC2" w14:textId="77777777" w:rsidR="009317AE" w:rsidRDefault="009317AE" w:rsidP="009317AE">
      <w:pPr>
        <w:pStyle w:val="NormalWeb"/>
        <w:jc w:val="center"/>
        <w:rPr>
          <w:rFonts w:ascii="TimesNewRomanPSMT" w:hAnsi="TimesNewRomanPSMT"/>
          <w:b/>
          <w:bCs/>
          <w:sz w:val="26"/>
          <w:szCs w:val="28"/>
        </w:rPr>
      </w:pPr>
    </w:p>
    <w:p w14:paraId="038926C9" w14:textId="77777777" w:rsidR="009317AE" w:rsidRDefault="009317AE" w:rsidP="009317AE">
      <w:pPr>
        <w:pStyle w:val="NormalWeb"/>
        <w:jc w:val="center"/>
        <w:rPr>
          <w:rFonts w:ascii="TimesNewRomanPSMT" w:hAnsi="TimesNewRomanPSMT"/>
          <w:b/>
          <w:bCs/>
          <w:sz w:val="26"/>
          <w:szCs w:val="28"/>
        </w:rPr>
      </w:pPr>
    </w:p>
    <w:p w14:paraId="26E8FB0A" w14:textId="2F1CEBA7" w:rsidR="009317AE" w:rsidRPr="009317AE" w:rsidRDefault="009317AE" w:rsidP="009317AE">
      <w:pPr>
        <w:pStyle w:val="NormalWeb"/>
        <w:jc w:val="center"/>
        <w:rPr>
          <w:rFonts w:ascii="TimesNewRomanPSMT" w:hAnsi="TimesNewRomanPSMT"/>
          <w:b/>
          <w:bCs/>
          <w:sz w:val="26"/>
          <w:szCs w:val="28"/>
        </w:rPr>
      </w:pPr>
      <w:r w:rsidRPr="009317AE">
        <w:rPr>
          <w:rFonts w:ascii="TimesNewRomanPSMT" w:hAnsi="TimesNewRomanPSMT"/>
          <w:b/>
          <w:bCs/>
          <w:sz w:val="26"/>
          <w:szCs w:val="28"/>
        </w:rPr>
        <w:lastRenderedPageBreak/>
        <w:t>Appendix</w:t>
      </w:r>
    </w:p>
    <w:p w14:paraId="6BFDF262" w14:textId="0A455285" w:rsidR="00492C61" w:rsidRDefault="00492C61" w:rsidP="00492C61">
      <w:pPr>
        <w:pStyle w:val="NormalWeb"/>
        <w:jc w:val="both"/>
        <w:rPr>
          <w:rFonts w:ascii="TimesNewRomanPSMT" w:hAnsi="TimesNewRomanPSMT"/>
          <w:i/>
          <w:iCs/>
        </w:rPr>
      </w:pPr>
      <w:r w:rsidRPr="00A32FFA">
        <w:rPr>
          <w:rFonts w:ascii="TimesNewRomanPSMT" w:hAnsi="TimesNewRomanPSMT"/>
          <w:b/>
          <w:bCs/>
        </w:rPr>
        <w:t>Table of Descriptive Data</w:t>
      </w:r>
    </w:p>
    <w:p w14:paraId="3B9954AD" w14:textId="77777777" w:rsidR="00492C61" w:rsidRPr="00A32FFA" w:rsidRDefault="00492C61" w:rsidP="007B7EA8">
      <w:pPr>
        <w:pStyle w:val="NormalWeb"/>
        <w:jc w:val="both"/>
        <w:rPr>
          <w:rFonts w:ascii="TimesNewRomanPSMT" w:hAnsi="TimesNewRomanPSMT"/>
        </w:rPr>
      </w:pPr>
    </w:p>
    <w:tbl>
      <w:tblPr>
        <w:tblW w:w="10910" w:type="dxa"/>
        <w:tblInd w:w="-920" w:type="dxa"/>
        <w:tblLook w:val="04A0" w:firstRow="1" w:lastRow="0" w:firstColumn="1" w:lastColumn="0" w:noHBand="0" w:noVBand="1"/>
      </w:tblPr>
      <w:tblGrid>
        <w:gridCol w:w="4700"/>
        <w:gridCol w:w="6210"/>
      </w:tblGrid>
      <w:tr w:rsidR="00B1551C" w:rsidRPr="00B1551C" w14:paraId="532A421F" w14:textId="77777777" w:rsidTr="00B1551C">
        <w:trPr>
          <w:trHeight w:val="487"/>
        </w:trPr>
        <w:tc>
          <w:tcPr>
            <w:tcW w:w="10910" w:type="dxa"/>
            <w:gridSpan w:val="2"/>
            <w:tcBorders>
              <w:top w:val="nil"/>
              <w:left w:val="nil"/>
              <w:bottom w:val="single" w:sz="4" w:space="0" w:color="auto"/>
              <w:right w:val="nil"/>
            </w:tcBorders>
            <w:shd w:val="clear" w:color="000000" w:fill="ADADAD"/>
            <w:noWrap/>
            <w:vAlign w:val="center"/>
            <w:hideMark/>
          </w:tcPr>
          <w:p w14:paraId="35171FC3" w14:textId="77777777" w:rsidR="00B1551C" w:rsidRPr="00B1551C" w:rsidRDefault="00B1551C" w:rsidP="00B1551C">
            <w:pPr>
              <w:jc w:val="center"/>
              <w:rPr>
                <w:rFonts w:ascii="Aptos Narrow" w:eastAsia="Times New Roman" w:hAnsi="Aptos Narrow" w:cs="Times New Roman"/>
                <w:b/>
                <w:bCs/>
                <w:color w:val="000000"/>
                <w:kern w:val="0"/>
                <w:sz w:val="36"/>
                <w:szCs w:val="36"/>
                <w14:ligatures w14:val="none"/>
              </w:rPr>
            </w:pPr>
            <w:r w:rsidRPr="00B1551C">
              <w:rPr>
                <w:rFonts w:ascii="Aptos Narrow" w:eastAsia="Times New Roman" w:hAnsi="Aptos Narrow" w:cs="Times New Roman"/>
                <w:b/>
                <w:bCs/>
                <w:color w:val="000000"/>
                <w:kern w:val="0"/>
                <w:sz w:val="36"/>
                <w:szCs w:val="36"/>
                <w14:ligatures w14:val="none"/>
              </w:rPr>
              <w:t>Summary: Occupational Licensing in Brazil (1930-2024)</w:t>
            </w:r>
          </w:p>
        </w:tc>
      </w:tr>
      <w:tr w:rsidR="00B1551C" w:rsidRPr="00B1551C" w14:paraId="728D1313" w14:textId="77777777" w:rsidTr="00B1551C">
        <w:trPr>
          <w:trHeight w:val="577"/>
        </w:trPr>
        <w:tc>
          <w:tcPr>
            <w:tcW w:w="4700" w:type="dxa"/>
            <w:tcBorders>
              <w:top w:val="nil"/>
              <w:left w:val="nil"/>
              <w:bottom w:val="single" w:sz="4" w:space="0" w:color="auto"/>
              <w:right w:val="single" w:sz="4" w:space="0" w:color="auto"/>
            </w:tcBorders>
            <w:shd w:val="clear" w:color="000000" w:fill="D9D9D9"/>
            <w:noWrap/>
            <w:vAlign w:val="center"/>
            <w:hideMark/>
          </w:tcPr>
          <w:p w14:paraId="173787A4"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Is licensing federalist or national?</w:t>
            </w:r>
          </w:p>
        </w:tc>
        <w:tc>
          <w:tcPr>
            <w:tcW w:w="6210" w:type="dxa"/>
            <w:tcBorders>
              <w:top w:val="nil"/>
              <w:left w:val="nil"/>
              <w:bottom w:val="nil"/>
              <w:right w:val="nil"/>
            </w:tcBorders>
            <w:shd w:val="clear" w:color="auto" w:fill="auto"/>
            <w:vAlign w:val="center"/>
            <w:hideMark/>
          </w:tcPr>
          <w:p w14:paraId="485B5307" w14:textId="77777777" w:rsidR="00B1551C" w:rsidRPr="00B1551C" w:rsidRDefault="00B1551C" w:rsidP="00B1551C">
            <w:pPr>
              <w:jc w:val="center"/>
              <w:rPr>
                <w:rFonts w:ascii="Aptos Narrow" w:eastAsia="Times New Roman" w:hAnsi="Aptos Narrow" w:cs="Times New Roman"/>
                <w:color w:val="000000"/>
                <w:kern w:val="0"/>
                <w:sz w:val="21"/>
                <w:szCs w:val="21"/>
                <w14:ligatures w14:val="none"/>
              </w:rPr>
            </w:pPr>
            <w:r w:rsidRPr="00B1551C">
              <w:rPr>
                <w:rFonts w:ascii="Aptos Narrow" w:eastAsia="Times New Roman" w:hAnsi="Aptos Narrow" w:cs="Times New Roman"/>
                <w:color w:val="000000"/>
                <w:kern w:val="0"/>
                <w:sz w:val="21"/>
                <w:szCs w:val="21"/>
                <w14:ligatures w14:val="none"/>
              </w:rPr>
              <w:t xml:space="preserve">National </w:t>
            </w:r>
            <w:r w:rsidRPr="00B1551C">
              <w:rPr>
                <w:rFonts w:ascii="Aptos Narrow" w:eastAsia="Times New Roman" w:hAnsi="Aptos Narrow" w:cs="Times New Roman"/>
                <w:color w:val="000000"/>
                <w:kern w:val="0"/>
                <w:sz w:val="21"/>
                <w:szCs w:val="21"/>
                <w14:ligatures w14:val="none"/>
              </w:rPr>
              <w:br/>
              <w:t>(five occupations have national standards supplemented at state or local level)</w:t>
            </w:r>
          </w:p>
        </w:tc>
      </w:tr>
      <w:tr w:rsidR="00B1551C" w:rsidRPr="00B1551C" w14:paraId="5FD0DDEC" w14:textId="77777777" w:rsidTr="00B1551C">
        <w:trPr>
          <w:trHeight w:val="577"/>
        </w:trPr>
        <w:tc>
          <w:tcPr>
            <w:tcW w:w="4700" w:type="dxa"/>
            <w:tcBorders>
              <w:top w:val="nil"/>
              <w:left w:val="nil"/>
              <w:bottom w:val="single" w:sz="4" w:space="0" w:color="auto"/>
              <w:right w:val="single" w:sz="4" w:space="0" w:color="auto"/>
            </w:tcBorders>
            <w:shd w:val="clear" w:color="000000" w:fill="D9D9D9"/>
            <w:noWrap/>
            <w:vAlign w:val="center"/>
            <w:hideMark/>
          </w:tcPr>
          <w:p w14:paraId="2921B072"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Are standards are set by a legislative body or professional associations?</w:t>
            </w:r>
          </w:p>
        </w:tc>
        <w:tc>
          <w:tcPr>
            <w:tcW w:w="6210" w:type="dxa"/>
            <w:tcBorders>
              <w:top w:val="nil"/>
              <w:left w:val="nil"/>
              <w:bottom w:val="nil"/>
              <w:right w:val="nil"/>
            </w:tcBorders>
            <w:shd w:val="clear" w:color="auto" w:fill="auto"/>
            <w:vAlign w:val="center"/>
            <w:hideMark/>
          </w:tcPr>
          <w:p w14:paraId="0C7AD883" w14:textId="77777777" w:rsidR="00B1551C" w:rsidRPr="00B1551C" w:rsidRDefault="00B1551C" w:rsidP="00B1551C">
            <w:pPr>
              <w:jc w:val="center"/>
              <w:rPr>
                <w:rFonts w:ascii="Aptos Narrow" w:eastAsia="Times New Roman" w:hAnsi="Aptos Narrow" w:cs="Times New Roman"/>
                <w:color w:val="000000"/>
                <w:kern w:val="0"/>
                <w:sz w:val="21"/>
                <w:szCs w:val="21"/>
                <w14:ligatures w14:val="none"/>
              </w:rPr>
            </w:pPr>
            <w:r w:rsidRPr="00B1551C">
              <w:rPr>
                <w:rFonts w:ascii="Aptos Narrow" w:eastAsia="Times New Roman" w:hAnsi="Aptos Narrow" w:cs="Times New Roman"/>
                <w:color w:val="000000"/>
                <w:kern w:val="0"/>
                <w:sz w:val="21"/>
                <w:szCs w:val="21"/>
                <w14:ligatures w14:val="none"/>
              </w:rPr>
              <w:t xml:space="preserve">National Congress defines minimum standards  </w:t>
            </w:r>
            <w:r w:rsidRPr="00B1551C">
              <w:rPr>
                <w:rFonts w:ascii="Aptos Narrow" w:eastAsia="Times New Roman" w:hAnsi="Aptos Narrow" w:cs="Times New Roman"/>
                <w:color w:val="000000"/>
                <w:kern w:val="0"/>
                <w:sz w:val="21"/>
                <w:szCs w:val="21"/>
                <w14:ligatures w14:val="none"/>
              </w:rPr>
              <w:br/>
              <w:t>(professional associations may regulate bylaws, codes of ethics and conduct)</w:t>
            </w:r>
          </w:p>
        </w:tc>
      </w:tr>
      <w:tr w:rsidR="00B1551C" w:rsidRPr="00B1551C" w14:paraId="0C8C028F" w14:textId="77777777" w:rsidTr="00B1551C">
        <w:trPr>
          <w:trHeight w:val="525"/>
        </w:trPr>
        <w:tc>
          <w:tcPr>
            <w:tcW w:w="4700" w:type="dxa"/>
            <w:tcBorders>
              <w:top w:val="nil"/>
              <w:left w:val="nil"/>
              <w:bottom w:val="single" w:sz="4" w:space="0" w:color="auto"/>
              <w:right w:val="single" w:sz="4" w:space="0" w:color="auto"/>
            </w:tcBorders>
            <w:shd w:val="clear" w:color="000000" w:fill="D9D9D9"/>
            <w:noWrap/>
            <w:vAlign w:val="center"/>
            <w:hideMark/>
          </w:tcPr>
          <w:p w14:paraId="6ADE99BF"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Number of licensed occupations</w:t>
            </w:r>
          </w:p>
        </w:tc>
        <w:tc>
          <w:tcPr>
            <w:tcW w:w="6210" w:type="dxa"/>
            <w:tcBorders>
              <w:top w:val="nil"/>
              <w:left w:val="nil"/>
              <w:bottom w:val="nil"/>
              <w:right w:val="nil"/>
            </w:tcBorders>
            <w:shd w:val="clear" w:color="auto" w:fill="auto"/>
            <w:vAlign w:val="bottom"/>
            <w:hideMark/>
          </w:tcPr>
          <w:p w14:paraId="78BD2D9E" w14:textId="77777777" w:rsidR="00B1551C" w:rsidRPr="00B1551C" w:rsidRDefault="00B1551C" w:rsidP="00B1551C">
            <w:pPr>
              <w:jc w:val="center"/>
              <w:rPr>
                <w:rFonts w:ascii="Aptos Narrow" w:eastAsia="Times New Roman" w:hAnsi="Aptos Narrow" w:cs="Times New Roman"/>
                <w:color w:val="000000"/>
                <w:kern w:val="0"/>
                <w:sz w:val="21"/>
                <w:szCs w:val="21"/>
                <w14:ligatures w14:val="none"/>
              </w:rPr>
            </w:pPr>
            <w:r w:rsidRPr="00B1551C">
              <w:rPr>
                <w:rFonts w:ascii="Aptos Narrow" w:eastAsia="Times New Roman" w:hAnsi="Aptos Narrow" w:cs="Times New Roman"/>
                <w:color w:val="000000"/>
                <w:kern w:val="0"/>
                <w:sz w:val="21"/>
                <w:szCs w:val="21"/>
                <w14:ligatures w14:val="none"/>
              </w:rPr>
              <w:t>67</w:t>
            </w:r>
            <w:r w:rsidRPr="00B1551C">
              <w:rPr>
                <w:rFonts w:ascii="Aptos Narrow" w:eastAsia="Times New Roman" w:hAnsi="Aptos Narrow" w:cs="Times New Roman"/>
                <w:color w:val="000000"/>
                <w:kern w:val="0"/>
                <w:sz w:val="21"/>
                <w:szCs w:val="21"/>
                <w14:ligatures w14:val="none"/>
              </w:rPr>
              <w:br/>
              <w:t xml:space="preserve">(another 8 occupations have minimum standards but no </w:t>
            </w:r>
            <w:proofErr w:type="gramStart"/>
            <w:r w:rsidRPr="00B1551C">
              <w:rPr>
                <w:rFonts w:ascii="Aptos Narrow" w:eastAsia="Times New Roman" w:hAnsi="Aptos Narrow" w:cs="Times New Roman"/>
                <w:i/>
                <w:iCs/>
                <w:color w:val="000000"/>
                <w:kern w:val="0"/>
                <w:sz w:val="21"/>
                <w:szCs w:val="21"/>
                <w14:ligatures w14:val="none"/>
              </w:rPr>
              <w:t>ex ante</w:t>
            </w:r>
            <w:proofErr w:type="gramEnd"/>
            <w:r w:rsidRPr="00B1551C">
              <w:rPr>
                <w:rFonts w:ascii="Aptos Narrow" w:eastAsia="Times New Roman" w:hAnsi="Aptos Narrow" w:cs="Times New Roman"/>
                <w:color w:val="000000"/>
                <w:kern w:val="0"/>
                <w:sz w:val="21"/>
                <w:szCs w:val="21"/>
                <w14:ligatures w14:val="none"/>
              </w:rPr>
              <w:t xml:space="preserve"> licensing)</w:t>
            </w:r>
          </w:p>
        </w:tc>
      </w:tr>
      <w:tr w:rsidR="00B1551C" w:rsidRPr="00B1551C" w14:paraId="5F2D2B8C"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724ADAAC"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Citizenship or residency requirements</w:t>
            </w:r>
          </w:p>
        </w:tc>
        <w:tc>
          <w:tcPr>
            <w:tcW w:w="6210" w:type="dxa"/>
            <w:tcBorders>
              <w:top w:val="nil"/>
              <w:left w:val="nil"/>
              <w:bottom w:val="nil"/>
              <w:right w:val="nil"/>
            </w:tcBorders>
            <w:shd w:val="clear" w:color="auto" w:fill="auto"/>
            <w:noWrap/>
            <w:vAlign w:val="center"/>
            <w:hideMark/>
          </w:tcPr>
          <w:p w14:paraId="3CB3F790" w14:textId="77777777" w:rsidR="00B1551C" w:rsidRPr="00B1551C" w:rsidRDefault="00B1551C" w:rsidP="00B1551C">
            <w:pPr>
              <w:jc w:val="center"/>
              <w:rPr>
                <w:rFonts w:ascii="Aptos Narrow" w:eastAsia="Times New Roman" w:hAnsi="Aptos Narrow" w:cs="Times New Roman"/>
                <w:color w:val="000000"/>
                <w:kern w:val="0"/>
                <w:sz w:val="21"/>
                <w:szCs w:val="21"/>
                <w14:ligatures w14:val="none"/>
              </w:rPr>
            </w:pPr>
            <w:r w:rsidRPr="00B1551C">
              <w:rPr>
                <w:rFonts w:ascii="Aptos Narrow" w:eastAsia="Times New Roman" w:hAnsi="Aptos Narrow" w:cs="Times New Roman"/>
                <w:color w:val="000000"/>
                <w:kern w:val="0"/>
                <w:sz w:val="21"/>
                <w:szCs w:val="21"/>
                <w14:ligatures w14:val="none"/>
              </w:rPr>
              <w:t>Valid work visa or residency card (for all workers)</w:t>
            </w:r>
          </w:p>
        </w:tc>
      </w:tr>
      <w:tr w:rsidR="00B1551C" w:rsidRPr="00B1551C" w14:paraId="22E487DA"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62EC8AB3"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Are people with criminal records are banned</w:t>
            </w:r>
          </w:p>
        </w:tc>
        <w:tc>
          <w:tcPr>
            <w:tcW w:w="6210" w:type="dxa"/>
            <w:tcBorders>
              <w:top w:val="nil"/>
              <w:left w:val="nil"/>
              <w:bottom w:val="nil"/>
              <w:right w:val="nil"/>
            </w:tcBorders>
            <w:shd w:val="clear" w:color="auto" w:fill="auto"/>
            <w:noWrap/>
            <w:vAlign w:val="center"/>
            <w:hideMark/>
          </w:tcPr>
          <w:p w14:paraId="2791E3FF" w14:textId="77777777" w:rsidR="00B1551C" w:rsidRPr="00B1551C" w:rsidRDefault="00B1551C" w:rsidP="00B1551C">
            <w:pPr>
              <w:jc w:val="center"/>
              <w:rPr>
                <w:rFonts w:ascii="Aptos Narrow" w:eastAsia="Times New Roman" w:hAnsi="Aptos Narrow" w:cs="Times New Roman"/>
                <w:color w:val="000000"/>
                <w:kern w:val="0"/>
                <w:sz w:val="21"/>
                <w:szCs w:val="21"/>
                <w14:ligatures w14:val="none"/>
              </w:rPr>
            </w:pPr>
            <w:r w:rsidRPr="00B1551C">
              <w:rPr>
                <w:rFonts w:ascii="Aptos Narrow" w:eastAsia="Times New Roman" w:hAnsi="Aptos Narrow" w:cs="Times New Roman"/>
                <w:color w:val="000000"/>
                <w:kern w:val="0"/>
                <w:sz w:val="21"/>
                <w:szCs w:val="21"/>
                <w14:ligatures w14:val="none"/>
              </w:rPr>
              <w:t>Varies by occupation</w:t>
            </w:r>
          </w:p>
        </w:tc>
      </w:tr>
      <w:tr w:rsidR="00B1551C" w:rsidRPr="00B1551C" w14:paraId="0086C200"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343C8459"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Percentage of the workforce that needs a license (2024)</w:t>
            </w:r>
          </w:p>
        </w:tc>
        <w:tc>
          <w:tcPr>
            <w:tcW w:w="6210" w:type="dxa"/>
            <w:tcBorders>
              <w:top w:val="nil"/>
              <w:left w:val="nil"/>
              <w:bottom w:val="nil"/>
              <w:right w:val="nil"/>
            </w:tcBorders>
            <w:shd w:val="clear" w:color="auto" w:fill="auto"/>
            <w:noWrap/>
            <w:vAlign w:val="center"/>
            <w:hideMark/>
          </w:tcPr>
          <w:p w14:paraId="10AE0F1F" w14:textId="77777777" w:rsidR="00B1551C" w:rsidRPr="00B1551C" w:rsidRDefault="00B1551C" w:rsidP="00B1551C">
            <w:pPr>
              <w:jc w:val="center"/>
              <w:rPr>
                <w:rFonts w:ascii="Aptos Narrow" w:eastAsia="Times New Roman" w:hAnsi="Aptos Narrow" w:cs="Times New Roman"/>
                <w:color w:val="000000"/>
                <w:kern w:val="0"/>
                <w:sz w:val="22"/>
                <w:szCs w:val="22"/>
                <w14:ligatures w14:val="none"/>
              </w:rPr>
            </w:pPr>
            <w:r w:rsidRPr="00B1551C">
              <w:rPr>
                <w:rFonts w:ascii="Aptos Narrow" w:eastAsia="Times New Roman" w:hAnsi="Aptos Narrow" w:cs="Times New Roman"/>
                <w:color w:val="000000"/>
                <w:kern w:val="0"/>
                <w:sz w:val="22"/>
                <w:szCs w:val="22"/>
                <w14:ligatures w14:val="none"/>
              </w:rPr>
              <w:t>13.38%</w:t>
            </w:r>
          </w:p>
        </w:tc>
      </w:tr>
      <w:tr w:rsidR="00B1551C" w:rsidRPr="00B1551C" w14:paraId="44012F65"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4CCD3425"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Percentage of the civilian population in the formal labor market (2024)</w:t>
            </w:r>
          </w:p>
        </w:tc>
        <w:tc>
          <w:tcPr>
            <w:tcW w:w="6210" w:type="dxa"/>
            <w:tcBorders>
              <w:top w:val="nil"/>
              <w:left w:val="nil"/>
              <w:bottom w:val="nil"/>
              <w:right w:val="nil"/>
            </w:tcBorders>
            <w:shd w:val="clear" w:color="auto" w:fill="auto"/>
            <w:noWrap/>
            <w:vAlign w:val="center"/>
            <w:hideMark/>
          </w:tcPr>
          <w:p w14:paraId="7756477B" w14:textId="77777777" w:rsidR="00B1551C" w:rsidRPr="00B1551C" w:rsidRDefault="00B1551C" w:rsidP="00B1551C">
            <w:pPr>
              <w:jc w:val="center"/>
              <w:rPr>
                <w:rFonts w:ascii="Aptos Narrow" w:eastAsia="Times New Roman" w:hAnsi="Aptos Narrow" w:cs="Times New Roman"/>
                <w:color w:val="000000"/>
                <w:kern w:val="0"/>
                <w:sz w:val="22"/>
                <w:szCs w:val="22"/>
                <w14:ligatures w14:val="none"/>
              </w:rPr>
            </w:pPr>
            <w:r w:rsidRPr="00B1551C">
              <w:rPr>
                <w:rFonts w:ascii="Aptos Narrow" w:eastAsia="Times New Roman" w:hAnsi="Aptos Narrow" w:cs="Times New Roman"/>
                <w:color w:val="000000"/>
                <w:kern w:val="0"/>
                <w:sz w:val="22"/>
                <w:szCs w:val="22"/>
                <w14:ligatures w14:val="none"/>
              </w:rPr>
              <w:t>34.62%</w:t>
            </w:r>
          </w:p>
        </w:tc>
      </w:tr>
      <w:tr w:rsidR="00B1551C" w:rsidRPr="00B1551C" w14:paraId="1A10428A"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7C841D50"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Average National Wage (2024)</w:t>
            </w:r>
          </w:p>
        </w:tc>
        <w:tc>
          <w:tcPr>
            <w:tcW w:w="6210" w:type="dxa"/>
            <w:tcBorders>
              <w:top w:val="nil"/>
              <w:left w:val="nil"/>
              <w:bottom w:val="nil"/>
              <w:right w:val="nil"/>
            </w:tcBorders>
            <w:shd w:val="clear" w:color="auto" w:fill="auto"/>
            <w:noWrap/>
            <w:vAlign w:val="center"/>
            <w:hideMark/>
          </w:tcPr>
          <w:p w14:paraId="73658E48" w14:textId="4A114A14" w:rsidR="00B1551C" w:rsidRPr="00B1551C" w:rsidRDefault="00B1551C" w:rsidP="00B1551C">
            <w:pPr>
              <w:jc w:val="center"/>
              <w:rPr>
                <w:rFonts w:ascii="Aptos Narrow" w:eastAsia="Times New Roman" w:hAnsi="Aptos Narrow" w:cs="Times New Roman"/>
                <w:color w:val="000000"/>
                <w:kern w:val="0"/>
                <w:sz w:val="21"/>
                <w:szCs w:val="21"/>
                <w14:ligatures w14:val="none"/>
              </w:rPr>
            </w:pPr>
            <w:r>
              <w:rPr>
                <w:rFonts w:ascii="Aptos Narrow" w:eastAsia="Times New Roman" w:hAnsi="Aptos Narrow" w:cs="Times New Roman"/>
                <w:color w:val="000000"/>
                <w:kern w:val="0"/>
                <w:sz w:val="21"/>
                <w:szCs w:val="21"/>
                <w14:ligatures w14:val="none"/>
              </w:rPr>
              <w:t xml:space="preserve">R$ </w:t>
            </w:r>
            <w:r w:rsidRPr="00B1551C">
              <w:rPr>
                <w:rFonts w:ascii="Aptos Narrow" w:eastAsia="Times New Roman" w:hAnsi="Aptos Narrow" w:cs="Times New Roman"/>
                <w:color w:val="000000"/>
                <w:kern w:val="0"/>
                <w:sz w:val="21"/>
                <w:szCs w:val="21"/>
                <w14:ligatures w14:val="none"/>
              </w:rPr>
              <w:t>2,834.61</w:t>
            </w:r>
          </w:p>
        </w:tc>
      </w:tr>
      <w:tr w:rsidR="00B1551C" w:rsidRPr="00B1551C" w14:paraId="2D3CB697"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7CD56EA3"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Median National Wage (2024)</w:t>
            </w:r>
          </w:p>
        </w:tc>
        <w:tc>
          <w:tcPr>
            <w:tcW w:w="6210" w:type="dxa"/>
            <w:tcBorders>
              <w:top w:val="nil"/>
              <w:left w:val="nil"/>
              <w:bottom w:val="nil"/>
              <w:right w:val="nil"/>
            </w:tcBorders>
            <w:shd w:val="clear" w:color="auto" w:fill="auto"/>
            <w:noWrap/>
            <w:vAlign w:val="center"/>
            <w:hideMark/>
          </w:tcPr>
          <w:p w14:paraId="2302607F" w14:textId="13745174" w:rsidR="00B1551C" w:rsidRPr="00B1551C" w:rsidRDefault="00B1551C" w:rsidP="00B1551C">
            <w:pPr>
              <w:jc w:val="center"/>
              <w:rPr>
                <w:rFonts w:ascii="Aptos Narrow" w:eastAsia="Times New Roman" w:hAnsi="Aptos Narrow" w:cs="Times New Roman"/>
                <w:color w:val="000000"/>
                <w:kern w:val="0"/>
                <w:sz w:val="21"/>
                <w:szCs w:val="21"/>
                <w14:ligatures w14:val="none"/>
              </w:rPr>
            </w:pPr>
            <w:r>
              <w:rPr>
                <w:rFonts w:ascii="Aptos Narrow" w:eastAsia="Times New Roman" w:hAnsi="Aptos Narrow" w:cs="Times New Roman"/>
                <w:color w:val="000000"/>
                <w:kern w:val="0"/>
                <w:sz w:val="21"/>
                <w:szCs w:val="21"/>
                <w14:ligatures w14:val="none"/>
              </w:rPr>
              <w:t xml:space="preserve">R$ </w:t>
            </w:r>
            <w:r w:rsidRPr="00B1551C">
              <w:rPr>
                <w:rFonts w:ascii="Aptos Narrow" w:eastAsia="Times New Roman" w:hAnsi="Aptos Narrow" w:cs="Times New Roman"/>
                <w:color w:val="000000"/>
                <w:kern w:val="0"/>
                <w:sz w:val="21"/>
                <w:szCs w:val="21"/>
                <w14:ligatures w14:val="none"/>
              </w:rPr>
              <w:t>1,837.53</w:t>
            </w:r>
          </w:p>
        </w:tc>
      </w:tr>
      <w:tr w:rsidR="00B1551C" w:rsidRPr="00B1551C" w14:paraId="53A6B6A9"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0D357927"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Average Wage for Licensed Occupation (2024)</w:t>
            </w:r>
          </w:p>
        </w:tc>
        <w:tc>
          <w:tcPr>
            <w:tcW w:w="6210" w:type="dxa"/>
            <w:tcBorders>
              <w:top w:val="nil"/>
              <w:left w:val="nil"/>
              <w:bottom w:val="nil"/>
              <w:right w:val="nil"/>
            </w:tcBorders>
            <w:shd w:val="clear" w:color="auto" w:fill="auto"/>
            <w:noWrap/>
            <w:vAlign w:val="center"/>
            <w:hideMark/>
          </w:tcPr>
          <w:p w14:paraId="57758CC8" w14:textId="6B7EB0A5" w:rsidR="00B1551C" w:rsidRPr="00B1551C" w:rsidRDefault="00B1551C" w:rsidP="00B1551C">
            <w:pPr>
              <w:jc w:val="center"/>
              <w:rPr>
                <w:rFonts w:ascii="Aptos Narrow" w:eastAsia="Times New Roman" w:hAnsi="Aptos Narrow" w:cs="Times New Roman"/>
                <w:color w:val="000000"/>
                <w:kern w:val="0"/>
                <w:sz w:val="21"/>
                <w:szCs w:val="21"/>
                <w14:ligatures w14:val="none"/>
              </w:rPr>
            </w:pPr>
            <w:r>
              <w:rPr>
                <w:rFonts w:ascii="Aptos Narrow" w:eastAsia="Times New Roman" w:hAnsi="Aptos Narrow" w:cs="Times New Roman"/>
                <w:color w:val="000000"/>
                <w:kern w:val="0"/>
                <w:sz w:val="21"/>
                <w:szCs w:val="21"/>
                <w14:ligatures w14:val="none"/>
              </w:rPr>
              <w:t xml:space="preserve">R$ </w:t>
            </w:r>
            <w:r w:rsidRPr="00B1551C">
              <w:rPr>
                <w:rFonts w:ascii="Aptos Narrow" w:eastAsia="Times New Roman" w:hAnsi="Aptos Narrow" w:cs="Times New Roman"/>
                <w:color w:val="000000"/>
                <w:kern w:val="0"/>
                <w:sz w:val="21"/>
                <w:szCs w:val="21"/>
                <w14:ligatures w14:val="none"/>
              </w:rPr>
              <w:t>5,190.48</w:t>
            </w:r>
          </w:p>
        </w:tc>
      </w:tr>
      <w:tr w:rsidR="00B1551C" w:rsidRPr="00B1551C" w14:paraId="5EED022E" w14:textId="77777777" w:rsidTr="00B1551C">
        <w:trPr>
          <w:trHeight w:val="397"/>
        </w:trPr>
        <w:tc>
          <w:tcPr>
            <w:tcW w:w="4700" w:type="dxa"/>
            <w:tcBorders>
              <w:top w:val="nil"/>
              <w:left w:val="nil"/>
              <w:bottom w:val="single" w:sz="4" w:space="0" w:color="auto"/>
              <w:right w:val="single" w:sz="4" w:space="0" w:color="auto"/>
            </w:tcBorders>
            <w:shd w:val="clear" w:color="000000" w:fill="D9D9D9"/>
            <w:noWrap/>
            <w:vAlign w:val="center"/>
            <w:hideMark/>
          </w:tcPr>
          <w:p w14:paraId="3DBA61B6" w14:textId="77777777" w:rsidR="00B1551C" w:rsidRPr="00B1551C" w:rsidRDefault="00B1551C" w:rsidP="00B1551C">
            <w:pPr>
              <w:rPr>
                <w:rFonts w:ascii="Aptos Narrow" w:eastAsia="Times New Roman" w:hAnsi="Aptos Narrow" w:cs="Times New Roman"/>
                <w:color w:val="000000"/>
                <w:kern w:val="0"/>
                <w:sz w:val="20"/>
                <w:szCs w:val="20"/>
                <w14:ligatures w14:val="none"/>
              </w:rPr>
            </w:pPr>
            <w:r w:rsidRPr="00B1551C">
              <w:rPr>
                <w:rFonts w:ascii="Aptos Narrow" w:eastAsia="Times New Roman" w:hAnsi="Aptos Narrow" w:cs="Times New Roman"/>
                <w:color w:val="000000"/>
                <w:kern w:val="0"/>
                <w:sz w:val="20"/>
                <w:szCs w:val="20"/>
                <w14:ligatures w14:val="none"/>
              </w:rPr>
              <w:t>Median Wage for Licensed Occupations (2024)</w:t>
            </w:r>
          </w:p>
        </w:tc>
        <w:tc>
          <w:tcPr>
            <w:tcW w:w="6210" w:type="dxa"/>
            <w:tcBorders>
              <w:top w:val="nil"/>
              <w:left w:val="nil"/>
              <w:bottom w:val="nil"/>
              <w:right w:val="nil"/>
            </w:tcBorders>
            <w:shd w:val="clear" w:color="auto" w:fill="auto"/>
            <w:noWrap/>
            <w:vAlign w:val="center"/>
            <w:hideMark/>
          </w:tcPr>
          <w:p w14:paraId="324367AC" w14:textId="40CBB29E" w:rsidR="00B1551C" w:rsidRPr="00B1551C" w:rsidRDefault="00B1551C" w:rsidP="00B1551C">
            <w:pPr>
              <w:jc w:val="center"/>
              <w:rPr>
                <w:rFonts w:ascii="Aptos Narrow" w:eastAsia="Times New Roman" w:hAnsi="Aptos Narrow" w:cs="Times New Roman"/>
                <w:color w:val="000000"/>
                <w:kern w:val="0"/>
                <w:sz w:val="21"/>
                <w:szCs w:val="21"/>
                <w14:ligatures w14:val="none"/>
              </w:rPr>
            </w:pPr>
            <w:r>
              <w:rPr>
                <w:rFonts w:ascii="Aptos Narrow" w:eastAsia="Times New Roman" w:hAnsi="Aptos Narrow" w:cs="Times New Roman"/>
                <w:color w:val="000000"/>
                <w:kern w:val="0"/>
                <w:sz w:val="21"/>
                <w:szCs w:val="21"/>
                <w14:ligatures w14:val="none"/>
              </w:rPr>
              <w:t xml:space="preserve">R$ </w:t>
            </w:r>
            <w:r w:rsidRPr="00B1551C">
              <w:rPr>
                <w:rFonts w:ascii="Aptos Narrow" w:eastAsia="Times New Roman" w:hAnsi="Aptos Narrow" w:cs="Times New Roman"/>
                <w:color w:val="000000"/>
                <w:kern w:val="0"/>
                <w:sz w:val="21"/>
                <w:szCs w:val="21"/>
                <w14:ligatures w14:val="none"/>
              </w:rPr>
              <w:t>3,017.53</w:t>
            </w:r>
          </w:p>
        </w:tc>
      </w:tr>
    </w:tbl>
    <w:p w14:paraId="14828122" w14:textId="77777777" w:rsidR="00A32FFA" w:rsidRPr="00B1551C" w:rsidRDefault="00A32FFA" w:rsidP="00492C61">
      <w:pPr>
        <w:rPr>
          <w:sz w:val="22"/>
          <w:szCs w:val="22"/>
        </w:rPr>
      </w:pPr>
    </w:p>
    <w:sectPr w:rsidR="00A32FFA" w:rsidRPr="00B1551C" w:rsidSect="00AB07A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1A3B5" w14:textId="77777777" w:rsidR="00702399" w:rsidRDefault="00702399" w:rsidP="00120934">
      <w:r>
        <w:separator/>
      </w:r>
    </w:p>
  </w:endnote>
  <w:endnote w:type="continuationSeparator" w:id="0">
    <w:p w14:paraId="5499DA55" w14:textId="77777777" w:rsidR="00702399" w:rsidRDefault="00702399" w:rsidP="001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CEF4E" w14:textId="77777777" w:rsidR="00702399" w:rsidRDefault="00702399" w:rsidP="00120934">
      <w:r>
        <w:separator/>
      </w:r>
    </w:p>
  </w:footnote>
  <w:footnote w:type="continuationSeparator" w:id="0">
    <w:p w14:paraId="5993BB88" w14:textId="77777777" w:rsidR="00702399" w:rsidRDefault="00702399" w:rsidP="00120934">
      <w:r>
        <w:continuationSeparator/>
      </w:r>
    </w:p>
  </w:footnote>
  <w:footnote w:id="1">
    <w:p w14:paraId="7B54C1CB" w14:textId="06F0CA83" w:rsidR="0080687F" w:rsidRDefault="0080687F">
      <w:pPr>
        <w:pStyle w:val="FootnoteText"/>
      </w:pPr>
      <w:r>
        <w:t xml:space="preserve">* PhD </w:t>
      </w:r>
      <w:r w:rsidR="009C3105">
        <w:t>Candidate</w:t>
      </w:r>
      <w:r>
        <w:t xml:space="preserve">, Department of Agricultural and Applied Economics, Texas Tech University. </w:t>
      </w:r>
    </w:p>
    <w:p w14:paraId="1A3CAFBB" w14:textId="6ACFE885" w:rsidR="0080687F" w:rsidRPr="0080687F" w:rsidRDefault="0080687F">
      <w:pPr>
        <w:pStyle w:val="FootnoteText"/>
        <w:rPr>
          <w:rFonts w:ascii="Times New Roman" w:hAnsi="Times New Roman" w:cs="Times New Roman"/>
        </w:rPr>
      </w:pPr>
      <w:r w:rsidRPr="0080687F">
        <w:rPr>
          <w:rStyle w:val="FootnoteReference"/>
          <w:rFonts w:ascii="Times New Roman" w:hAnsi="Times New Roman" w:cs="Times New Roman"/>
        </w:rPr>
        <w:footnoteRef/>
      </w:r>
      <w:r w:rsidRPr="0080687F">
        <w:rPr>
          <w:rFonts w:ascii="Times New Roman" w:hAnsi="Times New Roman" w:cs="Times New Roman"/>
        </w:rPr>
        <w:t xml:space="preserve"> The Constitution also established that the minimum requirements for regulated occupations would be determined exclusively </w:t>
      </w:r>
      <w:r>
        <w:rPr>
          <w:rFonts w:ascii="Times New Roman" w:hAnsi="Times New Roman" w:cs="Times New Roman"/>
        </w:rPr>
        <w:t xml:space="preserve">at the federal level </w:t>
      </w:r>
      <w:r w:rsidRPr="0080687F">
        <w:rPr>
          <w:rFonts w:ascii="Times New Roman" w:hAnsi="Times New Roman" w:cs="Times New Roman"/>
        </w:rPr>
        <w:t xml:space="preserve">(Article 5, XIX, </w:t>
      </w:r>
      <w:r w:rsidRPr="0080687F">
        <w:rPr>
          <w:rFonts w:ascii="Times New Roman" w:hAnsi="Times New Roman" w:cs="Times New Roman"/>
          <w:i/>
          <w:iCs/>
        </w:rPr>
        <w:t>k</w:t>
      </w:r>
      <w:r w:rsidRPr="0080687F">
        <w:rPr>
          <w:rFonts w:ascii="Times New Roman" w:hAnsi="Times New Roman" w:cs="Times New Roman"/>
        </w:rPr>
        <w:t>).</w:t>
      </w:r>
    </w:p>
  </w:footnote>
  <w:footnote w:id="2">
    <w:p w14:paraId="77A9EE81" w14:textId="76677AC7" w:rsidR="00992848" w:rsidRPr="00575E98" w:rsidRDefault="00992848">
      <w:pPr>
        <w:pStyle w:val="FootnoteText"/>
        <w:rPr>
          <w:rFonts w:ascii="Times New Roman" w:hAnsi="Times New Roman" w:cs="Times New Roman"/>
        </w:rPr>
      </w:pPr>
      <w:r w:rsidRPr="00575E98">
        <w:rPr>
          <w:rStyle w:val="FootnoteReference"/>
          <w:rFonts w:ascii="Times New Roman" w:hAnsi="Times New Roman" w:cs="Times New Roman"/>
        </w:rPr>
        <w:footnoteRef/>
      </w:r>
      <w:r w:rsidRPr="00575E98">
        <w:rPr>
          <w:rFonts w:ascii="Times New Roman" w:hAnsi="Times New Roman" w:cs="Times New Roman"/>
        </w:rPr>
        <w:t xml:space="preserve"> </w:t>
      </w:r>
      <w:proofErr w:type="spellStart"/>
      <w:r w:rsidRPr="00575E98">
        <w:rPr>
          <w:rFonts w:ascii="Times New Roman" w:hAnsi="Times New Roman" w:cs="Times New Roman"/>
        </w:rPr>
        <w:t>Decreto</w:t>
      </w:r>
      <w:proofErr w:type="spellEnd"/>
      <w:r w:rsidRPr="00575E98">
        <w:rPr>
          <w:rFonts w:ascii="Times New Roman" w:hAnsi="Times New Roman" w:cs="Times New Roman"/>
        </w:rPr>
        <w:t>-Lei nº 3.688/1941</w:t>
      </w:r>
      <w:r w:rsidR="00476E8A">
        <w:rPr>
          <w:rFonts w:ascii="Times New Roman" w:hAnsi="Times New Roman" w:cs="Times New Roman"/>
        </w:rPr>
        <w:t xml:space="preserve"> - </w:t>
      </w:r>
      <w:r w:rsidRPr="00575E98">
        <w:rPr>
          <w:rFonts w:ascii="Times New Roman" w:hAnsi="Times New Roman" w:cs="Times New Roman"/>
          <w:i/>
          <w:iCs/>
        </w:rPr>
        <w:t xml:space="preserve">Lei de </w:t>
      </w:r>
      <w:proofErr w:type="spellStart"/>
      <w:r w:rsidRPr="00575E98">
        <w:rPr>
          <w:rFonts w:ascii="Times New Roman" w:hAnsi="Times New Roman" w:cs="Times New Roman"/>
          <w:i/>
          <w:iCs/>
        </w:rPr>
        <w:t>Contravenções</w:t>
      </w:r>
      <w:proofErr w:type="spellEnd"/>
      <w:r w:rsidRPr="00575E98">
        <w:rPr>
          <w:rFonts w:ascii="Times New Roman" w:hAnsi="Times New Roman" w:cs="Times New Roman"/>
          <w:i/>
          <w:iCs/>
        </w:rPr>
        <w:t xml:space="preserve"> </w:t>
      </w:r>
      <w:proofErr w:type="spellStart"/>
      <w:r w:rsidRPr="00575E98">
        <w:rPr>
          <w:rFonts w:ascii="Times New Roman" w:hAnsi="Times New Roman" w:cs="Times New Roman"/>
          <w:i/>
          <w:iCs/>
        </w:rPr>
        <w:t>Penais</w:t>
      </w:r>
      <w:proofErr w:type="spellEnd"/>
      <w:r w:rsidRPr="00575E98">
        <w:rPr>
          <w:rFonts w:ascii="Times New Roman" w:hAnsi="Times New Roman" w:cs="Times New Roman"/>
        </w:rPr>
        <w:t>.</w:t>
      </w:r>
    </w:p>
  </w:footnote>
  <w:footnote w:id="3">
    <w:p w14:paraId="6BB3BED9" w14:textId="317FD959" w:rsidR="00F510A2" w:rsidRPr="009C3105" w:rsidRDefault="00F510A2" w:rsidP="009C3105">
      <w:pPr>
        <w:pStyle w:val="FootnoteText"/>
        <w:jc w:val="both"/>
        <w:rPr>
          <w:rFonts w:ascii="Times New Roman" w:hAnsi="Times New Roman" w:cs="Times New Roman"/>
        </w:rPr>
      </w:pPr>
      <w:r w:rsidRPr="00F510A2">
        <w:rPr>
          <w:rStyle w:val="FootnoteReference"/>
          <w:rFonts w:ascii="Times New Roman" w:hAnsi="Times New Roman" w:cs="Times New Roman"/>
        </w:rPr>
        <w:footnoteRef/>
      </w:r>
      <w:r w:rsidRPr="00F510A2">
        <w:rPr>
          <w:rFonts w:ascii="Times New Roman" w:hAnsi="Times New Roman" w:cs="Times New Roman"/>
        </w:rPr>
        <w:t xml:space="preserve"> </w:t>
      </w:r>
      <w:proofErr w:type="spellStart"/>
      <w:r w:rsidRPr="00F510A2">
        <w:rPr>
          <w:rFonts w:ascii="Times New Roman" w:hAnsi="Times New Roman" w:cs="Times New Roman"/>
        </w:rPr>
        <w:t>Sayão</w:t>
      </w:r>
      <w:proofErr w:type="spellEnd"/>
      <w:r w:rsidRPr="00F510A2">
        <w:rPr>
          <w:rFonts w:ascii="Times New Roman" w:hAnsi="Times New Roman" w:cs="Times New Roman"/>
        </w:rPr>
        <w:t xml:space="preserve"> Romita (2001) argues that only minimum wage legislation has a precise meaning in legislation and in jurisprudence. Other terms used here, such </w:t>
      </w:r>
      <w:r w:rsidR="009C3105">
        <w:rPr>
          <w:rFonts w:ascii="Times New Roman" w:hAnsi="Times New Roman" w:cs="Times New Roman"/>
        </w:rPr>
        <w:t xml:space="preserve">as </w:t>
      </w:r>
      <w:r w:rsidRPr="00F510A2">
        <w:rPr>
          <w:rFonts w:ascii="Times New Roman" w:hAnsi="Times New Roman" w:cs="Times New Roman"/>
        </w:rPr>
        <w:t>“professional wages” (</w:t>
      </w:r>
      <w:proofErr w:type="spellStart"/>
      <w:r w:rsidRPr="00F510A2">
        <w:rPr>
          <w:rFonts w:ascii="Times New Roman" w:hAnsi="Times New Roman" w:cs="Times New Roman"/>
          <w:i/>
          <w:iCs/>
        </w:rPr>
        <w:t>salário</w:t>
      </w:r>
      <w:proofErr w:type="spellEnd"/>
      <w:r w:rsidRPr="00F510A2">
        <w:rPr>
          <w:rFonts w:ascii="Times New Roman" w:hAnsi="Times New Roman" w:cs="Times New Roman"/>
          <w:i/>
          <w:iCs/>
        </w:rPr>
        <w:t xml:space="preserve"> </w:t>
      </w:r>
      <w:proofErr w:type="spellStart"/>
      <w:r w:rsidRPr="00F510A2">
        <w:rPr>
          <w:rFonts w:ascii="Times New Roman" w:hAnsi="Times New Roman" w:cs="Times New Roman"/>
          <w:i/>
          <w:iCs/>
        </w:rPr>
        <w:t>profissional</w:t>
      </w:r>
      <w:proofErr w:type="spellEnd"/>
      <w:r w:rsidRPr="00F510A2">
        <w:rPr>
          <w:rFonts w:ascii="Times New Roman" w:hAnsi="Times New Roman" w:cs="Times New Roman"/>
        </w:rPr>
        <w:t>) and “wage floors” (</w:t>
      </w:r>
      <w:proofErr w:type="spellStart"/>
      <w:r w:rsidRPr="00F510A2">
        <w:rPr>
          <w:rFonts w:ascii="Times New Roman" w:hAnsi="Times New Roman" w:cs="Times New Roman"/>
          <w:i/>
          <w:iCs/>
        </w:rPr>
        <w:t>piso</w:t>
      </w:r>
      <w:proofErr w:type="spellEnd"/>
      <w:r w:rsidRPr="00F510A2">
        <w:rPr>
          <w:rFonts w:ascii="Times New Roman" w:hAnsi="Times New Roman" w:cs="Times New Roman"/>
          <w:i/>
          <w:iCs/>
        </w:rPr>
        <w:t xml:space="preserve"> </w:t>
      </w:r>
      <w:proofErr w:type="spellStart"/>
      <w:r w:rsidRPr="00F510A2">
        <w:rPr>
          <w:rFonts w:ascii="Times New Roman" w:hAnsi="Times New Roman" w:cs="Times New Roman"/>
          <w:i/>
          <w:iCs/>
        </w:rPr>
        <w:t>salarial</w:t>
      </w:r>
      <w:proofErr w:type="spellEnd"/>
      <w:r w:rsidRPr="00F510A2">
        <w:rPr>
          <w:rFonts w:ascii="Times New Roman" w:hAnsi="Times New Roman" w:cs="Times New Roman"/>
        </w:rPr>
        <w:t xml:space="preserve">) have been used loosely, sometimes being applied to an occupation, to an industry, or to a specific state, as a regional minimum wage. </w:t>
      </w:r>
      <w:r w:rsidR="009C3105">
        <w:rPr>
          <w:rFonts w:ascii="Times New Roman" w:hAnsi="Times New Roman" w:cs="Times New Roman"/>
        </w:rPr>
        <w:t xml:space="preserve">Thus, I always refer to them in quotes. </w:t>
      </w:r>
    </w:p>
  </w:footnote>
  <w:footnote w:id="4">
    <w:p w14:paraId="04524F1D" w14:textId="77777777" w:rsidR="00492C61" w:rsidRDefault="00492C61" w:rsidP="00492C61">
      <w:pPr>
        <w:pStyle w:val="FootnoteText"/>
      </w:pPr>
      <w:r>
        <w:rPr>
          <w:rStyle w:val="FootnoteReference"/>
        </w:rPr>
        <w:footnoteRef/>
      </w:r>
      <w:r>
        <w:t xml:space="preserve"> </w:t>
      </w:r>
      <w:r>
        <w:rPr>
          <w:rFonts w:ascii="TimesNewRomanPSMT" w:hAnsi="TimesNewRomanPSMT"/>
        </w:rPr>
        <w:t>Most of these ended up losing their benefit because the fixed value for the wages was set to be in force for three years, subject to extension for the same period, but they were never updated.</w:t>
      </w:r>
    </w:p>
  </w:footnote>
  <w:footnote w:id="5">
    <w:p w14:paraId="64B1ABFA" w14:textId="56CCC640" w:rsidR="00492C61" w:rsidRPr="00A32FFA" w:rsidRDefault="00492C61" w:rsidP="00575E98">
      <w:pPr>
        <w:pStyle w:val="NormalWeb"/>
        <w:spacing w:before="0" w:beforeAutospacing="0" w:after="0" w:afterAutospacing="0"/>
        <w:jc w:val="both"/>
        <w:rPr>
          <w:rFonts w:ascii="TimesNewRomanPSMT" w:hAnsi="TimesNewRomanPSMT"/>
          <w:sz w:val="20"/>
          <w:szCs w:val="20"/>
        </w:rPr>
      </w:pPr>
      <w:r w:rsidRPr="00575E98">
        <w:rPr>
          <w:rStyle w:val="FootnoteReference"/>
          <w:sz w:val="20"/>
          <w:szCs w:val="20"/>
        </w:rPr>
        <w:footnoteRef/>
      </w:r>
      <w:r w:rsidR="00CF3B0C">
        <w:rPr>
          <w:sz w:val="20"/>
          <w:szCs w:val="20"/>
        </w:rPr>
        <w:t xml:space="preserve"> Specifically, Complementary Law n. 103/2000</w:t>
      </w:r>
      <w:r w:rsidRPr="00A32FFA">
        <w:rPr>
          <w:sz w:val="20"/>
          <w:szCs w:val="20"/>
        </w:rPr>
        <w:t xml:space="preserve"> </w:t>
      </w:r>
      <w:r w:rsidRPr="00A32FFA">
        <w:rPr>
          <w:rFonts w:ascii="TimesNewRomanPSMT" w:hAnsi="TimesNewRomanPSMT"/>
          <w:sz w:val="20"/>
          <w:szCs w:val="20"/>
        </w:rPr>
        <w:t xml:space="preserve">authorized states to establish “wage floors” for those occupations not covered by federal “professional wages,” or collective wage agreements. Nonetheless, </w:t>
      </w:r>
      <w:r w:rsidR="002D75CF">
        <w:rPr>
          <w:rFonts w:ascii="TimesNewRomanPSMT" w:hAnsi="TimesNewRomanPSMT"/>
          <w:sz w:val="20"/>
          <w:szCs w:val="20"/>
        </w:rPr>
        <w:t xml:space="preserve">as of 2011, </w:t>
      </w:r>
      <w:r w:rsidRPr="00A32FFA">
        <w:rPr>
          <w:rFonts w:ascii="TimesNewRomanPSMT" w:hAnsi="TimesNewRomanPSMT"/>
          <w:sz w:val="20"/>
          <w:szCs w:val="20"/>
        </w:rPr>
        <w:t xml:space="preserve">only </w:t>
      </w:r>
      <w:r w:rsidR="002D75CF">
        <w:rPr>
          <w:rFonts w:ascii="TimesNewRomanPSMT" w:hAnsi="TimesNewRomanPSMT"/>
          <w:sz w:val="20"/>
          <w:szCs w:val="20"/>
        </w:rPr>
        <w:t>six</w:t>
      </w:r>
      <w:r w:rsidRPr="00A32FFA">
        <w:rPr>
          <w:rFonts w:ascii="TimesNewRomanPSMT" w:hAnsi="TimesNewRomanPSMT"/>
          <w:sz w:val="20"/>
          <w:szCs w:val="20"/>
        </w:rPr>
        <w:t xml:space="preserve"> states currently have a state wage floor</w:t>
      </w:r>
      <w:r w:rsidR="002D75CF">
        <w:rPr>
          <w:rFonts w:ascii="TimesNewRomanPSMT" w:hAnsi="TimesNewRomanPSMT"/>
          <w:sz w:val="20"/>
          <w:szCs w:val="20"/>
        </w:rPr>
        <w:t>, according to a survey from the National Confederation of Municipalities (CNM, 2011). With one exception,</w:t>
      </w:r>
      <w:r w:rsidRPr="00A32FFA">
        <w:rPr>
          <w:rFonts w:ascii="TimesNewRomanPSMT" w:hAnsi="TimesNewRomanPSMT"/>
          <w:sz w:val="20"/>
          <w:szCs w:val="20"/>
        </w:rPr>
        <w:t xml:space="preserve"> </w:t>
      </w:r>
      <w:r w:rsidR="002D75CF">
        <w:rPr>
          <w:rFonts w:ascii="TimesNewRomanPSMT" w:hAnsi="TimesNewRomanPSMT"/>
          <w:sz w:val="20"/>
          <w:szCs w:val="20"/>
        </w:rPr>
        <w:t>all were</w:t>
      </w:r>
      <w:r w:rsidRPr="00A32FFA">
        <w:rPr>
          <w:rFonts w:ascii="TimesNewRomanPSMT" w:hAnsi="TimesNewRomanPSMT"/>
          <w:sz w:val="20"/>
          <w:szCs w:val="20"/>
        </w:rPr>
        <w:t xml:space="preserve"> among </w:t>
      </w:r>
      <w:r w:rsidR="002D75CF">
        <w:rPr>
          <w:rFonts w:ascii="TimesNewRomanPSMT" w:hAnsi="TimesNewRomanPSMT"/>
          <w:sz w:val="20"/>
          <w:szCs w:val="20"/>
        </w:rPr>
        <w:t>the states</w:t>
      </w:r>
      <w:r w:rsidRPr="00A32FFA">
        <w:rPr>
          <w:rFonts w:ascii="TimesNewRomanPSMT" w:hAnsi="TimesNewRomanPSMT"/>
          <w:sz w:val="20"/>
          <w:szCs w:val="20"/>
        </w:rPr>
        <w:t xml:space="preserve"> with the highest per capita incomes in Brazil, for which the federal minimum wage is mostly not binding. </w:t>
      </w:r>
    </w:p>
  </w:footnote>
  <w:footnote w:id="6">
    <w:p w14:paraId="0F1F889D" w14:textId="79C28BA2" w:rsidR="00492C61" w:rsidRPr="00575E98" w:rsidRDefault="00492C61" w:rsidP="00492C61">
      <w:pPr>
        <w:pStyle w:val="FootnoteText"/>
        <w:jc w:val="both"/>
        <w:rPr>
          <w:rFonts w:ascii="Times New Roman" w:hAnsi="Times New Roman" w:cs="Times New Roman"/>
        </w:rPr>
      </w:pPr>
      <w:r w:rsidRPr="00575E98">
        <w:rPr>
          <w:rStyle w:val="FootnoteReference"/>
          <w:rFonts w:ascii="Times New Roman" w:hAnsi="Times New Roman" w:cs="Times New Roman"/>
        </w:rPr>
        <w:footnoteRef/>
      </w:r>
      <w:r w:rsidRPr="00575E98">
        <w:rPr>
          <w:rFonts w:ascii="Times New Roman" w:hAnsi="Times New Roman" w:cs="Times New Roman"/>
        </w:rPr>
        <w:t xml:space="preserve"> For instance, </w:t>
      </w:r>
      <w:r w:rsidR="00F510A2" w:rsidRPr="00575E98">
        <w:rPr>
          <w:rFonts w:ascii="Times New Roman" w:hAnsi="Times New Roman" w:cs="Times New Roman"/>
        </w:rPr>
        <w:t xml:space="preserve">journalists and </w:t>
      </w:r>
      <w:proofErr w:type="gramStart"/>
      <w:r w:rsidR="00F510A2" w:rsidRPr="00575E98">
        <w:rPr>
          <w:rFonts w:ascii="Times New Roman" w:hAnsi="Times New Roman" w:cs="Times New Roman"/>
        </w:rPr>
        <w:t>copy-editors</w:t>
      </w:r>
      <w:proofErr w:type="gramEnd"/>
      <w:r w:rsidR="00F510A2">
        <w:rPr>
          <w:rFonts w:ascii="Times New Roman" w:hAnsi="Times New Roman" w:cs="Times New Roman"/>
        </w:rPr>
        <w:t xml:space="preserve"> benefited from “professional wages” but</w:t>
      </w:r>
      <w:r w:rsidR="00F510A2" w:rsidRPr="00575E98">
        <w:rPr>
          <w:rFonts w:ascii="Times New Roman" w:hAnsi="Times New Roman" w:cs="Times New Roman"/>
        </w:rPr>
        <w:t xml:space="preserve"> </w:t>
      </w:r>
      <w:r w:rsidRPr="00575E98">
        <w:rPr>
          <w:rFonts w:ascii="Times New Roman" w:hAnsi="Times New Roman" w:cs="Times New Roman"/>
        </w:rPr>
        <w:t>there w</w:t>
      </w:r>
      <w:r w:rsidR="00F510A2">
        <w:rPr>
          <w:rFonts w:ascii="Times New Roman" w:hAnsi="Times New Roman" w:cs="Times New Roman"/>
        </w:rPr>
        <w:t>ere</w:t>
      </w:r>
      <w:r w:rsidRPr="00575E98">
        <w:rPr>
          <w:rFonts w:ascii="Times New Roman" w:hAnsi="Times New Roman" w:cs="Times New Roman"/>
        </w:rPr>
        <w:t xml:space="preserve"> no licensing requirements</w:t>
      </w:r>
      <w:r w:rsidR="00F510A2">
        <w:rPr>
          <w:rFonts w:ascii="Times New Roman" w:hAnsi="Times New Roman" w:cs="Times New Roman"/>
        </w:rPr>
        <w:t xml:space="preserve"> for them. </w:t>
      </w:r>
    </w:p>
  </w:footnote>
  <w:footnote w:id="7">
    <w:p w14:paraId="5EC875CB" w14:textId="51117079" w:rsidR="004B4424" w:rsidRPr="00575E98" w:rsidRDefault="004B4424" w:rsidP="004B4424">
      <w:pPr>
        <w:pStyle w:val="FootnoteText"/>
        <w:jc w:val="both"/>
        <w:rPr>
          <w:rFonts w:ascii="Times New Roman" w:hAnsi="Times New Roman" w:cs="Times New Roman"/>
        </w:rPr>
      </w:pPr>
      <w:r w:rsidRPr="00575E98">
        <w:rPr>
          <w:rStyle w:val="FootnoteReference"/>
          <w:rFonts w:ascii="Times New Roman" w:hAnsi="Times New Roman" w:cs="Times New Roman"/>
        </w:rPr>
        <w:footnoteRef/>
      </w:r>
      <w:r w:rsidRPr="00575E98">
        <w:rPr>
          <w:rFonts w:ascii="Times New Roman" w:hAnsi="Times New Roman" w:cs="Times New Roman"/>
        </w:rPr>
        <w:t xml:space="preserve"> </w:t>
      </w:r>
      <w:r w:rsidR="00F510A2">
        <w:rPr>
          <w:rFonts w:ascii="Times New Roman" w:hAnsi="Times New Roman" w:cs="Times New Roman"/>
        </w:rPr>
        <w:t>This survey</w:t>
      </w:r>
      <w:r w:rsidRPr="00575E98">
        <w:rPr>
          <w:rFonts w:ascii="Times New Roman" w:hAnsi="Times New Roman" w:cs="Times New Roman"/>
        </w:rPr>
        <w:t xml:space="preserve"> identified 7</w:t>
      </w:r>
      <w:r w:rsidR="00003AA1" w:rsidRPr="00575E98">
        <w:rPr>
          <w:rFonts w:ascii="Times New Roman" w:hAnsi="Times New Roman" w:cs="Times New Roman"/>
        </w:rPr>
        <w:t>6</w:t>
      </w:r>
      <w:r w:rsidRPr="00575E98">
        <w:rPr>
          <w:rFonts w:ascii="Times New Roman" w:hAnsi="Times New Roman" w:cs="Times New Roman"/>
        </w:rPr>
        <w:t xml:space="preserve"> different laws regulating occupations to </w:t>
      </w:r>
      <w:r w:rsidR="00003AA1" w:rsidRPr="00575E98">
        <w:rPr>
          <w:rFonts w:ascii="Times New Roman" w:hAnsi="Times New Roman" w:cs="Times New Roman"/>
        </w:rPr>
        <w:t>various</w:t>
      </w:r>
      <w:r w:rsidRPr="00575E98">
        <w:rPr>
          <w:rFonts w:ascii="Times New Roman" w:hAnsi="Times New Roman" w:cs="Times New Roman"/>
        </w:rPr>
        <w:t xml:space="preserve"> degrees. The exact number may vary, as it depends on how narrow we define an occupation. For instance, barber, hairdresser, and esthetician are </w:t>
      </w:r>
      <w:r w:rsidR="00003AA1" w:rsidRPr="00575E98">
        <w:rPr>
          <w:rFonts w:ascii="Times New Roman" w:hAnsi="Times New Roman" w:cs="Times New Roman"/>
        </w:rPr>
        <w:t xml:space="preserve">three different occupations </w:t>
      </w:r>
      <w:r w:rsidRPr="00575E98">
        <w:rPr>
          <w:rFonts w:ascii="Times New Roman" w:hAnsi="Times New Roman" w:cs="Times New Roman"/>
        </w:rPr>
        <w:t>regulated by the same law and have the same requirements</w:t>
      </w:r>
      <w:r w:rsidR="00003AA1" w:rsidRPr="00575E98">
        <w:rPr>
          <w:rFonts w:ascii="Times New Roman" w:hAnsi="Times New Roman" w:cs="Times New Roman"/>
        </w:rPr>
        <w:t xml:space="preserve">, but they are divided into two 4-digit occupational codes. </w:t>
      </w:r>
    </w:p>
  </w:footnote>
  <w:footnote w:id="8">
    <w:p w14:paraId="47C8AD00" w14:textId="77777777" w:rsidR="00492C61" w:rsidRPr="00A32FFA" w:rsidRDefault="00492C61" w:rsidP="00492C61">
      <w:pPr>
        <w:pStyle w:val="FootnoteText"/>
        <w:jc w:val="both"/>
        <w:rPr>
          <w:rFonts w:ascii="Times New Roman" w:hAnsi="Times New Roman" w:cs="Times New Roman"/>
        </w:rPr>
      </w:pPr>
      <w:r w:rsidRPr="00A32FFA">
        <w:rPr>
          <w:rStyle w:val="FootnoteReference"/>
          <w:rFonts w:ascii="Times New Roman" w:hAnsi="Times New Roman" w:cs="Times New Roman"/>
        </w:rPr>
        <w:footnoteRef/>
      </w:r>
      <w:r w:rsidRPr="00A32FFA">
        <w:rPr>
          <w:rFonts w:ascii="Times New Roman" w:hAnsi="Times New Roman" w:cs="Times New Roman"/>
        </w:rPr>
        <w:t xml:space="preserve"> de Moraes Filho (1966, pp. 56-61) provides an extensive list of early professional regulations. Historical accounts can be found for (e.g.) economists (de Souza, 2006), psychologists (Pereira, 2003), engineers, architects, and agronomists (</w:t>
      </w:r>
      <w:proofErr w:type="spellStart"/>
      <w:r w:rsidRPr="00A32FFA">
        <w:rPr>
          <w:rFonts w:ascii="Times New Roman" w:hAnsi="Times New Roman" w:cs="Times New Roman"/>
        </w:rPr>
        <w:t>Florençano</w:t>
      </w:r>
      <w:proofErr w:type="spellEnd"/>
      <w:r w:rsidRPr="00A32FFA">
        <w:rPr>
          <w:rFonts w:ascii="Times New Roman" w:hAnsi="Times New Roman" w:cs="Times New Roman"/>
        </w:rPr>
        <w:t>, 1999), and medicine (Ferreira et al. 2020).</w:t>
      </w:r>
    </w:p>
  </w:footnote>
  <w:footnote w:id="9">
    <w:p w14:paraId="78A1BB27" w14:textId="77777777" w:rsidR="00492C61" w:rsidRPr="00A32FFA" w:rsidRDefault="00492C61" w:rsidP="00492C61">
      <w:pPr>
        <w:pStyle w:val="FootnoteText"/>
        <w:jc w:val="both"/>
        <w:rPr>
          <w:rFonts w:ascii="Times New Roman" w:hAnsi="Times New Roman" w:cs="Times New Roman"/>
        </w:rPr>
      </w:pPr>
      <w:r w:rsidRPr="00A32FFA">
        <w:rPr>
          <w:rStyle w:val="FootnoteReference"/>
          <w:rFonts w:ascii="Times New Roman" w:hAnsi="Times New Roman" w:cs="Times New Roman"/>
        </w:rPr>
        <w:footnoteRef/>
      </w:r>
      <w:r w:rsidRPr="00A32FFA">
        <w:rPr>
          <w:rFonts w:ascii="Times New Roman" w:hAnsi="Times New Roman" w:cs="Times New Roman"/>
        </w:rPr>
        <w:t xml:space="preserve"> Examples of questions on sanitary legislation include true or false questions such as “</w:t>
      </w:r>
      <w:r w:rsidRPr="00A32FFA">
        <w:rPr>
          <w:rFonts w:ascii="Times New Roman" w:hAnsi="Times New Roman" w:cs="Times New Roman"/>
          <w:lang w:val="en"/>
        </w:rPr>
        <w:t xml:space="preserve">pharmacists are prohibited by law from administering injectables”, knowledge about generic alternatives, and which drugs can be sold over the counter. Questions about attributions of pharmacists included (e.g.) book-keeping of controlled drugs, and guidance on how to use medications (frequency/dosage). </w:t>
      </w:r>
    </w:p>
  </w:footnote>
  <w:footnote w:id="10">
    <w:p w14:paraId="3AF3E196" w14:textId="0BA199EE" w:rsidR="00043E51" w:rsidRPr="00A32FFA" w:rsidRDefault="00043E51" w:rsidP="00043E51">
      <w:pPr>
        <w:pStyle w:val="FootnoteText"/>
        <w:jc w:val="both"/>
        <w:rPr>
          <w:rFonts w:ascii="Times New Roman" w:hAnsi="Times New Roman" w:cs="Times New Roman"/>
        </w:rPr>
      </w:pPr>
      <w:r w:rsidRPr="00A32FFA">
        <w:rPr>
          <w:rStyle w:val="FootnoteReference"/>
          <w:rFonts w:ascii="Times New Roman" w:hAnsi="Times New Roman" w:cs="Times New Roman"/>
        </w:rPr>
        <w:footnoteRef/>
      </w:r>
      <w:r w:rsidRPr="00A32FFA">
        <w:rPr>
          <w:rFonts w:ascii="Times New Roman" w:hAnsi="Times New Roman" w:cs="Times New Roman"/>
        </w:rPr>
        <w:t xml:space="preserve"> In this study, the pharmacy clerks were aides supervised by the pharmacist</w:t>
      </w:r>
      <w:r>
        <w:rPr>
          <w:rFonts w:ascii="Times New Roman" w:hAnsi="Times New Roman" w:cs="Times New Roman"/>
        </w:rPr>
        <w:t xml:space="preserve"> instead of</w:t>
      </w:r>
      <w:r w:rsidRPr="00A32FFA">
        <w:rPr>
          <w:rFonts w:ascii="Times New Roman" w:hAnsi="Times New Roman" w:cs="Times New Roman"/>
        </w:rPr>
        <w:t xml:space="preserve"> licensed professionals. Unfortunately, </w:t>
      </w:r>
      <w:r>
        <w:rPr>
          <w:rFonts w:ascii="Times New Roman" w:hAnsi="Times New Roman" w:cs="Times New Roman"/>
        </w:rPr>
        <w:t xml:space="preserve">neither Silva and Vieira (2004) nor </w:t>
      </w:r>
      <w:proofErr w:type="spellStart"/>
      <w:r>
        <w:rPr>
          <w:rFonts w:ascii="Times New Roman" w:hAnsi="Times New Roman" w:cs="Times New Roman"/>
        </w:rPr>
        <w:t>Gir</w:t>
      </w:r>
      <w:proofErr w:type="spellEnd"/>
      <w:r>
        <w:rPr>
          <w:rFonts w:ascii="Times New Roman" w:hAnsi="Times New Roman" w:cs="Times New Roman"/>
        </w:rPr>
        <w:t xml:space="preserve"> </w:t>
      </w:r>
      <w:r w:rsidRPr="00043E51">
        <w:rPr>
          <w:rFonts w:ascii="Times New Roman" w:hAnsi="Times New Roman" w:cs="Times New Roman"/>
          <w:i/>
          <w:iCs/>
        </w:rPr>
        <w:t>et al.</w:t>
      </w:r>
      <w:r>
        <w:rPr>
          <w:rFonts w:ascii="Times New Roman" w:hAnsi="Times New Roman" w:cs="Times New Roman"/>
        </w:rPr>
        <w:t xml:space="preserve"> (2003)</w:t>
      </w:r>
      <w:r w:rsidRPr="00A32FFA">
        <w:rPr>
          <w:rFonts w:ascii="Times New Roman" w:hAnsi="Times New Roman" w:cs="Times New Roman"/>
        </w:rPr>
        <w:t xml:space="preserve"> compar</w:t>
      </w:r>
      <w:r>
        <w:rPr>
          <w:rFonts w:ascii="Times New Roman" w:hAnsi="Times New Roman" w:cs="Times New Roman"/>
        </w:rPr>
        <w:t>ed</w:t>
      </w:r>
      <w:r w:rsidRPr="00A32FFA">
        <w:rPr>
          <w:rFonts w:ascii="Times New Roman" w:hAnsi="Times New Roman" w:cs="Times New Roman"/>
        </w:rPr>
        <w:t xml:space="preserve"> licensed and unlicensed professionals.</w:t>
      </w:r>
    </w:p>
  </w:footnote>
  <w:footnote w:id="11">
    <w:p w14:paraId="2F3E6835" w14:textId="0D6079CE" w:rsidR="00720F3B" w:rsidRDefault="00720F3B" w:rsidP="00873CD0">
      <w:pPr>
        <w:pStyle w:val="NormalWeb"/>
        <w:spacing w:before="0" w:beforeAutospacing="0" w:after="0" w:afterAutospacing="0"/>
        <w:jc w:val="both"/>
      </w:pPr>
      <w:r w:rsidRPr="00E74335">
        <w:rPr>
          <w:rStyle w:val="FootnoteReference"/>
          <w:sz w:val="20"/>
          <w:szCs w:val="20"/>
        </w:rPr>
        <w:footnoteRef/>
      </w:r>
      <w:r w:rsidRPr="00E74335">
        <w:rPr>
          <w:sz w:val="20"/>
          <w:szCs w:val="20"/>
        </w:rPr>
        <w:t xml:space="preserve"> Amadeo </w:t>
      </w:r>
      <w:r w:rsidRPr="00043E51">
        <w:rPr>
          <w:i/>
          <w:iCs/>
          <w:sz w:val="20"/>
          <w:szCs w:val="20"/>
        </w:rPr>
        <w:t>et al</w:t>
      </w:r>
      <w:r w:rsidRPr="00E74335">
        <w:rPr>
          <w:sz w:val="20"/>
          <w:szCs w:val="20"/>
        </w:rPr>
        <w:t>. (1993) report that in the 1980s, around 20 to 25% were informal workers with no employee booklet</w:t>
      </w:r>
      <w:r w:rsidR="00E74335" w:rsidRPr="00E74335">
        <w:rPr>
          <w:sz w:val="20"/>
          <w:szCs w:val="20"/>
        </w:rPr>
        <w:t>. Because they are off the books, firms can evade severance payments and social security contributions.</w:t>
      </w:r>
      <w:r w:rsidRPr="00E74335">
        <w:rPr>
          <w:sz w:val="20"/>
          <w:szCs w:val="20"/>
        </w:rPr>
        <w:t xml:space="preserve"> </w:t>
      </w:r>
      <w:r w:rsidR="00E74335" w:rsidRPr="00E74335">
        <w:rPr>
          <w:sz w:val="20"/>
          <w:szCs w:val="20"/>
        </w:rPr>
        <w:t xml:space="preserve">Another </w:t>
      </w:r>
      <w:r w:rsidRPr="00E74335">
        <w:rPr>
          <w:sz w:val="20"/>
          <w:szCs w:val="20"/>
        </w:rPr>
        <w:t xml:space="preserve">26% </w:t>
      </w:r>
      <w:r w:rsidR="00E74335" w:rsidRPr="00E74335">
        <w:rPr>
          <w:sz w:val="20"/>
          <w:szCs w:val="20"/>
        </w:rPr>
        <w:t xml:space="preserve">of the workforce </w:t>
      </w:r>
      <w:r w:rsidRPr="00E74335">
        <w:rPr>
          <w:sz w:val="20"/>
          <w:szCs w:val="20"/>
        </w:rPr>
        <w:t>were self-employed.</w:t>
      </w:r>
      <w:r w:rsidR="00043E51">
        <w:rPr>
          <w:sz w:val="20"/>
          <w:szCs w:val="20"/>
        </w:rPr>
        <w:t xml:space="preserve"> </w:t>
      </w:r>
      <w:r w:rsidRPr="00E74335">
        <w:rPr>
          <w:sz w:val="20"/>
          <w:szCs w:val="20"/>
        </w:rPr>
        <w:t xml:space="preserve">Data </w:t>
      </w:r>
      <w:r w:rsidRPr="00E74335">
        <w:rPr>
          <w:rFonts w:ascii="TimesNewRomanPSMT" w:hAnsi="TimesNewRomanPSMT"/>
          <w:sz w:val="20"/>
          <w:szCs w:val="20"/>
        </w:rPr>
        <w:t xml:space="preserve">from Almeida and Carneiro (2012) suggests that most of former group (no booklet) is hired by </w:t>
      </w:r>
      <w:r w:rsidR="00E74335" w:rsidRPr="00E74335">
        <w:rPr>
          <w:rFonts w:ascii="TimesNewRomanPSMT" w:hAnsi="TimesNewRomanPSMT"/>
          <w:sz w:val="20"/>
          <w:szCs w:val="20"/>
        </w:rPr>
        <w:t>“</w:t>
      </w:r>
      <w:r w:rsidRPr="00E74335">
        <w:rPr>
          <w:rFonts w:ascii="TimesNewRomanPSMT" w:hAnsi="TimesNewRomanPSMT"/>
          <w:sz w:val="20"/>
          <w:szCs w:val="20"/>
        </w:rPr>
        <w:t xml:space="preserve">small </w:t>
      </w:r>
      <w:r w:rsidR="00E74335" w:rsidRPr="00E74335">
        <w:rPr>
          <w:rFonts w:ascii="TimesNewRomanPSMT" w:hAnsi="TimesNewRomanPSMT"/>
          <w:sz w:val="20"/>
          <w:szCs w:val="20"/>
        </w:rPr>
        <w:t>and informal firms outside the reach of labor inspectors” (p. 70)</w:t>
      </w:r>
      <w:r w:rsidR="00654133">
        <w:rPr>
          <w:rFonts w:ascii="TimesNewRomanPSMT" w:hAnsi="TimesNewRomanPSMT"/>
          <w:sz w:val="20"/>
          <w:szCs w:val="20"/>
        </w:rPr>
        <w:t>.</w:t>
      </w:r>
    </w:p>
  </w:footnote>
  <w:footnote w:id="12">
    <w:p w14:paraId="5C488ABC" w14:textId="7C5C112B" w:rsidR="008B29D8" w:rsidRPr="008B29D8" w:rsidRDefault="008B29D8">
      <w:pPr>
        <w:pStyle w:val="FootnoteText"/>
        <w:rPr>
          <w:rFonts w:ascii="Times New Roman" w:hAnsi="Times New Roman" w:cs="Times New Roman"/>
        </w:rPr>
      </w:pPr>
      <w:r w:rsidRPr="008B29D8">
        <w:rPr>
          <w:rStyle w:val="FootnoteReference"/>
          <w:rFonts w:ascii="Times New Roman" w:hAnsi="Times New Roman" w:cs="Times New Roman"/>
        </w:rPr>
        <w:footnoteRef/>
      </w:r>
      <w:r w:rsidRPr="008B29D8">
        <w:rPr>
          <w:rFonts w:ascii="Times New Roman" w:hAnsi="Times New Roman" w:cs="Times New Roman"/>
        </w:rPr>
        <w:t xml:space="preserve"> See also Bacha, Mata, and </w:t>
      </w:r>
      <w:proofErr w:type="spellStart"/>
      <w:r w:rsidRPr="008B29D8">
        <w:rPr>
          <w:rFonts w:ascii="Times New Roman" w:hAnsi="Times New Roman" w:cs="Times New Roman"/>
        </w:rPr>
        <w:t>Modenesi</w:t>
      </w:r>
      <w:proofErr w:type="spellEnd"/>
      <w:r w:rsidRPr="008B29D8">
        <w:rPr>
          <w:rFonts w:ascii="Times New Roman" w:hAnsi="Times New Roman" w:cs="Times New Roman"/>
        </w:rPr>
        <w:t xml:space="preserve"> (1972) for a pioneer study of payroll taxes. </w:t>
      </w:r>
    </w:p>
  </w:footnote>
  <w:footnote w:id="13">
    <w:p w14:paraId="02F7C5BF" w14:textId="03DBB964" w:rsidR="007831D6" w:rsidRPr="00873CD0" w:rsidRDefault="007831D6" w:rsidP="003C1BB4">
      <w:pPr>
        <w:pStyle w:val="FootnoteText"/>
        <w:jc w:val="both"/>
        <w:rPr>
          <w:rFonts w:ascii="Times New Roman" w:hAnsi="Times New Roman" w:cs="Times New Roman"/>
        </w:rPr>
      </w:pPr>
      <w:r w:rsidRPr="00873CD0">
        <w:rPr>
          <w:rStyle w:val="FootnoteReference"/>
          <w:rFonts w:ascii="Times New Roman" w:hAnsi="Times New Roman" w:cs="Times New Roman"/>
        </w:rPr>
        <w:footnoteRef/>
      </w:r>
      <w:r w:rsidRPr="00873CD0">
        <w:rPr>
          <w:rFonts w:ascii="Times New Roman" w:hAnsi="Times New Roman" w:cs="Times New Roman"/>
        </w:rPr>
        <w:t xml:space="preserve"> Considering the estimates following Blanchflower and Oswald (1994), which were the only ones with international comparisons available. However, the authors point out that this</w:t>
      </w:r>
      <w:r w:rsidR="00654133" w:rsidRPr="00873CD0">
        <w:rPr>
          <w:rFonts w:ascii="Times New Roman" w:hAnsi="Times New Roman" w:cs="Times New Roman"/>
        </w:rPr>
        <w:t xml:space="preserve"> was</w:t>
      </w:r>
      <w:r w:rsidRPr="00873CD0">
        <w:rPr>
          <w:rFonts w:ascii="Times New Roman" w:hAnsi="Times New Roman" w:cs="Times New Roman"/>
        </w:rPr>
        <w:t xml:space="preserve"> more likely a lower-bound estimate. Their preferred model implies that a </w:t>
      </w:r>
      <w:r w:rsidR="00654133" w:rsidRPr="00873CD0">
        <w:rPr>
          <w:rFonts w:ascii="Times New Roman" w:hAnsi="Times New Roman" w:cs="Times New Roman"/>
        </w:rPr>
        <w:t xml:space="preserve">24% change </w:t>
      </w:r>
      <w:r w:rsidR="00FC657E">
        <w:rPr>
          <w:rFonts w:ascii="Times New Roman" w:hAnsi="Times New Roman" w:cs="Times New Roman"/>
        </w:rPr>
        <w:t xml:space="preserve">in wages </w:t>
      </w:r>
      <w:r w:rsidR="00654133" w:rsidRPr="00873CD0">
        <w:rPr>
          <w:rFonts w:ascii="Times New Roman" w:hAnsi="Times New Roman" w:cs="Times New Roman"/>
        </w:rPr>
        <w:t xml:space="preserve">would be required to promote a </w:t>
      </w:r>
      <w:proofErr w:type="gramStart"/>
      <w:r w:rsidR="00FC657E">
        <w:rPr>
          <w:rFonts w:ascii="Times New Roman" w:hAnsi="Times New Roman" w:cs="Times New Roman"/>
        </w:rPr>
        <w:t>two</w:t>
      </w:r>
      <w:r w:rsidR="00654133" w:rsidRPr="00873CD0">
        <w:rPr>
          <w:rFonts w:ascii="Times New Roman" w:hAnsi="Times New Roman" w:cs="Times New Roman"/>
        </w:rPr>
        <w:t xml:space="preserve"> p.p.</w:t>
      </w:r>
      <w:proofErr w:type="gramEnd"/>
      <w:r w:rsidR="00654133" w:rsidRPr="00873CD0">
        <w:rPr>
          <w:rFonts w:ascii="Times New Roman" w:hAnsi="Times New Roman" w:cs="Times New Roman"/>
        </w:rPr>
        <w:t xml:space="preserve"> change in the unemployment rate, or 6 times greater than the world average.</w:t>
      </w:r>
      <w:r w:rsidR="000437CA">
        <w:rPr>
          <w:rFonts w:ascii="Times New Roman" w:hAnsi="Times New Roman" w:cs="Times New Roman"/>
        </w:rPr>
        <w:t xml:space="preserve"> See also Silva </w:t>
      </w:r>
      <w:r w:rsidR="000437CA" w:rsidRPr="000437CA">
        <w:rPr>
          <w:rFonts w:ascii="Times New Roman" w:hAnsi="Times New Roman" w:cs="Times New Roman"/>
          <w:i/>
          <w:iCs/>
        </w:rPr>
        <w:t>et al</w:t>
      </w:r>
      <w:r w:rsidR="000437CA">
        <w:rPr>
          <w:rFonts w:ascii="Times New Roman" w:hAnsi="Times New Roman" w:cs="Times New Roman"/>
        </w:rPr>
        <w:t>. (2015) for more recent estimates for Brazil.</w:t>
      </w:r>
    </w:p>
  </w:footnote>
  <w:footnote w:id="14">
    <w:p w14:paraId="1449B19C" w14:textId="7F0E4413" w:rsidR="00654133" w:rsidRPr="00873CD0" w:rsidRDefault="00654133" w:rsidP="003C1BB4">
      <w:pPr>
        <w:pStyle w:val="FootnoteText"/>
        <w:jc w:val="both"/>
        <w:rPr>
          <w:rFonts w:ascii="Times New Roman" w:hAnsi="Times New Roman" w:cs="Times New Roman"/>
        </w:rPr>
      </w:pPr>
      <w:r w:rsidRPr="00873CD0">
        <w:rPr>
          <w:rStyle w:val="FootnoteReference"/>
          <w:rFonts w:ascii="Times New Roman" w:hAnsi="Times New Roman" w:cs="Times New Roman"/>
        </w:rPr>
        <w:footnoteRef/>
      </w:r>
      <w:r w:rsidRPr="00873CD0">
        <w:rPr>
          <w:rFonts w:ascii="Times New Roman" w:hAnsi="Times New Roman" w:cs="Times New Roman"/>
        </w:rPr>
        <w:t xml:space="preserve"> Brazil has the </w:t>
      </w:r>
      <w:r w:rsidR="00873CD0" w:rsidRPr="00873CD0">
        <w:rPr>
          <w:rFonts w:ascii="Times New Roman" w:hAnsi="Times New Roman" w:cs="Times New Roman"/>
        </w:rPr>
        <w:t xml:space="preserve">world’s </w:t>
      </w:r>
      <w:r w:rsidRPr="00873CD0">
        <w:rPr>
          <w:rFonts w:ascii="Times New Roman" w:hAnsi="Times New Roman" w:cs="Times New Roman"/>
        </w:rPr>
        <w:t>second</w:t>
      </w:r>
      <w:r w:rsidR="00873CD0" w:rsidRPr="00873CD0">
        <w:rPr>
          <w:rFonts w:ascii="Times New Roman" w:hAnsi="Times New Roman" w:cs="Times New Roman"/>
        </w:rPr>
        <w:t>-</w:t>
      </w:r>
      <w:r w:rsidRPr="00873CD0">
        <w:rPr>
          <w:rFonts w:ascii="Times New Roman" w:hAnsi="Times New Roman" w:cs="Times New Roman"/>
        </w:rPr>
        <w:t>largest constitution in length</w:t>
      </w:r>
      <w:r w:rsidR="005A038A">
        <w:rPr>
          <w:rFonts w:ascii="Times New Roman" w:hAnsi="Times New Roman" w:cs="Times New Roman"/>
        </w:rPr>
        <w:t xml:space="preserve"> and features </w:t>
      </w:r>
      <w:r w:rsidR="00873CD0" w:rsidRPr="00873CD0">
        <w:rPr>
          <w:rFonts w:ascii="Times New Roman" w:hAnsi="Times New Roman" w:cs="Times New Roman"/>
        </w:rPr>
        <w:t>many specific legal provisions written into the document. This includes most labor regulations, which makes them significantly difficult to amend (Barros, Corseuil, and Gonzaga, 1999; Barros and Corseuil, 2004).</w:t>
      </w:r>
    </w:p>
  </w:footnote>
  <w:footnote w:id="15">
    <w:p w14:paraId="1BFD45A7" w14:textId="34509497" w:rsidR="00E217EB" w:rsidRPr="008B29D8" w:rsidRDefault="00E217EB" w:rsidP="003C1BB4">
      <w:pPr>
        <w:pStyle w:val="FootnoteText"/>
        <w:jc w:val="both"/>
        <w:rPr>
          <w:rFonts w:ascii="Times New Roman" w:hAnsi="Times New Roman" w:cs="Times New Roman"/>
        </w:rPr>
      </w:pPr>
      <w:r>
        <w:rPr>
          <w:rStyle w:val="FootnoteReference"/>
        </w:rPr>
        <w:footnoteRef/>
      </w:r>
      <w:r>
        <w:t xml:space="preserve"> </w:t>
      </w:r>
      <w:r w:rsidR="008C3AF3" w:rsidRPr="008B29D8">
        <w:rPr>
          <w:rFonts w:ascii="Times New Roman" w:hAnsi="Times New Roman" w:cs="Times New Roman"/>
        </w:rPr>
        <w:t>The penalty is related to the severance system, known as FGTS – s</w:t>
      </w:r>
      <w:r w:rsidRPr="008B29D8">
        <w:rPr>
          <w:rFonts w:ascii="Times New Roman" w:hAnsi="Times New Roman" w:cs="Times New Roman"/>
        </w:rPr>
        <w:t xml:space="preserve">ee Barros and </w:t>
      </w:r>
      <w:proofErr w:type="spellStart"/>
      <w:r w:rsidRPr="008B29D8">
        <w:rPr>
          <w:rFonts w:ascii="Times New Roman" w:hAnsi="Times New Roman" w:cs="Times New Roman"/>
        </w:rPr>
        <w:t>Courseuil</w:t>
      </w:r>
      <w:proofErr w:type="spellEnd"/>
      <w:r w:rsidRPr="008B29D8">
        <w:rPr>
          <w:rFonts w:ascii="Times New Roman" w:hAnsi="Times New Roman" w:cs="Times New Roman"/>
        </w:rPr>
        <w:t xml:space="preserve"> (2004, p.4). For </w:t>
      </w:r>
      <w:r w:rsidR="008C3AF3" w:rsidRPr="008B29D8">
        <w:rPr>
          <w:rFonts w:ascii="Times New Roman" w:hAnsi="Times New Roman" w:cs="Times New Roman"/>
        </w:rPr>
        <w:t xml:space="preserve">details on the FGTS system, see Almeida and </w:t>
      </w:r>
      <w:proofErr w:type="spellStart"/>
      <w:r w:rsidR="008C3AF3" w:rsidRPr="008B29D8">
        <w:rPr>
          <w:rFonts w:ascii="Times New Roman" w:hAnsi="Times New Roman" w:cs="Times New Roman"/>
        </w:rPr>
        <w:t>Chautard</w:t>
      </w:r>
      <w:proofErr w:type="spellEnd"/>
      <w:r w:rsidR="008C3AF3" w:rsidRPr="008B29D8">
        <w:rPr>
          <w:rFonts w:ascii="Times New Roman" w:hAnsi="Times New Roman" w:cs="Times New Roman"/>
        </w:rPr>
        <w:t xml:space="preserve"> (1976) and Carval</w:t>
      </w:r>
      <w:r w:rsidR="00971D26">
        <w:rPr>
          <w:rFonts w:ascii="Times New Roman" w:hAnsi="Times New Roman" w:cs="Times New Roman"/>
        </w:rPr>
        <w:t>h</w:t>
      </w:r>
      <w:r w:rsidR="008C3AF3" w:rsidRPr="008B29D8">
        <w:rPr>
          <w:rFonts w:ascii="Times New Roman" w:hAnsi="Times New Roman" w:cs="Times New Roman"/>
        </w:rPr>
        <w:t>o and Pinheiro (1999). See also</w:t>
      </w:r>
      <w:r w:rsidRPr="008B29D8">
        <w:rPr>
          <w:rFonts w:ascii="Times New Roman" w:hAnsi="Times New Roman" w:cs="Times New Roman"/>
        </w:rPr>
        <w:t xml:space="preserve"> </w:t>
      </w:r>
      <w:r w:rsidR="008B29D8">
        <w:rPr>
          <w:rFonts w:ascii="Times New Roman" w:hAnsi="Times New Roman" w:cs="Times New Roman"/>
        </w:rPr>
        <w:t xml:space="preserve">Amadeu and Camargo (1993) and </w:t>
      </w:r>
      <w:r w:rsidRPr="008B29D8">
        <w:rPr>
          <w:rFonts w:ascii="Times New Roman" w:hAnsi="Times New Roman" w:cs="Times New Roman"/>
        </w:rPr>
        <w:t>Cardoso and Lage (2007)</w:t>
      </w:r>
      <w:r w:rsidR="008C3AF3" w:rsidRPr="008B29D8">
        <w:rPr>
          <w:rFonts w:ascii="Times New Roman" w:hAnsi="Times New Roman" w:cs="Times New Roman"/>
        </w:rPr>
        <w:t xml:space="preserve"> for extensive review</w:t>
      </w:r>
      <w:r w:rsidR="008B29D8">
        <w:rPr>
          <w:rFonts w:ascii="Times New Roman" w:hAnsi="Times New Roman" w:cs="Times New Roman"/>
        </w:rPr>
        <w:t>s</w:t>
      </w:r>
      <w:r w:rsidR="008C3AF3" w:rsidRPr="008B29D8">
        <w:rPr>
          <w:rFonts w:ascii="Times New Roman" w:hAnsi="Times New Roman" w:cs="Times New Roman"/>
        </w:rPr>
        <w:t xml:space="preserve"> of the labor code. </w:t>
      </w:r>
    </w:p>
  </w:footnote>
  <w:footnote w:id="16">
    <w:p w14:paraId="534A4C9E" w14:textId="71FEB19A" w:rsidR="00FE6D6F" w:rsidRPr="00FE6D6F" w:rsidRDefault="00FE6D6F">
      <w:pPr>
        <w:pStyle w:val="FootnoteText"/>
        <w:rPr>
          <w:rFonts w:ascii="Times New Roman" w:hAnsi="Times New Roman" w:cs="Times New Roman"/>
        </w:rPr>
      </w:pPr>
      <w:r w:rsidRPr="00FE6D6F">
        <w:rPr>
          <w:rStyle w:val="FootnoteReference"/>
          <w:rFonts w:ascii="Times New Roman" w:hAnsi="Times New Roman" w:cs="Times New Roman"/>
        </w:rPr>
        <w:footnoteRef/>
      </w:r>
      <w:r w:rsidRPr="00FE6D6F">
        <w:rPr>
          <w:rFonts w:ascii="Times New Roman" w:hAnsi="Times New Roman" w:cs="Times New Roman"/>
        </w:rPr>
        <w:t xml:space="preserve"> See Acemoglu (2001), Cavalcanti (2001), and </w:t>
      </w:r>
      <w:proofErr w:type="spellStart"/>
      <w:r w:rsidRPr="00FE6D6F">
        <w:rPr>
          <w:rFonts w:ascii="Times New Roman" w:hAnsi="Times New Roman" w:cs="Times New Roman"/>
        </w:rPr>
        <w:t>Fugazza</w:t>
      </w:r>
      <w:proofErr w:type="spellEnd"/>
      <w:r w:rsidRPr="00FE6D6F">
        <w:rPr>
          <w:rFonts w:ascii="Times New Roman" w:hAnsi="Times New Roman" w:cs="Times New Roman"/>
        </w:rPr>
        <w:t xml:space="preserve"> and Jacques (2003) for similar settings in which changes in mandated benefits affect the distribution of jobs and wages across formal and informal markets.</w:t>
      </w:r>
    </w:p>
  </w:footnote>
  <w:footnote w:id="17">
    <w:p w14:paraId="4BE56283" w14:textId="77777777" w:rsidR="00312EE0" w:rsidRPr="005D615A" w:rsidRDefault="00312EE0" w:rsidP="00312EE0">
      <w:pPr>
        <w:pStyle w:val="FootnoteText"/>
        <w:jc w:val="both"/>
        <w:rPr>
          <w:rFonts w:ascii="Times New Roman" w:hAnsi="Times New Roman" w:cs="Times New Roman"/>
        </w:rPr>
      </w:pPr>
      <w:r w:rsidRPr="005D615A">
        <w:rPr>
          <w:rStyle w:val="FootnoteReference"/>
          <w:rFonts w:ascii="Times New Roman" w:hAnsi="Times New Roman" w:cs="Times New Roman"/>
        </w:rPr>
        <w:footnoteRef/>
      </w:r>
      <w:r w:rsidRPr="005D615A">
        <w:rPr>
          <w:rFonts w:ascii="Times New Roman" w:hAnsi="Times New Roman" w:cs="Times New Roman"/>
        </w:rPr>
        <w:t xml:space="preserve"> One example mentions the case of punch-press machines that caused numerous labor accidents in the auto parts industry. Instead of having to replace obsolete machines entirely, something outside of </w:t>
      </w:r>
      <w:r>
        <w:rPr>
          <w:rFonts w:ascii="Times New Roman" w:hAnsi="Times New Roman" w:cs="Times New Roman"/>
        </w:rPr>
        <w:t>most companies'</w:t>
      </w:r>
      <w:r w:rsidRPr="005D615A">
        <w:rPr>
          <w:rFonts w:ascii="Times New Roman" w:hAnsi="Times New Roman" w:cs="Times New Roman"/>
        </w:rPr>
        <w:t xml:space="preserve"> budget</w:t>
      </w:r>
      <w:r>
        <w:rPr>
          <w:rFonts w:ascii="Times New Roman" w:hAnsi="Times New Roman" w:cs="Times New Roman"/>
        </w:rPr>
        <w:t>s</w:t>
      </w:r>
      <w:r w:rsidRPr="005D615A">
        <w:rPr>
          <w:rFonts w:ascii="Times New Roman" w:hAnsi="Times New Roman" w:cs="Times New Roman"/>
        </w:rPr>
        <w:t xml:space="preserve">, they reached common ground </w:t>
      </w:r>
      <w:r>
        <w:rPr>
          <w:rFonts w:ascii="Times New Roman" w:hAnsi="Times New Roman" w:cs="Times New Roman"/>
        </w:rPr>
        <w:t>to comply by adapting</w:t>
      </w:r>
      <w:r w:rsidRPr="005D615A">
        <w:rPr>
          <w:rFonts w:ascii="Times New Roman" w:hAnsi="Times New Roman" w:cs="Times New Roman"/>
        </w:rPr>
        <w:t xml:space="preserve"> the existing machines </w:t>
      </w:r>
      <w:r>
        <w:rPr>
          <w:rFonts w:ascii="Times New Roman" w:hAnsi="Times New Roman" w:cs="Times New Roman"/>
        </w:rPr>
        <w:t xml:space="preserve">and </w:t>
      </w:r>
      <w:r w:rsidRPr="005D615A">
        <w:rPr>
          <w:rFonts w:ascii="Times New Roman" w:hAnsi="Times New Roman" w:cs="Times New Roman"/>
        </w:rPr>
        <w:t>installing protective equipment</w:t>
      </w:r>
      <w:r>
        <w:rPr>
          <w:rFonts w:ascii="Times New Roman" w:hAnsi="Times New Roman" w:cs="Times New Roman"/>
        </w:rPr>
        <w:t>. Some 70 percent of inspected firms complied, and the number of recorded accidents fell by 66 percent in two years.</w:t>
      </w:r>
    </w:p>
  </w:footnote>
  <w:footnote w:id="18">
    <w:p w14:paraId="4FDBC481" w14:textId="10791B59" w:rsidR="00F04D85" w:rsidRPr="00C32D3C" w:rsidRDefault="00F04D85" w:rsidP="00C32D3C">
      <w:pPr>
        <w:pStyle w:val="FootnoteText"/>
        <w:jc w:val="both"/>
        <w:rPr>
          <w:rFonts w:ascii="Times New Roman" w:hAnsi="Times New Roman" w:cs="Times New Roman"/>
        </w:rPr>
      </w:pPr>
      <w:r w:rsidRPr="00C32D3C">
        <w:rPr>
          <w:rStyle w:val="FootnoteReference"/>
          <w:rFonts w:ascii="Times New Roman" w:hAnsi="Times New Roman" w:cs="Times New Roman"/>
        </w:rPr>
        <w:footnoteRef/>
      </w:r>
      <w:r w:rsidRPr="00C32D3C">
        <w:rPr>
          <w:rFonts w:ascii="Times New Roman" w:hAnsi="Times New Roman" w:cs="Times New Roman"/>
        </w:rPr>
        <w:t xml:space="preserve"> This is also in line with other studies for Latin America, such as </w:t>
      </w:r>
      <w:r w:rsidR="00C32D3C" w:rsidRPr="00C32D3C">
        <w:rPr>
          <w:rFonts w:ascii="Times New Roman" w:hAnsi="Times New Roman" w:cs="Times New Roman"/>
        </w:rPr>
        <w:t xml:space="preserve">Kugler (2000) for Colombia, and Márquez and </w:t>
      </w:r>
      <w:proofErr w:type="spellStart"/>
      <w:r w:rsidR="00C32D3C" w:rsidRPr="00C32D3C">
        <w:rPr>
          <w:rFonts w:ascii="Times New Roman" w:hAnsi="Times New Roman" w:cs="Times New Roman"/>
        </w:rPr>
        <w:t>Pagés</w:t>
      </w:r>
      <w:proofErr w:type="spellEnd"/>
      <w:r w:rsidR="00C32D3C" w:rsidRPr="00C32D3C">
        <w:rPr>
          <w:rFonts w:ascii="Times New Roman" w:hAnsi="Times New Roman" w:cs="Times New Roman"/>
        </w:rPr>
        <w:t xml:space="preserve"> (1998) and Heckman and </w:t>
      </w:r>
      <w:proofErr w:type="spellStart"/>
      <w:r w:rsidR="00C32D3C" w:rsidRPr="00C32D3C">
        <w:rPr>
          <w:rFonts w:ascii="Times New Roman" w:hAnsi="Times New Roman" w:cs="Times New Roman"/>
        </w:rPr>
        <w:t>Pagés</w:t>
      </w:r>
      <w:proofErr w:type="spellEnd"/>
      <w:r w:rsidR="00C32D3C" w:rsidRPr="00C32D3C">
        <w:rPr>
          <w:rFonts w:ascii="Times New Roman" w:hAnsi="Times New Roman" w:cs="Times New Roman"/>
        </w:rPr>
        <w:t xml:space="preserve"> (2000) for Latin America in general. </w:t>
      </w:r>
    </w:p>
  </w:footnote>
  <w:footnote w:id="19">
    <w:p w14:paraId="7855F921" w14:textId="4CFD183A" w:rsidR="009317AE" w:rsidRPr="004F49DD" w:rsidRDefault="00E7030E" w:rsidP="00B04DFB">
      <w:pPr>
        <w:pStyle w:val="FootnoteText"/>
        <w:jc w:val="both"/>
        <w:rPr>
          <w:rFonts w:ascii="Times New Roman" w:hAnsi="Times New Roman" w:cs="Times New Roman"/>
        </w:rPr>
      </w:pPr>
      <w:r w:rsidRPr="004F49DD">
        <w:rPr>
          <w:rStyle w:val="FootnoteReference"/>
          <w:rFonts w:ascii="Times New Roman" w:hAnsi="Times New Roman" w:cs="Times New Roman"/>
        </w:rPr>
        <w:footnoteRef/>
      </w:r>
      <w:r w:rsidRPr="004F49DD">
        <w:rPr>
          <w:rFonts w:ascii="Times New Roman" w:hAnsi="Times New Roman" w:cs="Times New Roman"/>
        </w:rPr>
        <w:t xml:space="preserve"> Available online at </w:t>
      </w:r>
      <w:hyperlink r:id="rId1" w:history="1">
        <w:r w:rsidR="009317AE" w:rsidRPr="009F23D9">
          <w:rPr>
            <w:rStyle w:val="Hyperlink"/>
            <w:rFonts w:ascii="Times New Roman" w:hAnsi="Times New Roman" w:cs="Times New Roman"/>
          </w:rPr>
          <w:t>http://www.mtecbo.gov.br/cbosite/pages/regulamentacao.jsf</w:t>
        </w:r>
      </w:hyperlink>
    </w:p>
  </w:footnote>
  <w:footnote w:id="20">
    <w:p w14:paraId="6907F408" w14:textId="4DA0CF92" w:rsidR="00E7030E" w:rsidRPr="004F49DD" w:rsidRDefault="00E7030E" w:rsidP="00B04DFB">
      <w:pPr>
        <w:pStyle w:val="FootnoteText"/>
        <w:jc w:val="both"/>
        <w:rPr>
          <w:rFonts w:ascii="Times New Roman" w:hAnsi="Times New Roman" w:cs="Times New Roman"/>
        </w:rPr>
      </w:pPr>
      <w:r w:rsidRPr="004F49DD">
        <w:rPr>
          <w:rStyle w:val="FootnoteReference"/>
          <w:rFonts w:ascii="Times New Roman" w:hAnsi="Times New Roman" w:cs="Times New Roman"/>
        </w:rPr>
        <w:footnoteRef/>
      </w:r>
      <w:r w:rsidRPr="004F49DD">
        <w:rPr>
          <w:rFonts w:ascii="Times New Roman" w:hAnsi="Times New Roman" w:cs="Times New Roman"/>
        </w:rPr>
        <w:t xml:space="preserve"> https://www12.senado.leg.br/noticias/infomaterias/2022/07/regulamentacao-de-profissoes-e-tema-frequente-no-legislativo</w:t>
      </w:r>
    </w:p>
  </w:footnote>
  <w:footnote w:id="21">
    <w:p w14:paraId="01D012B8" w14:textId="4E4949E8" w:rsidR="004F49DD" w:rsidRDefault="004F49DD" w:rsidP="00B04DFB">
      <w:pPr>
        <w:pStyle w:val="FootnoteText"/>
        <w:jc w:val="both"/>
      </w:pPr>
      <w:r w:rsidRPr="004F49DD">
        <w:rPr>
          <w:rStyle w:val="FootnoteReference"/>
          <w:rFonts w:ascii="Times New Roman" w:hAnsi="Times New Roman" w:cs="Times New Roman"/>
        </w:rPr>
        <w:footnoteRef/>
      </w:r>
      <w:r w:rsidRPr="004F49DD">
        <w:rPr>
          <w:rFonts w:ascii="Times New Roman" w:hAnsi="Times New Roman" w:cs="Times New Roman"/>
        </w:rPr>
        <w:t xml:space="preserve"> Specifically, I have relied on the CBO-Domiciliar, which is a slightly simplified version of the CBO used in household surveys.</w:t>
      </w:r>
      <w:r>
        <w:t xml:space="preserve"> </w:t>
      </w:r>
    </w:p>
  </w:footnote>
  <w:footnote w:id="22">
    <w:p w14:paraId="2D693283" w14:textId="791E610A" w:rsidR="00B04DFB" w:rsidRPr="00B04DFB" w:rsidRDefault="00B04DFB" w:rsidP="00B04DFB">
      <w:pPr>
        <w:pStyle w:val="FootnoteText"/>
        <w:jc w:val="both"/>
        <w:rPr>
          <w:rFonts w:ascii="Times New Roman" w:hAnsi="Times New Roman" w:cs="Times New Roman"/>
        </w:rPr>
      </w:pPr>
      <w:r w:rsidRPr="00B04DFB">
        <w:rPr>
          <w:rStyle w:val="FootnoteReference"/>
          <w:rFonts w:ascii="Times New Roman" w:hAnsi="Times New Roman" w:cs="Times New Roman"/>
        </w:rPr>
        <w:footnoteRef/>
      </w:r>
      <w:r w:rsidRPr="00B04DFB">
        <w:rPr>
          <w:rFonts w:ascii="Times New Roman" w:hAnsi="Times New Roman" w:cs="Times New Roman"/>
        </w:rPr>
        <w:t xml:space="preserve"> The term comes from the acronym for the Brazilian labor code (</w:t>
      </w:r>
      <w:proofErr w:type="spellStart"/>
      <w:r w:rsidRPr="00B04DFB">
        <w:rPr>
          <w:rFonts w:ascii="Times New Roman" w:hAnsi="Times New Roman" w:cs="Times New Roman"/>
          <w:i/>
          <w:iCs/>
        </w:rPr>
        <w:t>Consolidação</w:t>
      </w:r>
      <w:proofErr w:type="spellEnd"/>
      <w:r w:rsidRPr="00B04DFB">
        <w:rPr>
          <w:rFonts w:ascii="Times New Roman" w:hAnsi="Times New Roman" w:cs="Times New Roman"/>
          <w:i/>
          <w:iCs/>
        </w:rPr>
        <w:t xml:space="preserve"> das Leis </w:t>
      </w:r>
      <w:proofErr w:type="spellStart"/>
      <w:r w:rsidRPr="00B04DFB">
        <w:rPr>
          <w:rFonts w:ascii="Times New Roman" w:hAnsi="Times New Roman" w:cs="Times New Roman"/>
          <w:i/>
          <w:iCs/>
        </w:rPr>
        <w:t>Trabalhistas</w:t>
      </w:r>
      <w:proofErr w:type="spellEnd"/>
      <w:r w:rsidRPr="00B04DFB">
        <w:rPr>
          <w:rFonts w:ascii="Times New Roman" w:hAnsi="Times New Roman" w:cs="Times New Roman"/>
        </w:rPr>
        <w:t xml:space="preserve">, CLT), enacted in 1964. These are also </w:t>
      </w:r>
      <w:r>
        <w:rPr>
          <w:rFonts w:ascii="Times New Roman" w:hAnsi="Times New Roman" w:cs="Times New Roman"/>
        </w:rPr>
        <w:t>referred to</w:t>
      </w:r>
      <w:r w:rsidRPr="00B04DFB">
        <w:rPr>
          <w:rFonts w:ascii="Times New Roman" w:hAnsi="Times New Roman" w:cs="Times New Roman"/>
        </w:rPr>
        <w:t xml:space="preserve"> as workers </w:t>
      </w:r>
      <w:r>
        <w:rPr>
          <w:rFonts w:ascii="Times New Roman" w:hAnsi="Times New Roman" w:cs="Times New Roman"/>
        </w:rPr>
        <w:t>with “</w:t>
      </w:r>
      <w:proofErr w:type="spellStart"/>
      <w:r w:rsidRPr="00B04DFB">
        <w:rPr>
          <w:rFonts w:ascii="Times New Roman" w:hAnsi="Times New Roman" w:cs="Times New Roman"/>
          <w:i/>
          <w:iCs/>
        </w:rPr>
        <w:t>carteira</w:t>
      </w:r>
      <w:proofErr w:type="spellEnd"/>
      <w:r w:rsidRPr="00B04DFB">
        <w:rPr>
          <w:rFonts w:ascii="Times New Roman" w:hAnsi="Times New Roman" w:cs="Times New Roman"/>
          <w:i/>
          <w:iCs/>
        </w:rPr>
        <w:t xml:space="preserve"> </w:t>
      </w:r>
      <w:proofErr w:type="spellStart"/>
      <w:r w:rsidRPr="00B04DFB">
        <w:rPr>
          <w:rFonts w:ascii="Times New Roman" w:hAnsi="Times New Roman" w:cs="Times New Roman"/>
          <w:i/>
          <w:iCs/>
        </w:rPr>
        <w:t>assinada</w:t>
      </w:r>
      <w:proofErr w:type="spellEnd"/>
      <w:r>
        <w:rPr>
          <w:rFonts w:ascii="Times New Roman" w:hAnsi="Times New Roman" w:cs="Times New Roman"/>
        </w:rPr>
        <w:t xml:space="preserve">”, i.e. </w:t>
      </w:r>
      <w:r w:rsidRPr="00B04DFB">
        <w:rPr>
          <w:rFonts w:ascii="Times New Roman" w:hAnsi="Times New Roman" w:cs="Times New Roman"/>
        </w:rPr>
        <w:t>hired using their employee booklet.</w:t>
      </w:r>
    </w:p>
  </w:footnote>
  <w:footnote w:id="23">
    <w:p w14:paraId="1E949882" w14:textId="31729BAF" w:rsidR="00C06E4B" w:rsidRPr="00C06E4B" w:rsidRDefault="00C06E4B">
      <w:pPr>
        <w:pStyle w:val="FootnoteText"/>
        <w:rPr>
          <w:rFonts w:ascii="Times New Roman" w:hAnsi="Times New Roman" w:cs="Times New Roman"/>
        </w:rPr>
      </w:pPr>
      <w:r w:rsidRPr="00C06E4B">
        <w:rPr>
          <w:rStyle w:val="FootnoteReference"/>
          <w:rFonts w:ascii="Times New Roman" w:hAnsi="Times New Roman" w:cs="Times New Roman"/>
        </w:rPr>
        <w:footnoteRef/>
      </w:r>
      <w:r w:rsidRPr="00C06E4B">
        <w:rPr>
          <w:rFonts w:ascii="Times New Roman" w:hAnsi="Times New Roman" w:cs="Times New Roman"/>
        </w:rPr>
        <w:t xml:space="preserve"> Below we list five exceptions for which local legislation may supplement the standards set forth by federal law.</w:t>
      </w:r>
    </w:p>
  </w:footnote>
  <w:footnote w:id="24">
    <w:p w14:paraId="6677ECC7" w14:textId="6080E631" w:rsidR="0047272F" w:rsidRPr="00DD5786" w:rsidRDefault="0047272F" w:rsidP="00724F66">
      <w:pPr>
        <w:pStyle w:val="FootnoteText"/>
        <w:jc w:val="both"/>
        <w:rPr>
          <w:rFonts w:ascii="Times New Roman" w:hAnsi="Times New Roman" w:cs="Times New Roman"/>
        </w:rPr>
      </w:pPr>
      <w:r w:rsidRPr="00DD5786">
        <w:rPr>
          <w:rStyle w:val="FootnoteReference"/>
          <w:rFonts w:ascii="Times New Roman" w:hAnsi="Times New Roman" w:cs="Times New Roman"/>
        </w:rPr>
        <w:footnoteRef/>
      </w:r>
      <w:r w:rsidRPr="00DD5786">
        <w:rPr>
          <w:rFonts w:ascii="Times New Roman" w:hAnsi="Times New Roman" w:cs="Times New Roman"/>
        </w:rPr>
        <w:t xml:space="preserve"> F</w:t>
      </w:r>
      <w:r w:rsidR="008C7165" w:rsidRPr="00DD5786">
        <w:rPr>
          <w:rFonts w:ascii="Times New Roman" w:hAnsi="Times New Roman" w:cs="Times New Roman"/>
        </w:rPr>
        <w:t>ifteen</w:t>
      </w:r>
      <w:r w:rsidRPr="00DD5786">
        <w:rPr>
          <w:rFonts w:ascii="Times New Roman" w:hAnsi="Times New Roman" w:cs="Times New Roman"/>
        </w:rPr>
        <w:t xml:space="preserve"> are licensed by the Ministry of Labor and Employment</w:t>
      </w:r>
      <w:r w:rsidR="00724F66" w:rsidRPr="00DD5786">
        <w:rPr>
          <w:rFonts w:ascii="Times New Roman" w:hAnsi="Times New Roman" w:cs="Times New Roman"/>
        </w:rPr>
        <w:t xml:space="preserve"> (</w:t>
      </w:r>
      <w:r w:rsidR="00724F66" w:rsidRPr="00A733EF">
        <w:rPr>
          <w:rFonts w:ascii="Times New Roman" w:hAnsi="Times New Roman" w:cs="Times New Roman"/>
        </w:rPr>
        <w:t xml:space="preserve">see </w:t>
      </w:r>
      <w:r w:rsidR="00A733EF">
        <w:rPr>
          <w:rFonts w:ascii="Times New Roman" w:hAnsi="Times New Roman" w:cs="Times New Roman"/>
        </w:rPr>
        <w:t>F</w:t>
      </w:r>
      <w:r w:rsidR="00724F66" w:rsidRPr="00A733EF">
        <w:rPr>
          <w:rFonts w:ascii="Times New Roman" w:hAnsi="Times New Roman" w:cs="Times New Roman"/>
        </w:rPr>
        <w:t xml:space="preserve">igure </w:t>
      </w:r>
      <w:r w:rsidR="00A733EF" w:rsidRPr="00A733EF">
        <w:rPr>
          <w:rFonts w:ascii="Times New Roman" w:hAnsi="Times New Roman" w:cs="Times New Roman"/>
        </w:rPr>
        <w:t>2</w:t>
      </w:r>
      <w:r w:rsidR="00724F66" w:rsidRPr="00DD5786">
        <w:rPr>
          <w:rFonts w:ascii="Times New Roman" w:hAnsi="Times New Roman" w:cs="Times New Roman"/>
        </w:rPr>
        <w:t>).</w:t>
      </w:r>
      <w:r w:rsidRPr="00DD5786">
        <w:rPr>
          <w:rFonts w:ascii="Times New Roman" w:hAnsi="Times New Roman" w:cs="Times New Roman"/>
        </w:rPr>
        <w:t xml:space="preserve"> </w:t>
      </w:r>
      <w:r w:rsidR="00724F66" w:rsidRPr="00DD5786">
        <w:rPr>
          <w:rFonts w:ascii="Times New Roman" w:hAnsi="Times New Roman" w:cs="Times New Roman"/>
        </w:rPr>
        <w:t>License and permit issuance service private agents (</w:t>
      </w:r>
      <w:proofErr w:type="spellStart"/>
      <w:r w:rsidR="00724F66" w:rsidRPr="00DD5786">
        <w:rPr>
          <w:rFonts w:ascii="Times New Roman" w:hAnsi="Times New Roman" w:cs="Times New Roman"/>
          <w:i/>
          <w:iCs/>
        </w:rPr>
        <w:t>despachantes</w:t>
      </w:r>
      <w:proofErr w:type="spellEnd"/>
      <w:r w:rsidR="00724F66" w:rsidRPr="00DD5786">
        <w:rPr>
          <w:rFonts w:ascii="Times New Roman" w:hAnsi="Times New Roman" w:cs="Times New Roman"/>
        </w:rPr>
        <w:t>) are licensed by Federal Revenue System (</w:t>
      </w:r>
      <w:proofErr w:type="spellStart"/>
      <w:r w:rsidR="00724F66" w:rsidRPr="00DD5786">
        <w:rPr>
          <w:rFonts w:ascii="Times New Roman" w:hAnsi="Times New Roman" w:cs="Times New Roman"/>
          <w:i/>
          <w:iCs/>
        </w:rPr>
        <w:t>Receita</w:t>
      </w:r>
      <w:proofErr w:type="spellEnd"/>
      <w:r w:rsidR="00724F66" w:rsidRPr="00DD5786">
        <w:rPr>
          <w:rFonts w:ascii="Times New Roman" w:hAnsi="Times New Roman" w:cs="Times New Roman"/>
          <w:i/>
          <w:iCs/>
        </w:rPr>
        <w:t xml:space="preserve"> Federal</w:t>
      </w:r>
      <w:r w:rsidR="00724F66" w:rsidRPr="00DD5786">
        <w:rPr>
          <w:rFonts w:ascii="Times New Roman" w:hAnsi="Times New Roman" w:cs="Times New Roman"/>
        </w:rPr>
        <w:t xml:space="preserve">), </w:t>
      </w:r>
      <w:r w:rsidR="00A733EF">
        <w:rPr>
          <w:rFonts w:ascii="Times New Roman" w:hAnsi="Times New Roman" w:cs="Times New Roman"/>
        </w:rPr>
        <w:t xml:space="preserve">and </w:t>
      </w:r>
      <w:r w:rsidR="00724F66" w:rsidRPr="00DD5786">
        <w:rPr>
          <w:rFonts w:ascii="Times New Roman" w:hAnsi="Times New Roman" w:cs="Times New Roman"/>
        </w:rPr>
        <w:t>professional fisherm</w:t>
      </w:r>
      <w:r w:rsidR="00A733EF">
        <w:rPr>
          <w:rFonts w:ascii="Times New Roman" w:hAnsi="Times New Roman" w:cs="Times New Roman"/>
        </w:rPr>
        <w:t>e</w:t>
      </w:r>
      <w:r w:rsidR="00724F66" w:rsidRPr="00DD5786">
        <w:rPr>
          <w:rFonts w:ascii="Times New Roman" w:hAnsi="Times New Roman" w:cs="Times New Roman"/>
        </w:rPr>
        <w:t xml:space="preserve">n are licensed </w:t>
      </w:r>
      <w:r w:rsidRPr="00DD5786">
        <w:rPr>
          <w:rFonts w:ascii="Times New Roman" w:hAnsi="Times New Roman" w:cs="Times New Roman"/>
        </w:rPr>
        <w:t xml:space="preserve">by </w:t>
      </w:r>
      <w:r w:rsidR="008C7165" w:rsidRPr="00DD5786">
        <w:rPr>
          <w:rFonts w:ascii="Times New Roman" w:hAnsi="Times New Roman" w:cs="Times New Roman"/>
        </w:rPr>
        <w:t>the Ministry of Fisheries</w:t>
      </w:r>
      <w:r w:rsidR="00724F66" w:rsidRPr="00DD5786">
        <w:rPr>
          <w:rFonts w:ascii="Times New Roman" w:hAnsi="Times New Roman" w:cs="Times New Roman"/>
        </w:rPr>
        <w:t xml:space="preserve">. The latter is the only occupation for which no minimum requirements are established for the worker, but a </w:t>
      </w:r>
      <w:r w:rsidR="007727F0" w:rsidRPr="00DD5786">
        <w:rPr>
          <w:rFonts w:ascii="Times New Roman" w:hAnsi="Times New Roman" w:cs="Times New Roman"/>
        </w:rPr>
        <w:t xml:space="preserve">license or </w:t>
      </w:r>
      <w:r w:rsidR="00724F66" w:rsidRPr="00DD5786">
        <w:rPr>
          <w:rFonts w:ascii="Times New Roman" w:hAnsi="Times New Roman" w:cs="Times New Roman"/>
        </w:rPr>
        <w:t xml:space="preserve">permit is required. In a more practical sense, </w:t>
      </w:r>
      <w:r w:rsidR="007727F0" w:rsidRPr="00DD5786">
        <w:rPr>
          <w:rFonts w:ascii="Times New Roman" w:hAnsi="Times New Roman" w:cs="Times New Roman"/>
        </w:rPr>
        <w:t>it is the activity (</w:t>
      </w:r>
      <w:r w:rsidR="00476E8A" w:rsidRPr="00DD5786">
        <w:rPr>
          <w:rFonts w:ascii="Times New Roman" w:hAnsi="Times New Roman" w:cs="Times New Roman"/>
        </w:rPr>
        <w:t>fishing) and</w:t>
      </w:r>
      <w:r w:rsidR="007727F0" w:rsidRPr="00DD5786">
        <w:rPr>
          <w:rFonts w:ascii="Times New Roman" w:hAnsi="Times New Roman" w:cs="Times New Roman"/>
        </w:rPr>
        <w:t xml:space="preserve"> not the worker that is being regulated, although they are issued to individuals.  </w:t>
      </w:r>
    </w:p>
  </w:footnote>
  <w:footnote w:id="25">
    <w:p w14:paraId="51529237" w14:textId="4C46A32A" w:rsidR="00867F94" w:rsidRPr="00C06E4B" w:rsidRDefault="00867F94" w:rsidP="00C06E4B">
      <w:pPr>
        <w:pStyle w:val="FootnoteText"/>
        <w:jc w:val="both"/>
        <w:rPr>
          <w:rFonts w:ascii="Times New Roman" w:hAnsi="Times New Roman" w:cs="Times New Roman"/>
        </w:rPr>
      </w:pPr>
      <w:r w:rsidRPr="00C06E4B">
        <w:rPr>
          <w:rStyle w:val="FootnoteReference"/>
          <w:rFonts w:ascii="Times New Roman" w:hAnsi="Times New Roman" w:cs="Times New Roman"/>
        </w:rPr>
        <w:footnoteRef/>
      </w:r>
      <w:r w:rsidRPr="00C06E4B">
        <w:rPr>
          <w:rFonts w:ascii="Times New Roman" w:hAnsi="Times New Roman" w:cs="Times New Roman"/>
        </w:rPr>
        <w:t xml:space="preserve"> For instance, federal law requires taxi drivers to have a driver’s license, basic knowledge of car mechanics, </w:t>
      </w:r>
      <w:r w:rsidR="00C06E4B" w:rsidRPr="00C06E4B">
        <w:rPr>
          <w:rFonts w:ascii="Times New Roman" w:hAnsi="Times New Roman" w:cs="Times New Roman"/>
        </w:rPr>
        <w:t xml:space="preserve">and </w:t>
      </w:r>
      <w:r w:rsidRPr="00C06E4B">
        <w:rPr>
          <w:rFonts w:ascii="Times New Roman" w:hAnsi="Times New Roman" w:cs="Times New Roman"/>
        </w:rPr>
        <w:t>first aid, and a course on proper manners with passengers, as well as a vehicle that meet</w:t>
      </w:r>
      <w:r w:rsidR="00C06E4B" w:rsidRPr="00C06E4B">
        <w:rPr>
          <w:rFonts w:ascii="Times New Roman" w:hAnsi="Times New Roman" w:cs="Times New Roman"/>
        </w:rPr>
        <w:t>s</w:t>
      </w:r>
      <w:r w:rsidRPr="00C06E4B">
        <w:rPr>
          <w:rFonts w:ascii="Times New Roman" w:hAnsi="Times New Roman" w:cs="Times New Roman"/>
        </w:rPr>
        <w:t xml:space="preserve"> </w:t>
      </w:r>
      <w:r w:rsidR="00C06E4B" w:rsidRPr="00C06E4B">
        <w:rPr>
          <w:rFonts w:ascii="Times New Roman" w:hAnsi="Times New Roman" w:cs="Times New Roman"/>
        </w:rPr>
        <w:t>minimum standards. All of these must be defined by local authorities.</w:t>
      </w:r>
    </w:p>
  </w:footnote>
  <w:footnote w:id="26">
    <w:p w14:paraId="1A441553" w14:textId="7C8EADEF" w:rsidR="001B1EA1" w:rsidRPr="001B1EA1" w:rsidRDefault="001B1EA1">
      <w:pPr>
        <w:pStyle w:val="FootnoteText"/>
        <w:rPr>
          <w:rFonts w:ascii="Times New Roman" w:hAnsi="Times New Roman" w:cs="Times New Roman"/>
        </w:rPr>
      </w:pPr>
      <w:r w:rsidRPr="001B1EA1">
        <w:rPr>
          <w:rStyle w:val="FootnoteReference"/>
          <w:rFonts w:ascii="Times New Roman" w:hAnsi="Times New Roman" w:cs="Times New Roman"/>
        </w:rPr>
        <w:footnoteRef/>
      </w:r>
      <w:r w:rsidRPr="001B1EA1">
        <w:rPr>
          <w:rFonts w:ascii="Times New Roman" w:hAnsi="Times New Roman" w:cs="Times New Roman"/>
        </w:rPr>
        <w:t xml:space="preserve"> A 1987 law describes “social mother</w:t>
      </w:r>
      <w:r>
        <w:rPr>
          <w:rFonts w:ascii="Times New Roman" w:hAnsi="Times New Roman" w:cs="Times New Roman"/>
        </w:rPr>
        <w:t>s</w:t>
      </w:r>
      <w:r w:rsidRPr="001B1EA1">
        <w:rPr>
          <w:rFonts w:ascii="Times New Roman" w:hAnsi="Times New Roman" w:cs="Times New Roman"/>
        </w:rPr>
        <w:t xml:space="preserve">” as </w:t>
      </w:r>
      <w:r>
        <w:rPr>
          <w:rFonts w:ascii="Times New Roman" w:hAnsi="Times New Roman" w:cs="Times New Roman"/>
        </w:rPr>
        <w:t>women</w:t>
      </w:r>
      <w:r w:rsidRPr="001B1EA1">
        <w:rPr>
          <w:rFonts w:ascii="Times New Roman" w:hAnsi="Times New Roman" w:cs="Times New Roman"/>
        </w:rPr>
        <w:t xml:space="preserve"> who will live and work (for pay) at non-profit foster care homes, providing parent-like guidance to children.</w:t>
      </w:r>
    </w:p>
  </w:footnote>
  <w:footnote w:id="27">
    <w:p w14:paraId="6E5C5840" w14:textId="77777777" w:rsidR="00492C61" w:rsidRDefault="00492C61" w:rsidP="00C06E4B">
      <w:pPr>
        <w:pStyle w:val="FootnoteText"/>
        <w:jc w:val="both"/>
      </w:pPr>
      <w:r w:rsidRPr="00C06E4B">
        <w:rPr>
          <w:rStyle w:val="FootnoteReference"/>
          <w:rFonts w:ascii="Times New Roman" w:hAnsi="Times New Roman" w:cs="Times New Roman"/>
        </w:rPr>
        <w:footnoteRef/>
      </w:r>
      <w:r w:rsidRPr="00C06E4B">
        <w:rPr>
          <w:rFonts w:ascii="Times New Roman" w:hAnsi="Times New Roman" w:cs="Times New Roman"/>
        </w:rPr>
        <w:t xml:space="preserve"> A recent bill, proposed in 2020, aims to </w:t>
      </w:r>
      <w:proofErr w:type="gramStart"/>
      <w:r w:rsidRPr="00C06E4B">
        <w:rPr>
          <w:rFonts w:ascii="Times New Roman" w:hAnsi="Times New Roman" w:cs="Times New Roman"/>
        </w:rPr>
        <w:t>established</w:t>
      </w:r>
      <w:proofErr w:type="gramEnd"/>
      <w:r w:rsidRPr="00C06E4B">
        <w:rPr>
          <w:rFonts w:ascii="Times New Roman" w:hAnsi="Times New Roman" w:cs="Times New Roman"/>
        </w:rPr>
        <w:t xml:space="preserve"> a national examination for medical doctors.</w:t>
      </w:r>
      <w:r>
        <w:t xml:space="preserve"> </w:t>
      </w:r>
    </w:p>
  </w:footnote>
  <w:footnote w:id="28">
    <w:p w14:paraId="3C8688B7" w14:textId="77777777" w:rsidR="00EF70EF" w:rsidRPr="00EF70EF" w:rsidRDefault="00EF70EF" w:rsidP="009C3105">
      <w:pPr>
        <w:pStyle w:val="FootnoteText"/>
        <w:jc w:val="both"/>
        <w:rPr>
          <w:rFonts w:ascii="Times New Roman" w:hAnsi="Times New Roman" w:cs="Times New Roman"/>
        </w:rPr>
      </w:pPr>
      <w:r w:rsidRPr="00EF70EF">
        <w:rPr>
          <w:rStyle w:val="FootnoteReference"/>
          <w:rFonts w:ascii="Times New Roman" w:hAnsi="Times New Roman" w:cs="Times New Roman"/>
        </w:rPr>
        <w:footnoteRef/>
      </w:r>
      <w:r w:rsidRPr="00EF70EF">
        <w:rPr>
          <w:rFonts w:ascii="Times New Roman" w:hAnsi="Times New Roman" w:cs="Times New Roman"/>
        </w:rPr>
        <w:t xml:space="preserve"> The regulation establishes a regular workday of 8 hours, which can only be altered by a collective labor agreement. It also allows such contracts or agreements to set a wage floor.</w:t>
      </w:r>
    </w:p>
  </w:footnote>
  <w:footnote w:id="29">
    <w:p w14:paraId="4530C534" w14:textId="4A967F79" w:rsidR="000844D9" w:rsidRPr="000844D9" w:rsidRDefault="000844D9" w:rsidP="00A41FF3">
      <w:pPr>
        <w:pStyle w:val="FootnoteText"/>
        <w:jc w:val="both"/>
      </w:pPr>
      <w:r>
        <w:rPr>
          <w:rStyle w:val="FootnoteReference"/>
        </w:rPr>
        <w:footnoteRef/>
      </w:r>
      <w:r>
        <w:t xml:space="preserve"> </w:t>
      </w:r>
      <w:proofErr w:type="spellStart"/>
      <w:r w:rsidRPr="00352632">
        <w:rPr>
          <w:rFonts w:ascii="TimesNewRomanPSMT" w:hAnsi="TimesNewRomanPSMT"/>
        </w:rPr>
        <w:t>Roubaud</w:t>
      </w:r>
      <w:proofErr w:type="spellEnd"/>
      <w:r>
        <w:rPr>
          <w:rFonts w:ascii="TimesNewRomanPSMT" w:hAnsi="TimesNewRomanPSMT"/>
        </w:rPr>
        <w:t xml:space="preserve"> et al (2020) provide an excellent analysis of the different metrics of informality. Crucial to this chapter, they argue that both metrics are highly correlated</w:t>
      </w:r>
      <w:r w:rsidR="00574615">
        <w:rPr>
          <w:rFonts w:ascii="TimesNewRomanPSMT" w:hAnsi="TimesNewRomanPSMT"/>
        </w:rPr>
        <w:t xml:space="preserve"> (0.86)</w:t>
      </w:r>
      <w:r>
        <w:rPr>
          <w:rFonts w:ascii="TimesNewRomanPSMT" w:hAnsi="TimesNewRomanPSMT"/>
        </w:rPr>
        <w:t xml:space="preserve"> over time and provide reliable estimates of informality</w:t>
      </w:r>
      <w:r w:rsidR="00574615">
        <w:rPr>
          <w:rFonts w:ascii="TimesNewRomanPSMT" w:hAnsi="TimesNewRomanPSMT"/>
        </w:rPr>
        <w:t xml:space="preserve"> (pp. 28-34)</w:t>
      </w:r>
      <w:r>
        <w:rPr>
          <w:rFonts w:ascii="TimesNewRomanPSMT" w:hAnsi="TimesNewRomanPSMT"/>
        </w:rPr>
        <w:t>. My exact figures differ from their</w:t>
      </w:r>
      <w:r w:rsidR="00574615">
        <w:rPr>
          <w:rFonts w:ascii="TimesNewRomanPSMT" w:hAnsi="TimesNewRomanPSMT"/>
        </w:rPr>
        <w:t>s</w:t>
      </w:r>
      <w:r>
        <w:rPr>
          <w:rFonts w:ascii="TimesNewRomanPSMT" w:hAnsi="TimesNewRomanPSMT"/>
        </w:rPr>
        <w:t xml:space="preserve"> because I am excluding unpaid “family workers</w:t>
      </w:r>
      <w:r w:rsidR="00F14B3F">
        <w:rPr>
          <w:rFonts w:ascii="TimesNewRomanPSMT" w:hAnsi="TimesNewRomanPSMT"/>
        </w:rPr>
        <w:t>,</w:t>
      </w:r>
      <w:r>
        <w:rPr>
          <w:rFonts w:ascii="TimesNewRomanPSMT" w:hAnsi="TimesNewRomanPSMT"/>
        </w:rPr>
        <w:t>”</w:t>
      </w:r>
      <w:r w:rsidR="00F14B3F">
        <w:rPr>
          <w:rFonts w:ascii="TimesNewRomanPSMT" w:hAnsi="TimesNewRomanPSMT"/>
        </w:rPr>
        <w:t xml:space="preserve"> which represent a</w:t>
      </w:r>
      <w:r w:rsidR="00A41FF3">
        <w:rPr>
          <w:rFonts w:ascii="TimesNewRomanPSMT" w:hAnsi="TimesNewRomanPSMT"/>
        </w:rPr>
        <w:t xml:space="preserve"> </w:t>
      </w:r>
      <w:r w:rsidR="00F14B3F">
        <w:rPr>
          <w:rFonts w:ascii="TimesNewRomanPSMT" w:hAnsi="TimesNewRomanPSMT"/>
        </w:rPr>
        <w:t>small share of the individuals in the survey.</w:t>
      </w:r>
      <w:r>
        <w:rPr>
          <w:rFonts w:ascii="TimesNewRomanPSMT" w:hAnsi="TimesNewRomanPSMT"/>
        </w:rPr>
        <w:t xml:space="preserve"> </w:t>
      </w:r>
      <w:r w:rsidR="00F14B3F">
        <w:rPr>
          <w:rFonts w:ascii="TimesNewRomanPSMT" w:hAnsi="TimesNewRomanPSMT"/>
        </w:rPr>
        <w:t>Thus</w:t>
      </w:r>
      <w:r>
        <w:rPr>
          <w:rFonts w:ascii="TimesNewRomanPSMT" w:hAnsi="TimesNewRomanPSMT"/>
        </w:rPr>
        <w:t xml:space="preserve">, I am estimating the share of </w:t>
      </w:r>
      <w:r>
        <w:rPr>
          <w:rFonts w:ascii="TimesNewRomanPSMT" w:hAnsi="TimesNewRomanPSMT"/>
          <w:i/>
          <w:iCs/>
        </w:rPr>
        <w:t xml:space="preserve">paid </w:t>
      </w:r>
      <w:r>
        <w:rPr>
          <w:rFonts w:ascii="TimesNewRomanPSMT" w:hAnsi="TimesNewRomanPSMT"/>
        </w:rPr>
        <w:t xml:space="preserve">workers that are informal. </w:t>
      </w:r>
    </w:p>
  </w:footnote>
  <w:footnote w:id="30">
    <w:p w14:paraId="72E919F7" w14:textId="49A9DB61" w:rsidR="00AD69D9" w:rsidRPr="002F4BF1" w:rsidRDefault="00AD69D9" w:rsidP="00AD69D9">
      <w:pPr>
        <w:pStyle w:val="FootnoteText"/>
        <w:rPr>
          <w:rFonts w:ascii="Times New Roman" w:hAnsi="Times New Roman" w:cs="Times New Roman"/>
        </w:rPr>
      </w:pPr>
      <w:r w:rsidRPr="002F4BF1">
        <w:rPr>
          <w:rStyle w:val="FootnoteReference"/>
          <w:rFonts w:ascii="Times New Roman" w:hAnsi="Times New Roman" w:cs="Times New Roman"/>
        </w:rPr>
        <w:footnoteRef/>
      </w:r>
      <w:r w:rsidRPr="002F4BF1">
        <w:rPr>
          <w:rFonts w:ascii="Times New Roman" w:hAnsi="Times New Roman" w:cs="Times New Roman"/>
        </w:rPr>
        <w:t xml:space="preserve"> On this topic, see </w:t>
      </w:r>
      <w:r w:rsidR="00C86AD8">
        <w:rPr>
          <w:rFonts w:ascii="Times New Roman" w:hAnsi="Times New Roman" w:cs="Times New Roman"/>
        </w:rPr>
        <w:t xml:space="preserve">e.g. </w:t>
      </w:r>
      <w:r w:rsidRPr="002F4BF1">
        <w:rPr>
          <w:rFonts w:ascii="Times New Roman" w:hAnsi="Times New Roman" w:cs="Times New Roman"/>
        </w:rPr>
        <w:t xml:space="preserve">Barros </w:t>
      </w:r>
      <w:r w:rsidRPr="002F4BF1">
        <w:rPr>
          <w:rFonts w:ascii="Times New Roman" w:hAnsi="Times New Roman" w:cs="Times New Roman"/>
          <w:i/>
          <w:iCs/>
        </w:rPr>
        <w:t xml:space="preserve">et al. </w:t>
      </w:r>
      <w:r w:rsidRPr="002F4BF1">
        <w:rPr>
          <w:rFonts w:ascii="Times New Roman" w:hAnsi="Times New Roman" w:cs="Times New Roman"/>
        </w:rPr>
        <w:t xml:space="preserve">(1993), Carneiro e Henley (2001), </w:t>
      </w:r>
      <w:proofErr w:type="spellStart"/>
      <w:r w:rsidRPr="002F4BF1">
        <w:rPr>
          <w:rFonts w:ascii="Times New Roman" w:hAnsi="Times New Roman" w:cs="Times New Roman"/>
        </w:rPr>
        <w:t>Tannuri-Pianto</w:t>
      </w:r>
      <w:proofErr w:type="spellEnd"/>
      <w:r w:rsidRPr="002F4BF1">
        <w:rPr>
          <w:rFonts w:ascii="Times New Roman" w:hAnsi="Times New Roman" w:cs="Times New Roman"/>
        </w:rPr>
        <w:t xml:space="preserve"> e </w:t>
      </w:r>
      <w:proofErr w:type="spellStart"/>
      <w:r w:rsidRPr="002F4BF1">
        <w:rPr>
          <w:rFonts w:ascii="Times New Roman" w:hAnsi="Times New Roman" w:cs="Times New Roman"/>
        </w:rPr>
        <w:t>Pianto</w:t>
      </w:r>
      <w:proofErr w:type="spellEnd"/>
      <w:r w:rsidRPr="002F4BF1">
        <w:rPr>
          <w:rFonts w:ascii="Times New Roman" w:hAnsi="Times New Roman" w:cs="Times New Roman"/>
        </w:rPr>
        <w:t xml:space="preserve"> (2002) and Soares (2004).</w:t>
      </w:r>
    </w:p>
    <w:p w14:paraId="757D7CB0" w14:textId="73961FC0" w:rsidR="00AD69D9" w:rsidRDefault="00AD69D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30ED"/>
    <w:multiLevelType w:val="hybridMultilevel"/>
    <w:tmpl w:val="3BBE74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D82FD4"/>
    <w:multiLevelType w:val="hybridMultilevel"/>
    <w:tmpl w:val="6BE816D0"/>
    <w:lvl w:ilvl="0" w:tplc="7E5ADC42">
      <w:start w:val="10"/>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B341E"/>
    <w:multiLevelType w:val="hybridMultilevel"/>
    <w:tmpl w:val="82D22F10"/>
    <w:lvl w:ilvl="0" w:tplc="0C34A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E1349"/>
    <w:multiLevelType w:val="hybridMultilevel"/>
    <w:tmpl w:val="BC324FA8"/>
    <w:lvl w:ilvl="0" w:tplc="732E17D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933225">
    <w:abstractNumId w:val="0"/>
  </w:num>
  <w:num w:numId="2" w16cid:durableId="426728555">
    <w:abstractNumId w:val="3"/>
  </w:num>
  <w:num w:numId="3" w16cid:durableId="1238132984">
    <w:abstractNumId w:val="1"/>
  </w:num>
  <w:num w:numId="4" w16cid:durableId="1035959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8B"/>
    <w:rsid w:val="00003AA1"/>
    <w:rsid w:val="00031E53"/>
    <w:rsid w:val="000437CA"/>
    <w:rsid w:val="00043E51"/>
    <w:rsid w:val="00054E08"/>
    <w:rsid w:val="000844D9"/>
    <w:rsid w:val="00094DB5"/>
    <w:rsid w:val="000B29A4"/>
    <w:rsid w:val="00120934"/>
    <w:rsid w:val="001241C9"/>
    <w:rsid w:val="00132703"/>
    <w:rsid w:val="001451DA"/>
    <w:rsid w:val="001678F6"/>
    <w:rsid w:val="0017788E"/>
    <w:rsid w:val="00180CB3"/>
    <w:rsid w:val="001B1EA1"/>
    <w:rsid w:val="001C5DDA"/>
    <w:rsid w:val="00200DCB"/>
    <w:rsid w:val="00245296"/>
    <w:rsid w:val="002C6A79"/>
    <w:rsid w:val="002D05F2"/>
    <w:rsid w:val="002D75CF"/>
    <w:rsid w:val="002E5612"/>
    <w:rsid w:val="002F4BF1"/>
    <w:rsid w:val="002F6034"/>
    <w:rsid w:val="00312EE0"/>
    <w:rsid w:val="003307F1"/>
    <w:rsid w:val="00330811"/>
    <w:rsid w:val="003356FF"/>
    <w:rsid w:val="00352632"/>
    <w:rsid w:val="003A7451"/>
    <w:rsid w:val="003B13E0"/>
    <w:rsid w:val="003C1BB4"/>
    <w:rsid w:val="003E1F7F"/>
    <w:rsid w:val="004335A0"/>
    <w:rsid w:val="00450F18"/>
    <w:rsid w:val="00460C4F"/>
    <w:rsid w:val="0046272A"/>
    <w:rsid w:val="0047272F"/>
    <w:rsid w:val="00476E8A"/>
    <w:rsid w:val="00492C61"/>
    <w:rsid w:val="004A76D1"/>
    <w:rsid w:val="004B42B5"/>
    <w:rsid w:val="004B4424"/>
    <w:rsid w:val="004D1F0C"/>
    <w:rsid w:val="004D4922"/>
    <w:rsid w:val="004E0844"/>
    <w:rsid w:val="004E466B"/>
    <w:rsid w:val="004F37E0"/>
    <w:rsid w:val="004F49DD"/>
    <w:rsid w:val="0053796D"/>
    <w:rsid w:val="00552510"/>
    <w:rsid w:val="00557F91"/>
    <w:rsid w:val="00570A40"/>
    <w:rsid w:val="00574615"/>
    <w:rsid w:val="00575E98"/>
    <w:rsid w:val="00596958"/>
    <w:rsid w:val="005A038A"/>
    <w:rsid w:val="005B1F7A"/>
    <w:rsid w:val="005D615A"/>
    <w:rsid w:val="005D6EA7"/>
    <w:rsid w:val="006173BC"/>
    <w:rsid w:val="0061790C"/>
    <w:rsid w:val="00654133"/>
    <w:rsid w:val="00660C47"/>
    <w:rsid w:val="00662641"/>
    <w:rsid w:val="00683079"/>
    <w:rsid w:val="00683E47"/>
    <w:rsid w:val="00686483"/>
    <w:rsid w:val="00695D13"/>
    <w:rsid w:val="006A5082"/>
    <w:rsid w:val="006C16FA"/>
    <w:rsid w:val="006C5474"/>
    <w:rsid w:val="006F3500"/>
    <w:rsid w:val="00702399"/>
    <w:rsid w:val="0070240A"/>
    <w:rsid w:val="00713577"/>
    <w:rsid w:val="00720F3B"/>
    <w:rsid w:val="00724F66"/>
    <w:rsid w:val="00731B77"/>
    <w:rsid w:val="0073215E"/>
    <w:rsid w:val="00760135"/>
    <w:rsid w:val="00770666"/>
    <w:rsid w:val="007727F0"/>
    <w:rsid w:val="007831D6"/>
    <w:rsid w:val="007853E0"/>
    <w:rsid w:val="007A411F"/>
    <w:rsid w:val="007B4B0C"/>
    <w:rsid w:val="007B6C7E"/>
    <w:rsid w:val="007B7EA8"/>
    <w:rsid w:val="007D2934"/>
    <w:rsid w:val="007E0E15"/>
    <w:rsid w:val="007E3BD7"/>
    <w:rsid w:val="007E3E67"/>
    <w:rsid w:val="007F2D12"/>
    <w:rsid w:val="007F2FD9"/>
    <w:rsid w:val="0080687F"/>
    <w:rsid w:val="00821DBB"/>
    <w:rsid w:val="00827B27"/>
    <w:rsid w:val="0084017E"/>
    <w:rsid w:val="00861F28"/>
    <w:rsid w:val="00867F94"/>
    <w:rsid w:val="00873CD0"/>
    <w:rsid w:val="00894DEA"/>
    <w:rsid w:val="00895659"/>
    <w:rsid w:val="00897A34"/>
    <w:rsid w:val="008A52FF"/>
    <w:rsid w:val="008B29D8"/>
    <w:rsid w:val="008C3AF3"/>
    <w:rsid w:val="008C7165"/>
    <w:rsid w:val="008E438E"/>
    <w:rsid w:val="00921E98"/>
    <w:rsid w:val="009276D2"/>
    <w:rsid w:val="009317AD"/>
    <w:rsid w:val="009317AE"/>
    <w:rsid w:val="009547AB"/>
    <w:rsid w:val="009702BC"/>
    <w:rsid w:val="00971D26"/>
    <w:rsid w:val="00973008"/>
    <w:rsid w:val="00981D6E"/>
    <w:rsid w:val="009847E9"/>
    <w:rsid w:val="00992848"/>
    <w:rsid w:val="009A1694"/>
    <w:rsid w:val="009A199C"/>
    <w:rsid w:val="009C052F"/>
    <w:rsid w:val="009C3105"/>
    <w:rsid w:val="009D2E6A"/>
    <w:rsid w:val="009F2111"/>
    <w:rsid w:val="00A32FFA"/>
    <w:rsid w:val="00A40B82"/>
    <w:rsid w:val="00A41FF3"/>
    <w:rsid w:val="00A66CA3"/>
    <w:rsid w:val="00A72784"/>
    <w:rsid w:val="00A733EF"/>
    <w:rsid w:val="00A748F1"/>
    <w:rsid w:val="00AA40D0"/>
    <w:rsid w:val="00AB07AB"/>
    <w:rsid w:val="00AC3756"/>
    <w:rsid w:val="00AD32A7"/>
    <w:rsid w:val="00AD37B4"/>
    <w:rsid w:val="00AD5CAF"/>
    <w:rsid w:val="00AD69D9"/>
    <w:rsid w:val="00B04C49"/>
    <w:rsid w:val="00B04DFB"/>
    <w:rsid w:val="00B06C12"/>
    <w:rsid w:val="00B12762"/>
    <w:rsid w:val="00B1551C"/>
    <w:rsid w:val="00B222D3"/>
    <w:rsid w:val="00B534D6"/>
    <w:rsid w:val="00B609B9"/>
    <w:rsid w:val="00B66B3D"/>
    <w:rsid w:val="00B66D91"/>
    <w:rsid w:val="00B961D4"/>
    <w:rsid w:val="00BA571F"/>
    <w:rsid w:val="00BD787C"/>
    <w:rsid w:val="00BF208B"/>
    <w:rsid w:val="00BF6E06"/>
    <w:rsid w:val="00C06E4B"/>
    <w:rsid w:val="00C11816"/>
    <w:rsid w:val="00C15072"/>
    <w:rsid w:val="00C32D3C"/>
    <w:rsid w:val="00C56D5A"/>
    <w:rsid w:val="00C67963"/>
    <w:rsid w:val="00C85699"/>
    <w:rsid w:val="00C86AD8"/>
    <w:rsid w:val="00CB18B6"/>
    <w:rsid w:val="00CD63E6"/>
    <w:rsid w:val="00CF3B0C"/>
    <w:rsid w:val="00D20967"/>
    <w:rsid w:val="00D26B5C"/>
    <w:rsid w:val="00D27988"/>
    <w:rsid w:val="00D346C3"/>
    <w:rsid w:val="00D54235"/>
    <w:rsid w:val="00D77582"/>
    <w:rsid w:val="00D86231"/>
    <w:rsid w:val="00D97A43"/>
    <w:rsid w:val="00DB0E08"/>
    <w:rsid w:val="00DC0DB1"/>
    <w:rsid w:val="00DC18E8"/>
    <w:rsid w:val="00DD1627"/>
    <w:rsid w:val="00DD5786"/>
    <w:rsid w:val="00DD76DA"/>
    <w:rsid w:val="00DF4698"/>
    <w:rsid w:val="00E04CBC"/>
    <w:rsid w:val="00E217EB"/>
    <w:rsid w:val="00E23EAD"/>
    <w:rsid w:val="00E43A34"/>
    <w:rsid w:val="00E46038"/>
    <w:rsid w:val="00E51297"/>
    <w:rsid w:val="00E544AF"/>
    <w:rsid w:val="00E559C0"/>
    <w:rsid w:val="00E60BD9"/>
    <w:rsid w:val="00E7030E"/>
    <w:rsid w:val="00E74335"/>
    <w:rsid w:val="00E87EBB"/>
    <w:rsid w:val="00EA7858"/>
    <w:rsid w:val="00EB1034"/>
    <w:rsid w:val="00EC4E2B"/>
    <w:rsid w:val="00ED0157"/>
    <w:rsid w:val="00ED248D"/>
    <w:rsid w:val="00EE4E0C"/>
    <w:rsid w:val="00EF0845"/>
    <w:rsid w:val="00EF70EF"/>
    <w:rsid w:val="00F04D85"/>
    <w:rsid w:val="00F14B3F"/>
    <w:rsid w:val="00F30A34"/>
    <w:rsid w:val="00F510A2"/>
    <w:rsid w:val="00F54432"/>
    <w:rsid w:val="00F55991"/>
    <w:rsid w:val="00FA5DB4"/>
    <w:rsid w:val="00FC657E"/>
    <w:rsid w:val="00FE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0A02"/>
  <w15:chartTrackingRefBased/>
  <w15:docId w15:val="{D5D6DEAA-E8D7-A54C-8C04-90AB04F87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B4"/>
  </w:style>
  <w:style w:type="paragraph" w:styleId="Heading1">
    <w:name w:val="heading 1"/>
    <w:basedOn w:val="Normal"/>
    <w:next w:val="Normal"/>
    <w:link w:val="Heading1Char"/>
    <w:uiPriority w:val="9"/>
    <w:qFormat/>
    <w:rsid w:val="00BF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08B"/>
    <w:rPr>
      <w:rFonts w:eastAsiaTheme="majorEastAsia" w:cstheme="majorBidi"/>
      <w:color w:val="272727" w:themeColor="text1" w:themeTint="D8"/>
    </w:rPr>
  </w:style>
  <w:style w:type="paragraph" w:styleId="Title">
    <w:name w:val="Title"/>
    <w:basedOn w:val="Normal"/>
    <w:next w:val="Normal"/>
    <w:link w:val="TitleChar"/>
    <w:uiPriority w:val="10"/>
    <w:qFormat/>
    <w:rsid w:val="00BF2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08B"/>
    <w:rPr>
      <w:i/>
      <w:iCs/>
      <w:color w:val="404040" w:themeColor="text1" w:themeTint="BF"/>
    </w:rPr>
  </w:style>
  <w:style w:type="paragraph" w:styleId="ListParagraph">
    <w:name w:val="List Paragraph"/>
    <w:basedOn w:val="Normal"/>
    <w:uiPriority w:val="34"/>
    <w:qFormat/>
    <w:rsid w:val="00BF208B"/>
    <w:pPr>
      <w:ind w:left="720"/>
      <w:contextualSpacing/>
    </w:pPr>
  </w:style>
  <w:style w:type="character" w:styleId="IntenseEmphasis">
    <w:name w:val="Intense Emphasis"/>
    <w:basedOn w:val="DefaultParagraphFont"/>
    <w:uiPriority w:val="21"/>
    <w:qFormat/>
    <w:rsid w:val="00BF208B"/>
    <w:rPr>
      <w:i/>
      <w:iCs/>
      <w:color w:val="0F4761" w:themeColor="accent1" w:themeShade="BF"/>
    </w:rPr>
  </w:style>
  <w:style w:type="paragraph" w:styleId="IntenseQuote">
    <w:name w:val="Intense Quote"/>
    <w:basedOn w:val="Normal"/>
    <w:next w:val="Normal"/>
    <w:link w:val="IntenseQuoteChar"/>
    <w:uiPriority w:val="30"/>
    <w:qFormat/>
    <w:rsid w:val="00BF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08B"/>
    <w:rPr>
      <w:i/>
      <w:iCs/>
      <w:color w:val="0F4761" w:themeColor="accent1" w:themeShade="BF"/>
    </w:rPr>
  </w:style>
  <w:style w:type="character" w:styleId="IntenseReference">
    <w:name w:val="Intense Reference"/>
    <w:basedOn w:val="DefaultParagraphFont"/>
    <w:uiPriority w:val="32"/>
    <w:qFormat/>
    <w:rsid w:val="00BF208B"/>
    <w:rPr>
      <w:b/>
      <w:bCs/>
      <w:smallCaps/>
      <w:color w:val="0F4761" w:themeColor="accent1" w:themeShade="BF"/>
      <w:spacing w:val="5"/>
    </w:rPr>
  </w:style>
  <w:style w:type="paragraph" w:styleId="NormalWeb">
    <w:name w:val="Normal (Web)"/>
    <w:basedOn w:val="Normal"/>
    <w:uiPriority w:val="99"/>
    <w:unhideWhenUsed/>
    <w:rsid w:val="00BF208B"/>
    <w:pPr>
      <w:spacing w:before="100" w:beforeAutospacing="1" w:after="100" w:afterAutospacing="1"/>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120934"/>
    <w:rPr>
      <w:sz w:val="20"/>
      <w:szCs w:val="20"/>
    </w:rPr>
  </w:style>
  <w:style w:type="character" w:customStyle="1" w:styleId="FootnoteTextChar">
    <w:name w:val="Footnote Text Char"/>
    <w:basedOn w:val="DefaultParagraphFont"/>
    <w:link w:val="FootnoteText"/>
    <w:uiPriority w:val="99"/>
    <w:semiHidden/>
    <w:rsid w:val="00120934"/>
    <w:rPr>
      <w:sz w:val="20"/>
      <w:szCs w:val="20"/>
    </w:rPr>
  </w:style>
  <w:style w:type="character" w:styleId="FootnoteReference">
    <w:name w:val="footnote reference"/>
    <w:basedOn w:val="DefaultParagraphFont"/>
    <w:uiPriority w:val="99"/>
    <w:semiHidden/>
    <w:unhideWhenUsed/>
    <w:rsid w:val="00120934"/>
    <w:rPr>
      <w:vertAlign w:val="superscript"/>
    </w:rPr>
  </w:style>
  <w:style w:type="character" w:styleId="Hyperlink">
    <w:name w:val="Hyperlink"/>
    <w:basedOn w:val="DefaultParagraphFont"/>
    <w:uiPriority w:val="99"/>
    <w:unhideWhenUsed/>
    <w:rsid w:val="00A32FFA"/>
    <w:rPr>
      <w:color w:val="467886" w:themeColor="hyperlink"/>
      <w:u w:val="single"/>
    </w:rPr>
  </w:style>
  <w:style w:type="character" w:styleId="UnresolvedMention">
    <w:name w:val="Unresolved Mention"/>
    <w:basedOn w:val="DefaultParagraphFont"/>
    <w:uiPriority w:val="99"/>
    <w:semiHidden/>
    <w:unhideWhenUsed/>
    <w:rsid w:val="00A32FFA"/>
    <w:rPr>
      <w:color w:val="605E5C"/>
      <w:shd w:val="clear" w:color="auto" w:fill="E1DFDD"/>
    </w:rPr>
  </w:style>
  <w:style w:type="character" w:styleId="FollowedHyperlink">
    <w:name w:val="FollowedHyperlink"/>
    <w:basedOn w:val="DefaultParagraphFont"/>
    <w:uiPriority w:val="99"/>
    <w:semiHidden/>
    <w:unhideWhenUsed/>
    <w:rsid w:val="00A32FFA"/>
    <w:rPr>
      <w:color w:val="96607D" w:themeColor="followedHyperlink"/>
      <w:u w:val="single"/>
    </w:rPr>
  </w:style>
  <w:style w:type="paragraph" w:styleId="HTMLPreformatted">
    <w:name w:val="HTML Preformatted"/>
    <w:basedOn w:val="Normal"/>
    <w:link w:val="HTMLPreformattedChar"/>
    <w:uiPriority w:val="99"/>
    <w:semiHidden/>
    <w:unhideWhenUsed/>
    <w:rsid w:val="00A32FF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32FFA"/>
    <w:rPr>
      <w:rFonts w:ascii="Consolas" w:hAnsi="Consolas" w:cs="Consolas"/>
      <w:sz w:val="20"/>
      <w:szCs w:val="20"/>
    </w:rPr>
  </w:style>
  <w:style w:type="paragraph" w:styleId="Caption">
    <w:name w:val="caption"/>
    <w:basedOn w:val="Normal"/>
    <w:next w:val="Normal"/>
    <w:uiPriority w:val="35"/>
    <w:unhideWhenUsed/>
    <w:qFormat/>
    <w:rsid w:val="006C547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567">
      <w:bodyDiv w:val="1"/>
      <w:marLeft w:val="0"/>
      <w:marRight w:val="0"/>
      <w:marTop w:val="0"/>
      <w:marBottom w:val="0"/>
      <w:divBdr>
        <w:top w:val="none" w:sz="0" w:space="0" w:color="auto"/>
        <w:left w:val="none" w:sz="0" w:space="0" w:color="auto"/>
        <w:bottom w:val="none" w:sz="0" w:space="0" w:color="auto"/>
        <w:right w:val="none" w:sz="0" w:space="0" w:color="auto"/>
      </w:divBdr>
      <w:divsChild>
        <w:div w:id="210725699">
          <w:marLeft w:val="0"/>
          <w:marRight w:val="0"/>
          <w:marTop w:val="0"/>
          <w:marBottom w:val="0"/>
          <w:divBdr>
            <w:top w:val="none" w:sz="0" w:space="0" w:color="auto"/>
            <w:left w:val="none" w:sz="0" w:space="0" w:color="auto"/>
            <w:bottom w:val="none" w:sz="0" w:space="0" w:color="auto"/>
            <w:right w:val="none" w:sz="0" w:space="0" w:color="auto"/>
          </w:divBdr>
          <w:divsChild>
            <w:div w:id="2115050925">
              <w:marLeft w:val="0"/>
              <w:marRight w:val="0"/>
              <w:marTop w:val="0"/>
              <w:marBottom w:val="0"/>
              <w:divBdr>
                <w:top w:val="none" w:sz="0" w:space="0" w:color="auto"/>
                <w:left w:val="none" w:sz="0" w:space="0" w:color="auto"/>
                <w:bottom w:val="none" w:sz="0" w:space="0" w:color="auto"/>
                <w:right w:val="none" w:sz="0" w:space="0" w:color="auto"/>
              </w:divBdr>
              <w:divsChild>
                <w:div w:id="1968774853">
                  <w:marLeft w:val="0"/>
                  <w:marRight w:val="0"/>
                  <w:marTop w:val="0"/>
                  <w:marBottom w:val="0"/>
                  <w:divBdr>
                    <w:top w:val="none" w:sz="0" w:space="0" w:color="auto"/>
                    <w:left w:val="none" w:sz="0" w:space="0" w:color="auto"/>
                    <w:bottom w:val="none" w:sz="0" w:space="0" w:color="auto"/>
                    <w:right w:val="none" w:sz="0" w:space="0" w:color="auto"/>
                  </w:divBdr>
                  <w:divsChild>
                    <w:div w:id="135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5388">
      <w:bodyDiv w:val="1"/>
      <w:marLeft w:val="0"/>
      <w:marRight w:val="0"/>
      <w:marTop w:val="0"/>
      <w:marBottom w:val="0"/>
      <w:divBdr>
        <w:top w:val="none" w:sz="0" w:space="0" w:color="auto"/>
        <w:left w:val="none" w:sz="0" w:space="0" w:color="auto"/>
        <w:bottom w:val="none" w:sz="0" w:space="0" w:color="auto"/>
        <w:right w:val="none" w:sz="0" w:space="0" w:color="auto"/>
      </w:divBdr>
    </w:div>
    <w:div w:id="179126875">
      <w:bodyDiv w:val="1"/>
      <w:marLeft w:val="0"/>
      <w:marRight w:val="0"/>
      <w:marTop w:val="0"/>
      <w:marBottom w:val="0"/>
      <w:divBdr>
        <w:top w:val="none" w:sz="0" w:space="0" w:color="auto"/>
        <w:left w:val="none" w:sz="0" w:space="0" w:color="auto"/>
        <w:bottom w:val="none" w:sz="0" w:space="0" w:color="auto"/>
        <w:right w:val="none" w:sz="0" w:space="0" w:color="auto"/>
      </w:divBdr>
      <w:divsChild>
        <w:div w:id="1306743877">
          <w:marLeft w:val="0"/>
          <w:marRight w:val="0"/>
          <w:marTop w:val="0"/>
          <w:marBottom w:val="0"/>
          <w:divBdr>
            <w:top w:val="none" w:sz="0" w:space="0" w:color="auto"/>
            <w:left w:val="none" w:sz="0" w:space="0" w:color="auto"/>
            <w:bottom w:val="none" w:sz="0" w:space="0" w:color="auto"/>
            <w:right w:val="none" w:sz="0" w:space="0" w:color="auto"/>
          </w:divBdr>
          <w:divsChild>
            <w:div w:id="1749888792">
              <w:marLeft w:val="0"/>
              <w:marRight w:val="0"/>
              <w:marTop w:val="0"/>
              <w:marBottom w:val="0"/>
              <w:divBdr>
                <w:top w:val="none" w:sz="0" w:space="0" w:color="auto"/>
                <w:left w:val="none" w:sz="0" w:space="0" w:color="auto"/>
                <w:bottom w:val="none" w:sz="0" w:space="0" w:color="auto"/>
                <w:right w:val="none" w:sz="0" w:space="0" w:color="auto"/>
              </w:divBdr>
              <w:divsChild>
                <w:div w:id="320500500">
                  <w:marLeft w:val="0"/>
                  <w:marRight w:val="0"/>
                  <w:marTop w:val="0"/>
                  <w:marBottom w:val="0"/>
                  <w:divBdr>
                    <w:top w:val="none" w:sz="0" w:space="0" w:color="auto"/>
                    <w:left w:val="none" w:sz="0" w:space="0" w:color="auto"/>
                    <w:bottom w:val="none" w:sz="0" w:space="0" w:color="auto"/>
                    <w:right w:val="none" w:sz="0" w:space="0" w:color="auto"/>
                  </w:divBdr>
                  <w:divsChild>
                    <w:div w:id="968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608">
      <w:bodyDiv w:val="1"/>
      <w:marLeft w:val="0"/>
      <w:marRight w:val="0"/>
      <w:marTop w:val="0"/>
      <w:marBottom w:val="0"/>
      <w:divBdr>
        <w:top w:val="none" w:sz="0" w:space="0" w:color="auto"/>
        <w:left w:val="none" w:sz="0" w:space="0" w:color="auto"/>
        <w:bottom w:val="none" w:sz="0" w:space="0" w:color="auto"/>
        <w:right w:val="none" w:sz="0" w:space="0" w:color="auto"/>
      </w:divBdr>
      <w:divsChild>
        <w:div w:id="507257075">
          <w:marLeft w:val="0"/>
          <w:marRight w:val="0"/>
          <w:marTop w:val="0"/>
          <w:marBottom w:val="0"/>
          <w:divBdr>
            <w:top w:val="none" w:sz="0" w:space="0" w:color="auto"/>
            <w:left w:val="none" w:sz="0" w:space="0" w:color="auto"/>
            <w:bottom w:val="none" w:sz="0" w:space="0" w:color="auto"/>
            <w:right w:val="none" w:sz="0" w:space="0" w:color="auto"/>
          </w:divBdr>
          <w:divsChild>
            <w:div w:id="1518540709">
              <w:marLeft w:val="0"/>
              <w:marRight w:val="0"/>
              <w:marTop w:val="0"/>
              <w:marBottom w:val="0"/>
              <w:divBdr>
                <w:top w:val="none" w:sz="0" w:space="0" w:color="auto"/>
                <w:left w:val="none" w:sz="0" w:space="0" w:color="auto"/>
                <w:bottom w:val="none" w:sz="0" w:space="0" w:color="auto"/>
                <w:right w:val="none" w:sz="0" w:space="0" w:color="auto"/>
              </w:divBdr>
              <w:divsChild>
                <w:div w:id="6919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2711">
      <w:bodyDiv w:val="1"/>
      <w:marLeft w:val="0"/>
      <w:marRight w:val="0"/>
      <w:marTop w:val="0"/>
      <w:marBottom w:val="0"/>
      <w:divBdr>
        <w:top w:val="none" w:sz="0" w:space="0" w:color="auto"/>
        <w:left w:val="none" w:sz="0" w:space="0" w:color="auto"/>
        <w:bottom w:val="none" w:sz="0" w:space="0" w:color="auto"/>
        <w:right w:val="none" w:sz="0" w:space="0" w:color="auto"/>
      </w:divBdr>
      <w:divsChild>
        <w:div w:id="467010881">
          <w:marLeft w:val="0"/>
          <w:marRight w:val="0"/>
          <w:marTop w:val="0"/>
          <w:marBottom w:val="0"/>
          <w:divBdr>
            <w:top w:val="none" w:sz="0" w:space="0" w:color="auto"/>
            <w:left w:val="none" w:sz="0" w:space="0" w:color="auto"/>
            <w:bottom w:val="none" w:sz="0" w:space="0" w:color="auto"/>
            <w:right w:val="none" w:sz="0" w:space="0" w:color="auto"/>
          </w:divBdr>
          <w:divsChild>
            <w:div w:id="1986543608">
              <w:marLeft w:val="0"/>
              <w:marRight w:val="0"/>
              <w:marTop w:val="0"/>
              <w:marBottom w:val="0"/>
              <w:divBdr>
                <w:top w:val="none" w:sz="0" w:space="0" w:color="auto"/>
                <w:left w:val="none" w:sz="0" w:space="0" w:color="auto"/>
                <w:bottom w:val="none" w:sz="0" w:space="0" w:color="auto"/>
                <w:right w:val="none" w:sz="0" w:space="0" w:color="auto"/>
              </w:divBdr>
              <w:divsChild>
                <w:div w:id="1778331868">
                  <w:marLeft w:val="0"/>
                  <w:marRight w:val="0"/>
                  <w:marTop w:val="0"/>
                  <w:marBottom w:val="0"/>
                  <w:divBdr>
                    <w:top w:val="none" w:sz="0" w:space="0" w:color="auto"/>
                    <w:left w:val="none" w:sz="0" w:space="0" w:color="auto"/>
                    <w:bottom w:val="none" w:sz="0" w:space="0" w:color="auto"/>
                    <w:right w:val="none" w:sz="0" w:space="0" w:color="auto"/>
                  </w:divBdr>
                  <w:divsChild>
                    <w:div w:id="207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2130">
      <w:bodyDiv w:val="1"/>
      <w:marLeft w:val="0"/>
      <w:marRight w:val="0"/>
      <w:marTop w:val="0"/>
      <w:marBottom w:val="0"/>
      <w:divBdr>
        <w:top w:val="none" w:sz="0" w:space="0" w:color="auto"/>
        <w:left w:val="none" w:sz="0" w:space="0" w:color="auto"/>
        <w:bottom w:val="none" w:sz="0" w:space="0" w:color="auto"/>
        <w:right w:val="none" w:sz="0" w:space="0" w:color="auto"/>
      </w:divBdr>
    </w:div>
    <w:div w:id="271130795">
      <w:bodyDiv w:val="1"/>
      <w:marLeft w:val="0"/>
      <w:marRight w:val="0"/>
      <w:marTop w:val="0"/>
      <w:marBottom w:val="0"/>
      <w:divBdr>
        <w:top w:val="none" w:sz="0" w:space="0" w:color="auto"/>
        <w:left w:val="none" w:sz="0" w:space="0" w:color="auto"/>
        <w:bottom w:val="none" w:sz="0" w:space="0" w:color="auto"/>
        <w:right w:val="none" w:sz="0" w:space="0" w:color="auto"/>
      </w:divBdr>
      <w:divsChild>
        <w:div w:id="631130965">
          <w:marLeft w:val="0"/>
          <w:marRight w:val="0"/>
          <w:marTop w:val="0"/>
          <w:marBottom w:val="0"/>
          <w:divBdr>
            <w:top w:val="none" w:sz="0" w:space="0" w:color="auto"/>
            <w:left w:val="none" w:sz="0" w:space="0" w:color="auto"/>
            <w:bottom w:val="none" w:sz="0" w:space="0" w:color="auto"/>
            <w:right w:val="none" w:sz="0" w:space="0" w:color="auto"/>
          </w:divBdr>
          <w:divsChild>
            <w:div w:id="1334845536">
              <w:marLeft w:val="0"/>
              <w:marRight w:val="0"/>
              <w:marTop w:val="0"/>
              <w:marBottom w:val="0"/>
              <w:divBdr>
                <w:top w:val="none" w:sz="0" w:space="0" w:color="auto"/>
                <w:left w:val="none" w:sz="0" w:space="0" w:color="auto"/>
                <w:bottom w:val="none" w:sz="0" w:space="0" w:color="auto"/>
                <w:right w:val="none" w:sz="0" w:space="0" w:color="auto"/>
              </w:divBdr>
              <w:divsChild>
                <w:div w:id="1515653560">
                  <w:marLeft w:val="0"/>
                  <w:marRight w:val="0"/>
                  <w:marTop w:val="0"/>
                  <w:marBottom w:val="0"/>
                  <w:divBdr>
                    <w:top w:val="none" w:sz="0" w:space="0" w:color="auto"/>
                    <w:left w:val="none" w:sz="0" w:space="0" w:color="auto"/>
                    <w:bottom w:val="none" w:sz="0" w:space="0" w:color="auto"/>
                    <w:right w:val="none" w:sz="0" w:space="0" w:color="auto"/>
                  </w:divBdr>
                  <w:divsChild>
                    <w:div w:id="1467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11745">
      <w:bodyDiv w:val="1"/>
      <w:marLeft w:val="0"/>
      <w:marRight w:val="0"/>
      <w:marTop w:val="0"/>
      <w:marBottom w:val="0"/>
      <w:divBdr>
        <w:top w:val="none" w:sz="0" w:space="0" w:color="auto"/>
        <w:left w:val="none" w:sz="0" w:space="0" w:color="auto"/>
        <w:bottom w:val="none" w:sz="0" w:space="0" w:color="auto"/>
        <w:right w:val="none" w:sz="0" w:space="0" w:color="auto"/>
      </w:divBdr>
      <w:divsChild>
        <w:div w:id="1004747750">
          <w:marLeft w:val="0"/>
          <w:marRight w:val="0"/>
          <w:marTop w:val="0"/>
          <w:marBottom w:val="0"/>
          <w:divBdr>
            <w:top w:val="none" w:sz="0" w:space="0" w:color="auto"/>
            <w:left w:val="none" w:sz="0" w:space="0" w:color="auto"/>
            <w:bottom w:val="none" w:sz="0" w:space="0" w:color="auto"/>
            <w:right w:val="none" w:sz="0" w:space="0" w:color="auto"/>
          </w:divBdr>
          <w:divsChild>
            <w:div w:id="1803226888">
              <w:marLeft w:val="0"/>
              <w:marRight w:val="0"/>
              <w:marTop w:val="0"/>
              <w:marBottom w:val="0"/>
              <w:divBdr>
                <w:top w:val="none" w:sz="0" w:space="0" w:color="auto"/>
                <w:left w:val="none" w:sz="0" w:space="0" w:color="auto"/>
                <w:bottom w:val="none" w:sz="0" w:space="0" w:color="auto"/>
                <w:right w:val="none" w:sz="0" w:space="0" w:color="auto"/>
              </w:divBdr>
              <w:divsChild>
                <w:div w:id="1943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80314">
      <w:bodyDiv w:val="1"/>
      <w:marLeft w:val="0"/>
      <w:marRight w:val="0"/>
      <w:marTop w:val="0"/>
      <w:marBottom w:val="0"/>
      <w:divBdr>
        <w:top w:val="none" w:sz="0" w:space="0" w:color="auto"/>
        <w:left w:val="none" w:sz="0" w:space="0" w:color="auto"/>
        <w:bottom w:val="none" w:sz="0" w:space="0" w:color="auto"/>
        <w:right w:val="none" w:sz="0" w:space="0" w:color="auto"/>
      </w:divBdr>
      <w:divsChild>
        <w:div w:id="557520548">
          <w:marLeft w:val="0"/>
          <w:marRight w:val="0"/>
          <w:marTop w:val="0"/>
          <w:marBottom w:val="0"/>
          <w:divBdr>
            <w:top w:val="none" w:sz="0" w:space="0" w:color="auto"/>
            <w:left w:val="none" w:sz="0" w:space="0" w:color="auto"/>
            <w:bottom w:val="none" w:sz="0" w:space="0" w:color="auto"/>
            <w:right w:val="none" w:sz="0" w:space="0" w:color="auto"/>
          </w:divBdr>
          <w:divsChild>
            <w:div w:id="492532705">
              <w:marLeft w:val="0"/>
              <w:marRight w:val="0"/>
              <w:marTop w:val="0"/>
              <w:marBottom w:val="0"/>
              <w:divBdr>
                <w:top w:val="none" w:sz="0" w:space="0" w:color="auto"/>
                <w:left w:val="none" w:sz="0" w:space="0" w:color="auto"/>
                <w:bottom w:val="none" w:sz="0" w:space="0" w:color="auto"/>
                <w:right w:val="none" w:sz="0" w:space="0" w:color="auto"/>
              </w:divBdr>
              <w:divsChild>
                <w:div w:id="1983194505">
                  <w:marLeft w:val="0"/>
                  <w:marRight w:val="0"/>
                  <w:marTop w:val="0"/>
                  <w:marBottom w:val="0"/>
                  <w:divBdr>
                    <w:top w:val="none" w:sz="0" w:space="0" w:color="auto"/>
                    <w:left w:val="none" w:sz="0" w:space="0" w:color="auto"/>
                    <w:bottom w:val="none" w:sz="0" w:space="0" w:color="auto"/>
                    <w:right w:val="none" w:sz="0" w:space="0" w:color="auto"/>
                  </w:divBdr>
                  <w:divsChild>
                    <w:div w:id="19367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10037">
      <w:bodyDiv w:val="1"/>
      <w:marLeft w:val="0"/>
      <w:marRight w:val="0"/>
      <w:marTop w:val="0"/>
      <w:marBottom w:val="0"/>
      <w:divBdr>
        <w:top w:val="none" w:sz="0" w:space="0" w:color="auto"/>
        <w:left w:val="none" w:sz="0" w:space="0" w:color="auto"/>
        <w:bottom w:val="none" w:sz="0" w:space="0" w:color="auto"/>
        <w:right w:val="none" w:sz="0" w:space="0" w:color="auto"/>
      </w:divBdr>
      <w:divsChild>
        <w:div w:id="1132751840">
          <w:marLeft w:val="0"/>
          <w:marRight w:val="0"/>
          <w:marTop w:val="0"/>
          <w:marBottom w:val="0"/>
          <w:divBdr>
            <w:top w:val="none" w:sz="0" w:space="0" w:color="auto"/>
            <w:left w:val="none" w:sz="0" w:space="0" w:color="auto"/>
            <w:bottom w:val="none" w:sz="0" w:space="0" w:color="auto"/>
            <w:right w:val="none" w:sz="0" w:space="0" w:color="auto"/>
          </w:divBdr>
          <w:divsChild>
            <w:div w:id="792872096">
              <w:marLeft w:val="0"/>
              <w:marRight w:val="0"/>
              <w:marTop w:val="0"/>
              <w:marBottom w:val="0"/>
              <w:divBdr>
                <w:top w:val="none" w:sz="0" w:space="0" w:color="auto"/>
                <w:left w:val="none" w:sz="0" w:space="0" w:color="auto"/>
                <w:bottom w:val="none" w:sz="0" w:space="0" w:color="auto"/>
                <w:right w:val="none" w:sz="0" w:space="0" w:color="auto"/>
              </w:divBdr>
              <w:divsChild>
                <w:div w:id="1311134273">
                  <w:marLeft w:val="0"/>
                  <w:marRight w:val="0"/>
                  <w:marTop w:val="0"/>
                  <w:marBottom w:val="0"/>
                  <w:divBdr>
                    <w:top w:val="none" w:sz="0" w:space="0" w:color="auto"/>
                    <w:left w:val="none" w:sz="0" w:space="0" w:color="auto"/>
                    <w:bottom w:val="none" w:sz="0" w:space="0" w:color="auto"/>
                    <w:right w:val="none" w:sz="0" w:space="0" w:color="auto"/>
                  </w:divBdr>
                  <w:divsChild>
                    <w:div w:id="90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1425">
      <w:bodyDiv w:val="1"/>
      <w:marLeft w:val="0"/>
      <w:marRight w:val="0"/>
      <w:marTop w:val="0"/>
      <w:marBottom w:val="0"/>
      <w:divBdr>
        <w:top w:val="none" w:sz="0" w:space="0" w:color="auto"/>
        <w:left w:val="none" w:sz="0" w:space="0" w:color="auto"/>
        <w:bottom w:val="none" w:sz="0" w:space="0" w:color="auto"/>
        <w:right w:val="none" w:sz="0" w:space="0" w:color="auto"/>
      </w:divBdr>
      <w:divsChild>
        <w:div w:id="963652555">
          <w:marLeft w:val="0"/>
          <w:marRight w:val="0"/>
          <w:marTop w:val="0"/>
          <w:marBottom w:val="0"/>
          <w:divBdr>
            <w:top w:val="none" w:sz="0" w:space="0" w:color="auto"/>
            <w:left w:val="none" w:sz="0" w:space="0" w:color="auto"/>
            <w:bottom w:val="none" w:sz="0" w:space="0" w:color="auto"/>
            <w:right w:val="none" w:sz="0" w:space="0" w:color="auto"/>
          </w:divBdr>
          <w:divsChild>
            <w:div w:id="716706365">
              <w:marLeft w:val="0"/>
              <w:marRight w:val="0"/>
              <w:marTop w:val="0"/>
              <w:marBottom w:val="0"/>
              <w:divBdr>
                <w:top w:val="none" w:sz="0" w:space="0" w:color="auto"/>
                <w:left w:val="none" w:sz="0" w:space="0" w:color="auto"/>
                <w:bottom w:val="none" w:sz="0" w:space="0" w:color="auto"/>
                <w:right w:val="none" w:sz="0" w:space="0" w:color="auto"/>
              </w:divBdr>
              <w:divsChild>
                <w:div w:id="20056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4385">
      <w:bodyDiv w:val="1"/>
      <w:marLeft w:val="0"/>
      <w:marRight w:val="0"/>
      <w:marTop w:val="0"/>
      <w:marBottom w:val="0"/>
      <w:divBdr>
        <w:top w:val="none" w:sz="0" w:space="0" w:color="auto"/>
        <w:left w:val="none" w:sz="0" w:space="0" w:color="auto"/>
        <w:bottom w:val="none" w:sz="0" w:space="0" w:color="auto"/>
        <w:right w:val="none" w:sz="0" w:space="0" w:color="auto"/>
      </w:divBdr>
      <w:divsChild>
        <w:div w:id="84111111">
          <w:marLeft w:val="0"/>
          <w:marRight w:val="0"/>
          <w:marTop w:val="0"/>
          <w:marBottom w:val="0"/>
          <w:divBdr>
            <w:top w:val="none" w:sz="0" w:space="0" w:color="auto"/>
            <w:left w:val="none" w:sz="0" w:space="0" w:color="auto"/>
            <w:bottom w:val="none" w:sz="0" w:space="0" w:color="auto"/>
            <w:right w:val="none" w:sz="0" w:space="0" w:color="auto"/>
          </w:divBdr>
          <w:divsChild>
            <w:div w:id="2001501760">
              <w:marLeft w:val="0"/>
              <w:marRight w:val="0"/>
              <w:marTop w:val="0"/>
              <w:marBottom w:val="0"/>
              <w:divBdr>
                <w:top w:val="none" w:sz="0" w:space="0" w:color="auto"/>
                <w:left w:val="none" w:sz="0" w:space="0" w:color="auto"/>
                <w:bottom w:val="none" w:sz="0" w:space="0" w:color="auto"/>
                <w:right w:val="none" w:sz="0" w:space="0" w:color="auto"/>
              </w:divBdr>
              <w:divsChild>
                <w:div w:id="1122187204">
                  <w:marLeft w:val="0"/>
                  <w:marRight w:val="0"/>
                  <w:marTop w:val="0"/>
                  <w:marBottom w:val="0"/>
                  <w:divBdr>
                    <w:top w:val="none" w:sz="0" w:space="0" w:color="auto"/>
                    <w:left w:val="none" w:sz="0" w:space="0" w:color="auto"/>
                    <w:bottom w:val="none" w:sz="0" w:space="0" w:color="auto"/>
                    <w:right w:val="none" w:sz="0" w:space="0" w:color="auto"/>
                  </w:divBdr>
                  <w:divsChild>
                    <w:div w:id="11968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0790">
      <w:bodyDiv w:val="1"/>
      <w:marLeft w:val="0"/>
      <w:marRight w:val="0"/>
      <w:marTop w:val="0"/>
      <w:marBottom w:val="0"/>
      <w:divBdr>
        <w:top w:val="none" w:sz="0" w:space="0" w:color="auto"/>
        <w:left w:val="none" w:sz="0" w:space="0" w:color="auto"/>
        <w:bottom w:val="none" w:sz="0" w:space="0" w:color="auto"/>
        <w:right w:val="none" w:sz="0" w:space="0" w:color="auto"/>
      </w:divBdr>
      <w:divsChild>
        <w:div w:id="1576622220">
          <w:marLeft w:val="0"/>
          <w:marRight w:val="0"/>
          <w:marTop w:val="0"/>
          <w:marBottom w:val="0"/>
          <w:divBdr>
            <w:top w:val="none" w:sz="0" w:space="0" w:color="auto"/>
            <w:left w:val="none" w:sz="0" w:space="0" w:color="auto"/>
            <w:bottom w:val="none" w:sz="0" w:space="0" w:color="auto"/>
            <w:right w:val="none" w:sz="0" w:space="0" w:color="auto"/>
          </w:divBdr>
          <w:divsChild>
            <w:div w:id="1484395697">
              <w:marLeft w:val="0"/>
              <w:marRight w:val="0"/>
              <w:marTop w:val="0"/>
              <w:marBottom w:val="0"/>
              <w:divBdr>
                <w:top w:val="none" w:sz="0" w:space="0" w:color="auto"/>
                <w:left w:val="none" w:sz="0" w:space="0" w:color="auto"/>
                <w:bottom w:val="none" w:sz="0" w:space="0" w:color="auto"/>
                <w:right w:val="none" w:sz="0" w:space="0" w:color="auto"/>
              </w:divBdr>
              <w:divsChild>
                <w:div w:id="1344240447">
                  <w:marLeft w:val="0"/>
                  <w:marRight w:val="0"/>
                  <w:marTop w:val="0"/>
                  <w:marBottom w:val="0"/>
                  <w:divBdr>
                    <w:top w:val="none" w:sz="0" w:space="0" w:color="auto"/>
                    <w:left w:val="none" w:sz="0" w:space="0" w:color="auto"/>
                    <w:bottom w:val="none" w:sz="0" w:space="0" w:color="auto"/>
                    <w:right w:val="none" w:sz="0" w:space="0" w:color="auto"/>
                  </w:divBdr>
                  <w:divsChild>
                    <w:div w:id="1577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7221">
      <w:bodyDiv w:val="1"/>
      <w:marLeft w:val="0"/>
      <w:marRight w:val="0"/>
      <w:marTop w:val="0"/>
      <w:marBottom w:val="0"/>
      <w:divBdr>
        <w:top w:val="none" w:sz="0" w:space="0" w:color="auto"/>
        <w:left w:val="none" w:sz="0" w:space="0" w:color="auto"/>
        <w:bottom w:val="none" w:sz="0" w:space="0" w:color="auto"/>
        <w:right w:val="none" w:sz="0" w:space="0" w:color="auto"/>
      </w:divBdr>
    </w:div>
    <w:div w:id="430509566">
      <w:bodyDiv w:val="1"/>
      <w:marLeft w:val="0"/>
      <w:marRight w:val="0"/>
      <w:marTop w:val="0"/>
      <w:marBottom w:val="0"/>
      <w:divBdr>
        <w:top w:val="none" w:sz="0" w:space="0" w:color="auto"/>
        <w:left w:val="none" w:sz="0" w:space="0" w:color="auto"/>
        <w:bottom w:val="none" w:sz="0" w:space="0" w:color="auto"/>
        <w:right w:val="none" w:sz="0" w:space="0" w:color="auto"/>
      </w:divBdr>
      <w:divsChild>
        <w:div w:id="424037549">
          <w:marLeft w:val="0"/>
          <w:marRight w:val="0"/>
          <w:marTop w:val="0"/>
          <w:marBottom w:val="0"/>
          <w:divBdr>
            <w:top w:val="none" w:sz="0" w:space="0" w:color="auto"/>
            <w:left w:val="none" w:sz="0" w:space="0" w:color="auto"/>
            <w:bottom w:val="none" w:sz="0" w:space="0" w:color="auto"/>
            <w:right w:val="none" w:sz="0" w:space="0" w:color="auto"/>
          </w:divBdr>
          <w:divsChild>
            <w:div w:id="957107800">
              <w:marLeft w:val="0"/>
              <w:marRight w:val="0"/>
              <w:marTop w:val="0"/>
              <w:marBottom w:val="0"/>
              <w:divBdr>
                <w:top w:val="none" w:sz="0" w:space="0" w:color="auto"/>
                <w:left w:val="none" w:sz="0" w:space="0" w:color="auto"/>
                <w:bottom w:val="none" w:sz="0" w:space="0" w:color="auto"/>
                <w:right w:val="none" w:sz="0" w:space="0" w:color="auto"/>
              </w:divBdr>
              <w:divsChild>
                <w:div w:id="2988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6078">
      <w:bodyDiv w:val="1"/>
      <w:marLeft w:val="0"/>
      <w:marRight w:val="0"/>
      <w:marTop w:val="0"/>
      <w:marBottom w:val="0"/>
      <w:divBdr>
        <w:top w:val="none" w:sz="0" w:space="0" w:color="auto"/>
        <w:left w:val="none" w:sz="0" w:space="0" w:color="auto"/>
        <w:bottom w:val="none" w:sz="0" w:space="0" w:color="auto"/>
        <w:right w:val="none" w:sz="0" w:space="0" w:color="auto"/>
      </w:divBdr>
      <w:divsChild>
        <w:div w:id="1727489379">
          <w:marLeft w:val="0"/>
          <w:marRight w:val="0"/>
          <w:marTop w:val="0"/>
          <w:marBottom w:val="0"/>
          <w:divBdr>
            <w:top w:val="none" w:sz="0" w:space="0" w:color="auto"/>
            <w:left w:val="none" w:sz="0" w:space="0" w:color="auto"/>
            <w:bottom w:val="none" w:sz="0" w:space="0" w:color="auto"/>
            <w:right w:val="none" w:sz="0" w:space="0" w:color="auto"/>
          </w:divBdr>
          <w:divsChild>
            <w:div w:id="829716454">
              <w:marLeft w:val="0"/>
              <w:marRight w:val="0"/>
              <w:marTop w:val="0"/>
              <w:marBottom w:val="0"/>
              <w:divBdr>
                <w:top w:val="none" w:sz="0" w:space="0" w:color="auto"/>
                <w:left w:val="none" w:sz="0" w:space="0" w:color="auto"/>
                <w:bottom w:val="none" w:sz="0" w:space="0" w:color="auto"/>
                <w:right w:val="none" w:sz="0" w:space="0" w:color="auto"/>
              </w:divBdr>
              <w:divsChild>
                <w:div w:id="55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3333">
      <w:bodyDiv w:val="1"/>
      <w:marLeft w:val="0"/>
      <w:marRight w:val="0"/>
      <w:marTop w:val="0"/>
      <w:marBottom w:val="0"/>
      <w:divBdr>
        <w:top w:val="none" w:sz="0" w:space="0" w:color="auto"/>
        <w:left w:val="none" w:sz="0" w:space="0" w:color="auto"/>
        <w:bottom w:val="none" w:sz="0" w:space="0" w:color="auto"/>
        <w:right w:val="none" w:sz="0" w:space="0" w:color="auto"/>
      </w:divBdr>
      <w:divsChild>
        <w:div w:id="733621385">
          <w:marLeft w:val="0"/>
          <w:marRight w:val="0"/>
          <w:marTop w:val="0"/>
          <w:marBottom w:val="0"/>
          <w:divBdr>
            <w:top w:val="none" w:sz="0" w:space="0" w:color="auto"/>
            <w:left w:val="none" w:sz="0" w:space="0" w:color="auto"/>
            <w:bottom w:val="none" w:sz="0" w:space="0" w:color="auto"/>
            <w:right w:val="none" w:sz="0" w:space="0" w:color="auto"/>
          </w:divBdr>
          <w:divsChild>
            <w:div w:id="628127276">
              <w:marLeft w:val="0"/>
              <w:marRight w:val="0"/>
              <w:marTop w:val="0"/>
              <w:marBottom w:val="0"/>
              <w:divBdr>
                <w:top w:val="none" w:sz="0" w:space="0" w:color="auto"/>
                <w:left w:val="none" w:sz="0" w:space="0" w:color="auto"/>
                <w:bottom w:val="none" w:sz="0" w:space="0" w:color="auto"/>
                <w:right w:val="none" w:sz="0" w:space="0" w:color="auto"/>
              </w:divBdr>
              <w:divsChild>
                <w:div w:id="63912411">
                  <w:marLeft w:val="0"/>
                  <w:marRight w:val="0"/>
                  <w:marTop w:val="0"/>
                  <w:marBottom w:val="0"/>
                  <w:divBdr>
                    <w:top w:val="none" w:sz="0" w:space="0" w:color="auto"/>
                    <w:left w:val="none" w:sz="0" w:space="0" w:color="auto"/>
                    <w:bottom w:val="none" w:sz="0" w:space="0" w:color="auto"/>
                    <w:right w:val="none" w:sz="0" w:space="0" w:color="auto"/>
                  </w:divBdr>
                  <w:divsChild>
                    <w:div w:id="21394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6729">
      <w:bodyDiv w:val="1"/>
      <w:marLeft w:val="0"/>
      <w:marRight w:val="0"/>
      <w:marTop w:val="0"/>
      <w:marBottom w:val="0"/>
      <w:divBdr>
        <w:top w:val="none" w:sz="0" w:space="0" w:color="auto"/>
        <w:left w:val="none" w:sz="0" w:space="0" w:color="auto"/>
        <w:bottom w:val="none" w:sz="0" w:space="0" w:color="auto"/>
        <w:right w:val="none" w:sz="0" w:space="0" w:color="auto"/>
      </w:divBdr>
    </w:div>
    <w:div w:id="568998193">
      <w:bodyDiv w:val="1"/>
      <w:marLeft w:val="0"/>
      <w:marRight w:val="0"/>
      <w:marTop w:val="0"/>
      <w:marBottom w:val="0"/>
      <w:divBdr>
        <w:top w:val="none" w:sz="0" w:space="0" w:color="auto"/>
        <w:left w:val="none" w:sz="0" w:space="0" w:color="auto"/>
        <w:bottom w:val="none" w:sz="0" w:space="0" w:color="auto"/>
        <w:right w:val="none" w:sz="0" w:space="0" w:color="auto"/>
      </w:divBdr>
      <w:divsChild>
        <w:div w:id="721710642">
          <w:marLeft w:val="0"/>
          <w:marRight w:val="0"/>
          <w:marTop w:val="0"/>
          <w:marBottom w:val="0"/>
          <w:divBdr>
            <w:top w:val="none" w:sz="0" w:space="0" w:color="auto"/>
            <w:left w:val="none" w:sz="0" w:space="0" w:color="auto"/>
            <w:bottom w:val="none" w:sz="0" w:space="0" w:color="auto"/>
            <w:right w:val="none" w:sz="0" w:space="0" w:color="auto"/>
          </w:divBdr>
          <w:divsChild>
            <w:div w:id="1928926220">
              <w:marLeft w:val="0"/>
              <w:marRight w:val="0"/>
              <w:marTop w:val="0"/>
              <w:marBottom w:val="0"/>
              <w:divBdr>
                <w:top w:val="none" w:sz="0" w:space="0" w:color="auto"/>
                <w:left w:val="none" w:sz="0" w:space="0" w:color="auto"/>
                <w:bottom w:val="none" w:sz="0" w:space="0" w:color="auto"/>
                <w:right w:val="none" w:sz="0" w:space="0" w:color="auto"/>
              </w:divBdr>
              <w:divsChild>
                <w:div w:id="1226843535">
                  <w:marLeft w:val="0"/>
                  <w:marRight w:val="0"/>
                  <w:marTop w:val="0"/>
                  <w:marBottom w:val="0"/>
                  <w:divBdr>
                    <w:top w:val="none" w:sz="0" w:space="0" w:color="auto"/>
                    <w:left w:val="none" w:sz="0" w:space="0" w:color="auto"/>
                    <w:bottom w:val="none" w:sz="0" w:space="0" w:color="auto"/>
                    <w:right w:val="none" w:sz="0" w:space="0" w:color="auto"/>
                  </w:divBdr>
                  <w:divsChild>
                    <w:div w:id="656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9732">
      <w:bodyDiv w:val="1"/>
      <w:marLeft w:val="0"/>
      <w:marRight w:val="0"/>
      <w:marTop w:val="0"/>
      <w:marBottom w:val="0"/>
      <w:divBdr>
        <w:top w:val="none" w:sz="0" w:space="0" w:color="auto"/>
        <w:left w:val="none" w:sz="0" w:space="0" w:color="auto"/>
        <w:bottom w:val="none" w:sz="0" w:space="0" w:color="auto"/>
        <w:right w:val="none" w:sz="0" w:space="0" w:color="auto"/>
      </w:divBdr>
      <w:divsChild>
        <w:div w:id="212818024">
          <w:marLeft w:val="0"/>
          <w:marRight w:val="0"/>
          <w:marTop w:val="0"/>
          <w:marBottom w:val="0"/>
          <w:divBdr>
            <w:top w:val="none" w:sz="0" w:space="0" w:color="auto"/>
            <w:left w:val="none" w:sz="0" w:space="0" w:color="auto"/>
            <w:bottom w:val="none" w:sz="0" w:space="0" w:color="auto"/>
            <w:right w:val="none" w:sz="0" w:space="0" w:color="auto"/>
          </w:divBdr>
          <w:divsChild>
            <w:div w:id="1807041434">
              <w:marLeft w:val="0"/>
              <w:marRight w:val="0"/>
              <w:marTop w:val="0"/>
              <w:marBottom w:val="0"/>
              <w:divBdr>
                <w:top w:val="none" w:sz="0" w:space="0" w:color="auto"/>
                <w:left w:val="none" w:sz="0" w:space="0" w:color="auto"/>
                <w:bottom w:val="none" w:sz="0" w:space="0" w:color="auto"/>
                <w:right w:val="none" w:sz="0" w:space="0" w:color="auto"/>
              </w:divBdr>
              <w:divsChild>
                <w:div w:id="169175684">
                  <w:marLeft w:val="0"/>
                  <w:marRight w:val="0"/>
                  <w:marTop w:val="0"/>
                  <w:marBottom w:val="0"/>
                  <w:divBdr>
                    <w:top w:val="none" w:sz="0" w:space="0" w:color="auto"/>
                    <w:left w:val="none" w:sz="0" w:space="0" w:color="auto"/>
                    <w:bottom w:val="none" w:sz="0" w:space="0" w:color="auto"/>
                    <w:right w:val="none" w:sz="0" w:space="0" w:color="auto"/>
                  </w:divBdr>
                  <w:divsChild>
                    <w:div w:id="17592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0789">
      <w:bodyDiv w:val="1"/>
      <w:marLeft w:val="0"/>
      <w:marRight w:val="0"/>
      <w:marTop w:val="0"/>
      <w:marBottom w:val="0"/>
      <w:divBdr>
        <w:top w:val="none" w:sz="0" w:space="0" w:color="auto"/>
        <w:left w:val="none" w:sz="0" w:space="0" w:color="auto"/>
        <w:bottom w:val="none" w:sz="0" w:space="0" w:color="auto"/>
        <w:right w:val="none" w:sz="0" w:space="0" w:color="auto"/>
      </w:divBdr>
      <w:divsChild>
        <w:div w:id="1738674338">
          <w:marLeft w:val="0"/>
          <w:marRight w:val="0"/>
          <w:marTop w:val="0"/>
          <w:marBottom w:val="0"/>
          <w:divBdr>
            <w:top w:val="none" w:sz="0" w:space="0" w:color="auto"/>
            <w:left w:val="none" w:sz="0" w:space="0" w:color="auto"/>
            <w:bottom w:val="none" w:sz="0" w:space="0" w:color="auto"/>
            <w:right w:val="none" w:sz="0" w:space="0" w:color="auto"/>
          </w:divBdr>
          <w:divsChild>
            <w:div w:id="684211207">
              <w:marLeft w:val="0"/>
              <w:marRight w:val="0"/>
              <w:marTop w:val="0"/>
              <w:marBottom w:val="0"/>
              <w:divBdr>
                <w:top w:val="none" w:sz="0" w:space="0" w:color="auto"/>
                <w:left w:val="none" w:sz="0" w:space="0" w:color="auto"/>
                <w:bottom w:val="none" w:sz="0" w:space="0" w:color="auto"/>
                <w:right w:val="none" w:sz="0" w:space="0" w:color="auto"/>
              </w:divBdr>
              <w:divsChild>
                <w:div w:id="41488273">
                  <w:marLeft w:val="0"/>
                  <w:marRight w:val="0"/>
                  <w:marTop w:val="0"/>
                  <w:marBottom w:val="0"/>
                  <w:divBdr>
                    <w:top w:val="none" w:sz="0" w:space="0" w:color="auto"/>
                    <w:left w:val="none" w:sz="0" w:space="0" w:color="auto"/>
                    <w:bottom w:val="none" w:sz="0" w:space="0" w:color="auto"/>
                    <w:right w:val="none" w:sz="0" w:space="0" w:color="auto"/>
                  </w:divBdr>
                  <w:divsChild>
                    <w:div w:id="21283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1735">
      <w:bodyDiv w:val="1"/>
      <w:marLeft w:val="0"/>
      <w:marRight w:val="0"/>
      <w:marTop w:val="0"/>
      <w:marBottom w:val="0"/>
      <w:divBdr>
        <w:top w:val="none" w:sz="0" w:space="0" w:color="auto"/>
        <w:left w:val="none" w:sz="0" w:space="0" w:color="auto"/>
        <w:bottom w:val="none" w:sz="0" w:space="0" w:color="auto"/>
        <w:right w:val="none" w:sz="0" w:space="0" w:color="auto"/>
      </w:divBdr>
      <w:divsChild>
        <w:div w:id="1606302064">
          <w:marLeft w:val="0"/>
          <w:marRight w:val="0"/>
          <w:marTop w:val="0"/>
          <w:marBottom w:val="0"/>
          <w:divBdr>
            <w:top w:val="none" w:sz="0" w:space="0" w:color="auto"/>
            <w:left w:val="none" w:sz="0" w:space="0" w:color="auto"/>
            <w:bottom w:val="none" w:sz="0" w:space="0" w:color="auto"/>
            <w:right w:val="none" w:sz="0" w:space="0" w:color="auto"/>
          </w:divBdr>
          <w:divsChild>
            <w:div w:id="1440679118">
              <w:marLeft w:val="0"/>
              <w:marRight w:val="0"/>
              <w:marTop w:val="0"/>
              <w:marBottom w:val="0"/>
              <w:divBdr>
                <w:top w:val="none" w:sz="0" w:space="0" w:color="auto"/>
                <w:left w:val="none" w:sz="0" w:space="0" w:color="auto"/>
                <w:bottom w:val="none" w:sz="0" w:space="0" w:color="auto"/>
                <w:right w:val="none" w:sz="0" w:space="0" w:color="auto"/>
              </w:divBdr>
              <w:divsChild>
                <w:div w:id="7503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90509">
      <w:bodyDiv w:val="1"/>
      <w:marLeft w:val="0"/>
      <w:marRight w:val="0"/>
      <w:marTop w:val="0"/>
      <w:marBottom w:val="0"/>
      <w:divBdr>
        <w:top w:val="none" w:sz="0" w:space="0" w:color="auto"/>
        <w:left w:val="none" w:sz="0" w:space="0" w:color="auto"/>
        <w:bottom w:val="none" w:sz="0" w:space="0" w:color="auto"/>
        <w:right w:val="none" w:sz="0" w:space="0" w:color="auto"/>
      </w:divBdr>
      <w:divsChild>
        <w:div w:id="1969168307">
          <w:marLeft w:val="0"/>
          <w:marRight w:val="0"/>
          <w:marTop w:val="0"/>
          <w:marBottom w:val="0"/>
          <w:divBdr>
            <w:top w:val="none" w:sz="0" w:space="0" w:color="auto"/>
            <w:left w:val="none" w:sz="0" w:space="0" w:color="auto"/>
            <w:bottom w:val="none" w:sz="0" w:space="0" w:color="auto"/>
            <w:right w:val="none" w:sz="0" w:space="0" w:color="auto"/>
          </w:divBdr>
          <w:divsChild>
            <w:div w:id="2024239548">
              <w:marLeft w:val="0"/>
              <w:marRight w:val="0"/>
              <w:marTop w:val="0"/>
              <w:marBottom w:val="0"/>
              <w:divBdr>
                <w:top w:val="none" w:sz="0" w:space="0" w:color="auto"/>
                <w:left w:val="none" w:sz="0" w:space="0" w:color="auto"/>
                <w:bottom w:val="none" w:sz="0" w:space="0" w:color="auto"/>
                <w:right w:val="none" w:sz="0" w:space="0" w:color="auto"/>
              </w:divBdr>
              <w:divsChild>
                <w:div w:id="737895771">
                  <w:marLeft w:val="0"/>
                  <w:marRight w:val="0"/>
                  <w:marTop w:val="0"/>
                  <w:marBottom w:val="0"/>
                  <w:divBdr>
                    <w:top w:val="none" w:sz="0" w:space="0" w:color="auto"/>
                    <w:left w:val="none" w:sz="0" w:space="0" w:color="auto"/>
                    <w:bottom w:val="none" w:sz="0" w:space="0" w:color="auto"/>
                    <w:right w:val="none" w:sz="0" w:space="0" w:color="auto"/>
                  </w:divBdr>
                  <w:divsChild>
                    <w:div w:id="77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4685">
      <w:bodyDiv w:val="1"/>
      <w:marLeft w:val="0"/>
      <w:marRight w:val="0"/>
      <w:marTop w:val="0"/>
      <w:marBottom w:val="0"/>
      <w:divBdr>
        <w:top w:val="none" w:sz="0" w:space="0" w:color="auto"/>
        <w:left w:val="none" w:sz="0" w:space="0" w:color="auto"/>
        <w:bottom w:val="none" w:sz="0" w:space="0" w:color="auto"/>
        <w:right w:val="none" w:sz="0" w:space="0" w:color="auto"/>
      </w:divBdr>
      <w:divsChild>
        <w:div w:id="1421222682">
          <w:marLeft w:val="0"/>
          <w:marRight w:val="0"/>
          <w:marTop w:val="0"/>
          <w:marBottom w:val="0"/>
          <w:divBdr>
            <w:top w:val="none" w:sz="0" w:space="0" w:color="auto"/>
            <w:left w:val="none" w:sz="0" w:space="0" w:color="auto"/>
            <w:bottom w:val="none" w:sz="0" w:space="0" w:color="auto"/>
            <w:right w:val="none" w:sz="0" w:space="0" w:color="auto"/>
          </w:divBdr>
          <w:divsChild>
            <w:div w:id="494955139">
              <w:marLeft w:val="0"/>
              <w:marRight w:val="0"/>
              <w:marTop w:val="0"/>
              <w:marBottom w:val="0"/>
              <w:divBdr>
                <w:top w:val="none" w:sz="0" w:space="0" w:color="auto"/>
                <w:left w:val="none" w:sz="0" w:space="0" w:color="auto"/>
                <w:bottom w:val="none" w:sz="0" w:space="0" w:color="auto"/>
                <w:right w:val="none" w:sz="0" w:space="0" w:color="auto"/>
              </w:divBdr>
              <w:divsChild>
                <w:div w:id="1099064154">
                  <w:marLeft w:val="0"/>
                  <w:marRight w:val="0"/>
                  <w:marTop w:val="0"/>
                  <w:marBottom w:val="0"/>
                  <w:divBdr>
                    <w:top w:val="none" w:sz="0" w:space="0" w:color="auto"/>
                    <w:left w:val="none" w:sz="0" w:space="0" w:color="auto"/>
                    <w:bottom w:val="none" w:sz="0" w:space="0" w:color="auto"/>
                    <w:right w:val="none" w:sz="0" w:space="0" w:color="auto"/>
                  </w:divBdr>
                  <w:divsChild>
                    <w:div w:id="836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6980">
      <w:bodyDiv w:val="1"/>
      <w:marLeft w:val="0"/>
      <w:marRight w:val="0"/>
      <w:marTop w:val="0"/>
      <w:marBottom w:val="0"/>
      <w:divBdr>
        <w:top w:val="none" w:sz="0" w:space="0" w:color="auto"/>
        <w:left w:val="none" w:sz="0" w:space="0" w:color="auto"/>
        <w:bottom w:val="none" w:sz="0" w:space="0" w:color="auto"/>
        <w:right w:val="none" w:sz="0" w:space="0" w:color="auto"/>
      </w:divBdr>
      <w:divsChild>
        <w:div w:id="1894198396">
          <w:marLeft w:val="0"/>
          <w:marRight w:val="0"/>
          <w:marTop w:val="0"/>
          <w:marBottom w:val="0"/>
          <w:divBdr>
            <w:top w:val="none" w:sz="0" w:space="0" w:color="auto"/>
            <w:left w:val="none" w:sz="0" w:space="0" w:color="auto"/>
            <w:bottom w:val="none" w:sz="0" w:space="0" w:color="auto"/>
            <w:right w:val="none" w:sz="0" w:space="0" w:color="auto"/>
          </w:divBdr>
          <w:divsChild>
            <w:div w:id="409233845">
              <w:marLeft w:val="0"/>
              <w:marRight w:val="0"/>
              <w:marTop w:val="0"/>
              <w:marBottom w:val="0"/>
              <w:divBdr>
                <w:top w:val="none" w:sz="0" w:space="0" w:color="auto"/>
                <w:left w:val="none" w:sz="0" w:space="0" w:color="auto"/>
                <w:bottom w:val="none" w:sz="0" w:space="0" w:color="auto"/>
                <w:right w:val="none" w:sz="0" w:space="0" w:color="auto"/>
              </w:divBdr>
              <w:divsChild>
                <w:div w:id="1924413141">
                  <w:marLeft w:val="0"/>
                  <w:marRight w:val="0"/>
                  <w:marTop w:val="0"/>
                  <w:marBottom w:val="0"/>
                  <w:divBdr>
                    <w:top w:val="none" w:sz="0" w:space="0" w:color="auto"/>
                    <w:left w:val="none" w:sz="0" w:space="0" w:color="auto"/>
                    <w:bottom w:val="none" w:sz="0" w:space="0" w:color="auto"/>
                    <w:right w:val="none" w:sz="0" w:space="0" w:color="auto"/>
                  </w:divBdr>
                  <w:divsChild>
                    <w:div w:id="479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9062">
      <w:bodyDiv w:val="1"/>
      <w:marLeft w:val="0"/>
      <w:marRight w:val="0"/>
      <w:marTop w:val="0"/>
      <w:marBottom w:val="0"/>
      <w:divBdr>
        <w:top w:val="none" w:sz="0" w:space="0" w:color="auto"/>
        <w:left w:val="none" w:sz="0" w:space="0" w:color="auto"/>
        <w:bottom w:val="none" w:sz="0" w:space="0" w:color="auto"/>
        <w:right w:val="none" w:sz="0" w:space="0" w:color="auto"/>
      </w:divBdr>
      <w:divsChild>
        <w:div w:id="174267976">
          <w:marLeft w:val="0"/>
          <w:marRight w:val="0"/>
          <w:marTop w:val="0"/>
          <w:marBottom w:val="0"/>
          <w:divBdr>
            <w:top w:val="none" w:sz="0" w:space="0" w:color="auto"/>
            <w:left w:val="none" w:sz="0" w:space="0" w:color="auto"/>
            <w:bottom w:val="none" w:sz="0" w:space="0" w:color="auto"/>
            <w:right w:val="none" w:sz="0" w:space="0" w:color="auto"/>
          </w:divBdr>
          <w:divsChild>
            <w:div w:id="314341772">
              <w:marLeft w:val="0"/>
              <w:marRight w:val="0"/>
              <w:marTop w:val="0"/>
              <w:marBottom w:val="0"/>
              <w:divBdr>
                <w:top w:val="none" w:sz="0" w:space="0" w:color="auto"/>
                <w:left w:val="none" w:sz="0" w:space="0" w:color="auto"/>
                <w:bottom w:val="none" w:sz="0" w:space="0" w:color="auto"/>
                <w:right w:val="none" w:sz="0" w:space="0" w:color="auto"/>
              </w:divBdr>
              <w:divsChild>
                <w:div w:id="35471538">
                  <w:marLeft w:val="0"/>
                  <w:marRight w:val="0"/>
                  <w:marTop w:val="0"/>
                  <w:marBottom w:val="0"/>
                  <w:divBdr>
                    <w:top w:val="none" w:sz="0" w:space="0" w:color="auto"/>
                    <w:left w:val="none" w:sz="0" w:space="0" w:color="auto"/>
                    <w:bottom w:val="none" w:sz="0" w:space="0" w:color="auto"/>
                    <w:right w:val="none" w:sz="0" w:space="0" w:color="auto"/>
                  </w:divBdr>
                  <w:divsChild>
                    <w:div w:id="16807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3762">
      <w:bodyDiv w:val="1"/>
      <w:marLeft w:val="0"/>
      <w:marRight w:val="0"/>
      <w:marTop w:val="0"/>
      <w:marBottom w:val="0"/>
      <w:divBdr>
        <w:top w:val="none" w:sz="0" w:space="0" w:color="auto"/>
        <w:left w:val="none" w:sz="0" w:space="0" w:color="auto"/>
        <w:bottom w:val="none" w:sz="0" w:space="0" w:color="auto"/>
        <w:right w:val="none" w:sz="0" w:space="0" w:color="auto"/>
      </w:divBdr>
      <w:divsChild>
        <w:div w:id="104465980">
          <w:marLeft w:val="0"/>
          <w:marRight w:val="0"/>
          <w:marTop w:val="0"/>
          <w:marBottom w:val="0"/>
          <w:divBdr>
            <w:top w:val="none" w:sz="0" w:space="0" w:color="auto"/>
            <w:left w:val="none" w:sz="0" w:space="0" w:color="auto"/>
            <w:bottom w:val="none" w:sz="0" w:space="0" w:color="auto"/>
            <w:right w:val="none" w:sz="0" w:space="0" w:color="auto"/>
          </w:divBdr>
          <w:divsChild>
            <w:div w:id="2118136582">
              <w:marLeft w:val="0"/>
              <w:marRight w:val="0"/>
              <w:marTop w:val="0"/>
              <w:marBottom w:val="0"/>
              <w:divBdr>
                <w:top w:val="none" w:sz="0" w:space="0" w:color="auto"/>
                <w:left w:val="none" w:sz="0" w:space="0" w:color="auto"/>
                <w:bottom w:val="none" w:sz="0" w:space="0" w:color="auto"/>
                <w:right w:val="none" w:sz="0" w:space="0" w:color="auto"/>
              </w:divBdr>
              <w:divsChild>
                <w:div w:id="1911189138">
                  <w:marLeft w:val="0"/>
                  <w:marRight w:val="0"/>
                  <w:marTop w:val="0"/>
                  <w:marBottom w:val="0"/>
                  <w:divBdr>
                    <w:top w:val="none" w:sz="0" w:space="0" w:color="auto"/>
                    <w:left w:val="none" w:sz="0" w:space="0" w:color="auto"/>
                    <w:bottom w:val="none" w:sz="0" w:space="0" w:color="auto"/>
                    <w:right w:val="none" w:sz="0" w:space="0" w:color="auto"/>
                  </w:divBdr>
                  <w:divsChild>
                    <w:div w:id="20425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3609">
      <w:bodyDiv w:val="1"/>
      <w:marLeft w:val="0"/>
      <w:marRight w:val="0"/>
      <w:marTop w:val="0"/>
      <w:marBottom w:val="0"/>
      <w:divBdr>
        <w:top w:val="none" w:sz="0" w:space="0" w:color="auto"/>
        <w:left w:val="none" w:sz="0" w:space="0" w:color="auto"/>
        <w:bottom w:val="none" w:sz="0" w:space="0" w:color="auto"/>
        <w:right w:val="none" w:sz="0" w:space="0" w:color="auto"/>
      </w:divBdr>
      <w:divsChild>
        <w:div w:id="476460166">
          <w:marLeft w:val="0"/>
          <w:marRight w:val="0"/>
          <w:marTop w:val="0"/>
          <w:marBottom w:val="0"/>
          <w:divBdr>
            <w:top w:val="none" w:sz="0" w:space="0" w:color="auto"/>
            <w:left w:val="none" w:sz="0" w:space="0" w:color="auto"/>
            <w:bottom w:val="none" w:sz="0" w:space="0" w:color="auto"/>
            <w:right w:val="none" w:sz="0" w:space="0" w:color="auto"/>
          </w:divBdr>
          <w:divsChild>
            <w:div w:id="241179817">
              <w:marLeft w:val="0"/>
              <w:marRight w:val="0"/>
              <w:marTop w:val="0"/>
              <w:marBottom w:val="0"/>
              <w:divBdr>
                <w:top w:val="none" w:sz="0" w:space="0" w:color="auto"/>
                <w:left w:val="none" w:sz="0" w:space="0" w:color="auto"/>
                <w:bottom w:val="none" w:sz="0" w:space="0" w:color="auto"/>
                <w:right w:val="none" w:sz="0" w:space="0" w:color="auto"/>
              </w:divBdr>
              <w:divsChild>
                <w:div w:id="1788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567">
          <w:marLeft w:val="0"/>
          <w:marRight w:val="0"/>
          <w:marTop w:val="0"/>
          <w:marBottom w:val="0"/>
          <w:divBdr>
            <w:top w:val="none" w:sz="0" w:space="0" w:color="auto"/>
            <w:left w:val="none" w:sz="0" w:space="0" w:color="auto"/>
            <w:bottom w:val="none" w:sz="0" w:space="0" w:color="auto"/>
            <w:right w:val="none" w:sz="0" w:space="0" w:color="auto"/>
          </w:divBdr>
          <w:divsChild>
            <w:div w:id="1571846615">
              <w:marLeft w:val="0"/>
              <w:marRight w:val="0"/>
              <w:marTop w:val="0"/>
              <w:marBottom w:val="0"/>
              <w:divBdr>
                <w:top w:val="none" w:sz="0" w:space="0" w:color="auto"/>
                <w:left w:val="none" w:sz="0" w:space="0" w:color="auto"/>
                <w:bottom w:val="none" w:sz="0" w:space="0" w:color="auto"/>
                <w:right w:val="none" w:sz="0" w:space="0" w:color="auto"/>
              </w:divBdr>
              <w:divsChild>
                <w:div w:id="5573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901">
          <w:marLeft w:val="0"/>
          <w:marRight w:val="0"/>
          <w:marTop w:val="0"/>
          <w:marBottom w:val="0"/>
          <w:divBdr>
            <w:top w:val="none" w:sz="0" w:space="0" w:color="auto"/>
            <w:left w:val="none" w:sz="0" w:space="0" w:color="auto"/>
            <w:bottom w:val="none" w:sz="0" w:space="0" w:color="auto"/>
            <w:right w:val="none" w:sz="0" w:space="0" w:color="auto"/>
          </w:divBdr>
          <w:divsChild>
            <w:div w:id="1224870012">
              <w:marLeft w:val="0"/>
              <w:marRight w:val="0"/>
              <w:marTop w:val="0"/>
              <w:marBottom w:val="0"/>
              <w:divBdr>
                <w:top w:val="none" w:sz="0" w:space="0" w:color="auto"/>
                <w:left w:val="none" w:sz="0" w:space="0" w:color="auto"/>
                <w:bottom w:val="none" w:sz="0" w:space="0" w:color="auto"/>
                <w:right w:val="none" w:sz="0" w:space="0" w:color="auto"/>
              </w:divBdr>
              <w:divsChild>
                <w:div w:id="8798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5237">
      <w:bodyDiv w:val="1"/>
      <w:marLeft w:val="0"/>
      <w:marRight w:val="0"/>
      <w:marTop w:val="0"/>
      <w:marBottom w:val="0"/>
      <w:divBdr>
        <w:top w:val="none" w:sz="0" w:space="0" w:color="auto"/>
        <w:left w:val="none" w:sz="0" w:space="0" w:color="auto"/>
        <w:bottom w:val="none" w:sz="0" w:space="0" w:color="auto"/>
        <w:right w:val="none" w:sz="0" w:space="0" w:color="auto"/>
      </w:divBdr>
      <w:divsChild>
        <w:div w:id="1592734528">
          <w:marLeft w:val="0"/>
          <w:marRight w:val="0"/>
          <w:marTop w:val="0"/>
          <w:marBottom w:val="0"/>
          <w:divBdr>
            <w:top w:val="none" w:sz="0" w:space="0" w:color="auto"/>
            <w:left w:val="none" w:sz="0" w:space="0" w:color="auto"/>
            <w:bottom w:val="none" w:sz="0" w:space="0" w:color="auto"/>
            <w:right w:val="none" w:sz="0" w:space="0" w:color="auto"/>
          </w:divBdr>
          <w:divsChild>
            <w:div w:id="1555047432">
              <w:marLeft w:val="0"/>
              <w:marRight w:val="0"/>
              <w:marTop w:val="0"/>
              <w:marBottom w:val="0"/>
              <w:divBdr>
                <w:top w:val="none" w:sz="0" w:space="0" w:color="auto"/>
                <w:left w:val="none" w:sz="0" w:space="0" w:color="auto"/>
                <w:bottom w:val="none" w:sz="0" w:space="0" w:color="auto"/>
                <w:right w:val="none" w:sz="0" w:space="0" w:color="auto"/>
              </w:divBdr>
              <w:divsChild>
                <w:div w:id="354766309">
                  <w:marLeft w:val="0"/>
                  <w:marRight w:val="0"/>
                  <w:marTop w:val="0"/>
                  <w:marBottom w:val="0"/>
                  <w:divBdr>
                    <w:top w:val="none" w:sz="0" w:space="0" w:color="auto"/>
                    <w:left w:val="none" w:sz="0" w:space="0" w:color="auto"/>
                    <w:bottom w:val="none" w:sz="0" w:space="0" w:color="auto"/>
                    <w:right w:val="none" w:sz="0" w:space="0" w:color="auto"/>
                  </w:divBdr>
                  <w:divsChild>
                    <w:div w:id="13559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8956">
      <w:bodyDiv w:val="1"/>
      <w:marLeft w:val="0"/>
      <w:marRight w:val="0"/>
      <w:marTop w:val="0"/>
      <w:marBottom w:val="0"/>
      <w:divBdr>
        <w:top w:val="none" w:sz="0" w:space="0" w:color="auto"/>
        <w:left w:val="none" w:sz="0" w:space="0" w:color="auto"/>
        <w:bottom w:val="none" w:sz="0" w:space="0" w:color="auto"/>
        <w:right w:val="none" w:sz="0" w:space="0" w:color="auto"/>
      </w:divBdr>
    </w:div>
    <w:div w:id="939020678">
      <w:bodyDiv w:val="1"/>
      <w:marLeft w:val="0"/>
      <w:marRight w:val="0"/>
      <w:marTop w:val="0"/>
      <w:marBottom w:val="0"/>
      <w:divBdr>
        <w:top w:val="none" w:sz="0" w:space="0" w:color="auto"/>
        <w:left w:val="none" w:sz="0" w:space="0" w:color="auto"/>
        <w:bottom w:val="none" w:sz="0" w:space="0" w:color="auto"/>
        <w:right w:val="none" w:sz="0" w:space="0" w:color="auto"/>
      </w:divBdr>
      <w:divsChild>
        <w:div w:id="467749468">
          <w:marLeft w:val="0"/>
          <w:marRight w:val="0"/>
          <w:marTop w:val="0"/>
          <w:marBottom w:val="0"/>
          <w:divBdr>
            <w:top w:val="none" w:sz="0" w:space="0" w:color="auto"/>
            <w:left w:val="none" w:sz="0" w:space="0" w:color="auto"/>
            <w:bottom w:val="none" w:sz="0" w:space="0" w:color="auto"/>
            <w:right w:val="none" w:sz="0" w:space="0" w:color="auto"/>
          </w:divBdr>
          <w:divsChild>
            <w:div w:id="947197370">
              <w:marLeft w:val="0"/>
              <w:marRight w:val="0"/>
              <w:marTop w:val="0"/>
              <w:marBottom w:val="0"/>
              <w:divBdr>
                <w:top w:val="none" w:sz="0" w:space="0" w:color="auto"/>
                <w:left w:val="none" w:sz="0" w:space="0" w:color="auto"/>
                <w:bottom w:val="none" w:sz="0" w:space="0" w:color="auto"/>
                <w:right w:val="none" w:sz="0" w:space="0" w:color="auto"/>
              </w:divBdr>
              <w:divsChild>
                <w:div w:id="688917590">
                  <w:marLeft w:val="0"/>
                  <w:marRight w:val="0"/>
                  <w:marTop w:val="0"/>
                  <w:marBottom w:val="0"/>
                  <w:divBdr>
                    <w:top w:val="none" w:sz="0" w:space="0" w:color="auto"/>
                    <w:left w:val="none" w:sz="0" w:space="0" w:color="auto"/>
                    <w:bottom w:val="none" w:sz="0" w:space="0" w:color="auto"/>
                    <w:right w:val="none" w:sz="0" w:space="0" w:color="auto"/>
                  </w:divBdr>
                  <w:divsChild>
                    <w:div w:id="11311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868918">
      <w:bodyDiv w:val="1"/>
      <w:marLeft w:val="0"/>
      <w:marRight w:val="0"/>
      <w:marTop w:val="0"/>
      <w:marBottom w:val="0"/>
      <w:divBdr>
        <w:top w:val="none" w:sz="0" w:space="0" w:color="auto"/>
        <w:left w:val="none" w:sz="0" w:space="0" w:color="auto"/>
        <w:bottom w:val="none" w:sz="0" w:space="0" w:color="auto"/>
        <w:right w:val="none" w:sz="0" w:space="0" w:color="auto"/>
      </w:divBdr>
      <w:divsChild>
        <w:div w:id="1969504115">
          <w:marLeft w:val="0"/>
          <w:marRight w:val="0"/>
          <w:marTop w:val="0"/>
          <w:marBottom w:val="0"/>
          <w:divBdr>
            <w:top w:val="none" w:sz="0" w:space="0" w:color="auto"/>
            <w:left w:val="none" w:sz="0" w:space="0" w:color="auto"/>
            <w:bottom w:val="none" w:sz="0" w:space="0" w:color="auto"/>
            <w:right w:val="none" w:sz="0" w:space="0" w:color="auto"/>
          </w:divBdr>
          <w:divsChild>
            <w:div w:id="1062024579">
              <w:marLeft w:val="0"/>
              <w:marRight w:val="0"/>
              <w:marTop w:val="0"/>
              <w:marBottom w:val="0"/>
              <w:divBdr>
                <w:top w:val="none" w:sz="0" w:space="0" w:color="auto"/>
                <w:left w:val="none" w:sz="0" w:space="0" w:color="auto"/>
                <w:bottom w:val="none" w:sz="0" w:space="0" w:color="auto"/>
                <w:right w:val="none" w:sz="0" w:space="0" w:color="auto"/>
              </w:divBdr>
              <w:divsChild>
                <w:div w:id="1791050825">
                  <w:marLeft w:val="0"/>
                  <w:marRight w:val="0"/>
                  <w:marTop w:val="0"/>
                  <w:marBottom w:val="0"/>
                  <w:divBdr>
                    <w:top w:val="none" w:sz="0" w:space="0" w:color="auto"/>
                    <w:left w:val="none" w:sz="0" w:space="0" w:color="auto"/>
                    <w:bottom w:val="none" w:sz="0" w:space="0" w:color="auto"/>
                    <w:right w:val="none" w:sz="0" w:space="0" w:color="auto"/>
                  </w:divBdr>
                  <w:divsChild>
                    <w:div w:id="479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26390">
      <w:bodyDiv w:val="1"/>
      <w:marLeft w:val="0"/>
      <w:marRight w:val="0"/>
      <w:marTop w:val="0"/>
      <w:marBottom w:val="0"/>
      <w:divBdr>
        <w:top w:val="none" w:sz="0" w:space="0" w:color="auto"/>
        <w:left w:val="none" w:sz="0" w:space="0" w:color="auto"/>
        <w:bottom w:val="none" w:sz="0" w:space="0" w:color="auto"/>
        <w:right w:val="none" w:sz="0" w:space="0" w:color="auto"/>
      </w:divBdr>
      <w:divsChild>
        <w:div w:id="1613439280">
          <w:marLeft w:val="0"/>
          <w:marRight w:val="0"/>
          <w:marTop w:val="0"/>
          <w:marBottom w:val="0"/>
          <w:divBdr>
            <w:top w:val="none" w:sz="0" w:space="0" w:color="auto"/>
            <w:left w:val="none" w:sz="0" w:space="0" w:color="auto"/>
            <w:bottom w:val="none" w:sz="0" w:space="0" w:color="auto"/>
            <w:right w:val="none" w:sz="0" w:space="0" w:color="auto"/>
          </w:divBdr>
        </w:div>
      </w:divsChild>
    </w:div>
    <w:div w:id="999966039">
      <w:bodyDiv w:val="1"/>
      <w:marLeft w:val="0"/>
      <w:marRight w:val="0"/>
      <w:marTop w:val="0"/>
      <w:marBottom w:val="0"/>
      <w:divBdr>
        <w:top w:val="none" w:sz="0" w:space="0" w:color="auto"/>
        <w:left w:val="none" w:sz="0" w:space="0" w:color="auto"/>
        <w:bottom w:val="none" w:sz="0" w:space="0" w:color="auto"/>
        <w:right w:val="none" w:sz="0" w:space="0" w:color="auto"/>
      </w:divBdr>
      <w:divsChild>
        <w:div w:id="1698193826">
          <w:marLeft w:val="0"/>
          <w:marRight w:val="0"/>
          <w:marTop w:val="0"/>
          <w:marBottom w:val="0"/>
          <w:divBdr>
            <w:top w:val="none" w:sz="0" w:space="0" w:color="auto"/>
            <w:left w:val="none" w:sz="0" w:space="0" w:color="auto"/>
            <w:bottom w:val="none" w:sz="0" w:space="0" w:color="auto"/>
            <w:right w:val="none" w:sz="0" w:space="0" w:color="auto"/>
          </w:divBdr>
          <w:divsChild>
            <w:div w:id="1732069841">
              <w:marLeft w:val="0"/>
              <w:marRight w:val="0"/>
              <w:marTop w:val="0"/>
              <w:marBottom w:val="0"/>
              <w:divBdr>
                <w:top w:val="none" w:sz="0" w:space="0" w:color="auto"/>
                <w:left w:val="none" w:sz="0" w:space="0" w:color="auto"/>
                <w:bottom w:val="none" w:sz="0" w:space="0" w:color="auto"/>
                <w:right w:val="none" w:sz="0" w:space="0" w:color="auto"/>
              </w:divBdr>
              <w:divsChild>
                <w:div w:id="179395796">
                  <w:marLeft w:val="0"/>
                  <w:marRight w:val="0"/>
                  <w:marTop w:val="0"/>
                  <w:marBottom w:val="0"/>
                  <w:divBdr>
                    <w:top w:val="none" w:sz="0" w:space="0" w:color="auto"/>
                    <w:left w:val="none" w:sz="0" w:space="0" w:color="auto"/>
                    <w:bottom w:val="none" w:sz="0" w:space="0" w:color="auto"/>
                    <w:right w:val="none" w:sz="0" w:space="0" w:color="auto"/>
                  </w:divBdr>
                  <w:divsChild>
                    <w:div w:id="15082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26538">
      <w:bodyDiv w:val="1"/>
      <w:marLeft w:val="0"/>
      <w:marRight w:val="0"/>
      <w:marTop w:val="0"/>
      <w:marBottom w:val="0"/>
      <w:divBdr>
        <w:top w:val="none" w:sz="0" w:space="0" w:color="auto"/>
        <w:left w:val="none" w:sz="0" w:space="0" w:color="auto"/>
        <w:bottom w:val="none" w:sz="0" w:space="0" w:color="auto"/>
        <w:right w:val="none" w:sz="0" w:space="0" w:color="auto"/>
      </w:divBdr>
      <w:divsChild>
        <w:div w:id="1032072327">
          <w:marLeft w:val="0"/>
          <w:marRight w:val="0"/>
          <w:marTop w:val="0"/>
          <w:marBottom w:val="0"/>
          <w:divBdr>
            <w:top w:val="none" w:sz="0" w:space="0" w:color="auto"/>
            <w:left w:val="none" w:sz="0" w:space="0" w:color="auto"/>
            <w:bottom w:val="none" w:sz="0" w:space="0" w:color="auto"/>
            <w:right w:val="none" w:sz="0" w:space="0" w:color="auto"/>
          </w:divBdr>
          <w:divsChild>
            <w:div w:id="23332426">
              <w:marLeft w:val="0"/>
              <w:marRight w:val="0"/>
              <w:marTop w:val="0"/>
              <w:marBottom w:val="0"/>
              <w:divBdr>
                <w:top w:val="none" w:sz="0" w:space="0" w:color="auto"/>
                <w:left w:val="none" w:sz="0" w:space="0" w:color="auto"/>
                <w:bottom w:val="none" w:sz="0" w:space="0" w:color="auto"/>
                <w:right w:val="none" w:sz="0" w:space="0" w:color="auto"/>
              </w:divBdr>
              <w:divsChild>
                <w:div w:id="20796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193">
      <w:bodyDiv w:val="1"/>
      <w:marLeft w:val="0"/>
      <w:marRight w:val="0"/>
      <w:marTop w:val="0"/>
      <w:marBottom w:val="0"/>
      <w:divBdr>
        <w:top w:val="none" w:sz="0" w:space="0" w:color="auto"/>
        <w:left w:val="none" w:sz="0" w:space="0" w:color="auto"/>
        <w:bottom w:val="none" w:sz="0" w:space="0" w:color="auto"/>
        <w:right w:val="none" w:sz="0" w:space="0" w:color="auto"/>
      </w:divBdr>
      <w:divsChild>
        <w:div w:id="1670524309">
          <w:marLeft w:val="0"/>
          <w:marRight w:val="0"/>
          <w:marTop w:val="0"/>
          <w:marBottom w:val="0"/>
          <w:divBdr>
            <w:top w:val="none" w:sz="0" w:space="0" w:color="auto"/>
            <w:left w:val="none" w:sz="0" w:space="0" w:color="auto"/>
            <w:bottom w:val="none" w:sz="0" w:space="0" w:color="auto"/>
            <w:right w:val="none" w:sz="0" w:space="0" w:color="auto"/>
          </w:divBdr>
          <w:divsChild>
            <w:div w:id="1630547694">
              <w:marLeft w:val="0"/>
              <w:marRight w:val="0"/>
              <w:marTop w:val="0"/>
              <w:marBottom w:val="0"/>
              <w:divBdr>
                <w:top w:val="none" w:sz="0" w:space="0" w:color="auto"/>
                <w:left w:val="none" w:sz="0" w:space="0" w:color="auto"/>
                <w:bottom w:val="none" w:sz="0" w:space="0" w:color="auto"/>
                <w:right w:val="none" w:sz="0" w:space="0" w:color="auto"/>
              </w:divBdr>
              <w:divsChild>
                <w:div w:id="1087768709">
                  <w:marLeft w:val="0"/>
                  <w:marRight w:val="0"/>
                  <w:marTop w:val="0"/>
                  <w:marBottom w:val="0"/>
                  <w:divBdr>
                    <w:top w:val="none" w:sz="0" w:space="0" w:color="auto"/>
                    <w:left w:val="none" w:sz="0" w:space="0" w:color="auto"/>
                    <w:bottom w:val="none" w:sz="0" w:space="0" w:color="auto"/>
                    <w:right w:val="none" w:sz="0" w:space="0" w:color="auto"/>
                  </w:divBdr>
                  <w:divsChild>
                    <w:div w:id="396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9683">
      <w:bodyDiv w:val="1"/>
      <w:marLeft w:val="0"/>
      <w:marRight w:val="0"/>
      <w:marTop w:val="0"/>
      <w:marBottom w:val="0"/>
      <w:divBdr>
        <w:top w:val="none" w:sz="0" w:space="0" w:color="auto"/>
        <w:left w:val="none" w:sz="0" w:space="0" w:color="auto"/>
        <w:bottom w:val="none" w:sz="0" w:space="0" w:color="auto"/>
        <w:right w:val="none" w:sz="0" w:space="0" w:color="auto"/>
      </w:divBdr>
      <w:divsChild>
        <w:div w:id="114636755">
          <w:marLeft w:val="0"/>
          <w:marRight w:val="0"/>
          <w:marTop w:val="0"/>
          <w:marBottom w:val="0"/>
          <w:divBdr>
            <w:top w:val="none" w:sz="0" w:space="0" w:color="auto"/>
            <w:left w:val="none" w:sz="0" w:space="0" w:color="auto"/>
            <w:bottom w:val="none" w:sz="0" w:space="0" w:color="auto"/>
            <w:right w:val="none" w:sz="0" w:space="0" w:color="auto"/>
          </w:divBdr>
          <w:divsChild>
            <w:div w:id="141897464">
              <w:marLeft w:val="0"/>
              <w:marRight w:val="0"/>
              <w:marTop w:val="0"/>
              <w:marBottom w:val="0"/>
              <w:divBdr>
                <w:top w:val="none" w:sz="0" w:space="0" w:color="auto"/>
                <w:left w:val="none" w:sz="0" w:space="0" w:color="auto"/>
                <w:bottom w:val="none" w:sz="0" w:space="0" w:color="auto"/>
                <w:right w:val="none" w:sz="0" w:space="0" w:color="auto"/>
              </w:divBdr>
              <w:divsChild>
                <w:div w:id="451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789">
      <w:bodyDiv w:val="1"/>
      <w:marLeft w:val="0"/>
      <w:marRight w:val="0"/>
      <w:marTop w:val="0"/>
      <w:marBottom w:val="0"/>
      <w:divBdr>
        <w:top w:val="none" w:sz="0" w:space="0" w:color="auto"/>
        <w:left w:val="none" w:sz="0" w:space="0" w:color="auto"/>
        <w:bottom w:val="none" w:sz="0" w:space="0" w:color="auto"/>
        <w:right w:val="none" w:sz="0" w:space="0" w:color="auto"/>
      </w:divBdr>
      <w:divsChild>
        <w:div w:id="1357151336">
          <w:marLeft w:val="0"/>
          <w:marRight w:val="0"/>
          <w:marTop w:val="0"/>
          <w:marBottom w:val="0"/>
          <w:divBdr>
            <w:top w:val="none" w:sz="0" w:space="0" w:color="auto"/>
            <w:left w:val="none" w:sz="0" w:space="0" w:color="auto"/>
            <w:bottom w:val="none" w:sz="0" w:space="0" w:color="auto"/>
            <w:right w:val="none" w:sz="0" w:space="0" w:color="auto"/>
          </w:divBdr>
          <w:divsChild>
            <w:div w:id="1181504203">
              <w:marLeft w:val="0"/>
              <w:marRight w:val="0"/>
              <w:marTop w:val="0"/>
              <w:marBottom w:val="0"/>
              <w:divBdr>
                <w:top w:val="none" w:sz="0" w:space="0" w:color="auto"/>
                <w:left w:val="none" w:sz="0" w:space="0" w:color="auto"/>
                <w:bottom w:val="none" w:sz="0" w:space="0" w:color="auto"/>
                <w:right w:val="none" w:sz="0" w:space="0" w:color="auto"/>
              </w:divBdr>
              <w:divsChild>
                <w:div w:id="10739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4247">
      <w:bodyDiv w:val="1"/>
      <w:marLeft w:val="0"/>
      <w:marRight w:val="0"/>
      <w:marTop w:val="0"/>
      <w:marBottom w:val="0"/>
      <w:divBdr>
        <w:top w:val="none" w:sz="0" w:space="0" w:color="auto"/>
        <w:left w:val="none" w:sz="0" w:space="0" w:color="auto"/>
        <w:bottom w:val="none" w:sz="0" w:space="0" w:color="auto"/>
        <w:right w:val="none" w:sz="0" w:space="0" w:color="auto"/>
      </w:divBdr>
      <w:divsChild>
        <w:div w:id="1979264188">
          <w:marLeft w:val="0"/>
          <w:marRight w:val="0"/>
          <w:marTop w:val="0"/>
          <w:marBottom w:val="0"/>
          <w:divBdr>
            <w:top w:val="none" w:sz="0" w:space="0" w:color="auto"/>
            <w:left w:val="none" w:sz="0" w:space="0" w:color="auto"/>
            <w:bottom w:val="none" w:sz="0" w:space="0" w:color="auto"/>
            <w:right w:val="none" w:sz="0" w:space="0" w:color="auto"/>
          </w:divBdr>
          <w:divsChild>
            <w:div w:id="746658988">
              <w:marLeft w:val="0"/>
              <w:marRight w:val="0"/>
              <w:marTop w:val="0"/>
              <w:marBottom w:val="0"/>
              <w:divBdr>
                <w:top w:val="none" w:sz="0" w:space="0" w:color="auto"/>
                <w:left w:val="none" w:sz="0" w:space="0" w:color="auto"/>
                <w:bottom w:val="none" w:sz="0" w:space="0" w:color="auto"/>
                <w:right w:val="none" w:sz="0" w:space="0" w:color="auto"/>
              </w:divBdr>
              <w:divsChild>
                <w:div w:id="1951816668">
                  <w:marLeft w:val="0"/>
                  <w:marRight w:val="0"/>
                  <w:marTop w:val="0"/>
                  <w:marBottom w:val="0"/>
                  <w:divBdr>
                    <w:top w:val="none" w:sz="0" w:space="0" w:color="auto"/>
                    <w:left w:val="none" w:sz="0" w:space="0" w:color="auto"/>
                    <w:bottom w:val="none" w:sz="0" w:space="0" w:color="auto"/>
                    <w:right w:val="none" w:sz="0" w:space="0" w:color="auto"/>
                  </w:divBdr>
                  <w:divsChild>
                    <w:div w:id="537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39212">
      <w:bodyDiv w:val="1"/>
      <w:marLeft w:val="0"/>
      <w:marRight w:val="0"/>
      <w:marTop w:val="0"/>
      <w:marBottom w:val="0"/>
      <w:divBdr>
        <w:top w:val="none" w:sz="0" w:space="0" w:color="auto"/>
        <w:left w:val="none" w:sz="0" w:space="0" w:color="auto"/>
        <w:bottom w:val="none" w:sz="0" w:space="0" w:color="auto"/>
        <w:right w:val="none" w:sz="0" w:space="0" w:color="auto"/>
      </w:divBdr>
      <w:divsChild>
        <w:div w:id="683017875">
          <w:marLeft w:val="0"/>
          <w:marRight w:val="0"/>
          <w:marTop w:val="0"/>
          <w:marBottom w:val="0"/>
          <w:divBdr>
            <w:top w:val="none" w:sz="0" w:space="0" w:color="auto"/>
            <w:left w:val="none" w:sz="0" w:space="0" w:color="auto"/>
            <w:bottom w:val="none" w:sz="0" w:space="0" w:color="auto"/>
            <w:right w:val="none" w:sz="0" w:space="0" w:color="auto"/>
          </w:divBdr>
          <w:divsChild>
            <w:div w:id="768551907">
              <w:marLeft w:val="0"/>
              <w:marRight w:val="0"/>
              <w:marTop w:val="0"/>
              <w:marBottom w:val="0"/>
              <w:divBdr>
                <w:top w:val="none" w:sz="0" w:space="0" w:color="auto"/>
                <w:left w:val="none" w:sz="0" w:space="0" w:color="auto"/>
                <w:bottom w:val="none" w:sz="0" w:space="0" w:color="auto"/>
                <w:right w:val="none" w:sz="0" w:space="0" w:color="auto"/>
              </w:divBdr>
              <w:divsChild>
                <w:div w:id="2039774962">
                  <w:marLeft w:val="0"/>
                  <w:marRight w:val="0"/>
                  <w:marTop w:val="0"/>
                  <w:marBottom w:val="0"/>
                  <w:divBdr>
                    <w:top w:val="none" w:sz="0" w:space="0" w:color="auto"/>
                    <w:left w:val="none" w:sz="0" w:space="0" w:color="auto"/>
                    <w:bottom w:val="none" w:sz="0" w:space="0" w:color="auto"/>
                    <w:right w:val="none" w:sz="0" w:space="0" w:color="auto"/>
                  </w:divBdr>
                  <w:divsChild>
                    <w:div w:id="9998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0482">
      <w:bodyDiv w:val="1"/>
      <w:marLeft w:val="0"/>
      <w:marRight w:val="0"/>
      <w:marTop w:val="0"/>
      <w:marBottom w:val="0"/>
      <w:divBdr>
        <w:top w:val="none" w:sz="0" w:space="0" w:color="auto"/>
        <w:left w:val="none" w:sz="0" w:space="0" w:color="auto"/>
        <w:bottom w:val="none" w:sz="0" w:space="0" w:color="auto"/>
        <w:right w:val="none" w:sz="0" w:space="0" w:color="auto"/>
      </w:divBdr>
      <w:divsChild>
        <w:div w:id="1092357496">
          <w:marLeft w:val="0"/>
          <w:marRight w:val="0"/>
          <w:marTop w:val="0"/>
          <w:marBottom w:val="0"/>
          <w:divBdr>
            <w:top w:val="none" w:sz="0" w:space="0" w:color="auto"/>
            <w:left w:val="none" w:sz="0" w:space="0" w:color="auto"/>
            <w:bottom w:val="none" w:sz="0" w:space="0" w:color="auto"/>
            <w:right w:val="none" w:sz="0" w:space="0" w:color="auto"/>
          </w:divBdr>
          <w:divsChild>
            <w:div w:id="257838818">
              <w:marLeft w:val="0"/>
              <w:marRight w:val="0"/>
              <w:marTop w:val="0"/>
              <w:marBottom w:val="0"/>
              <w:divBdr>
                <w:top w:val="none" w:sz="0" w:space="0" w:color="auto"/>
                <w:left w:val="none" w:sz="0" w:space="0" w:color="auto"/>
                <w:bottom w:val="none" w:sz="0" w:space="0" w:color="auto"/>
                <w:right w:val="none" w:sz="0" w:space="0" w:color="auto"/>
              </w:divBdr>
              <w:divsChild>
                <w:div w:id="302470544">
                  <w:marLeft w:val="0"/>
                  <w:marRight w:val="0"/>
                  <w:marTop w:val="0"/>
                  <w:marBottom w:val="0"/>
                  <w:divBdr>
                    <w:top w:val="none" w:sz="0" w:space="0" w:color="auto"/>
                    <w:left w:val="none" w:sz="0" w:space="0" w:color="auto"/>
                    <w:bottom w:val="none" w:sz="0" w:space="0" w:color="auto"/>
                    <w:right w:val="none" w:sz="0" w:space="0" w:color="auto"/>
                  </w:divBdr>
                  <w:divsChild>
                    <w:div w:id="20344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2038">
      <w:bodyDiv w:val="1"/>
      <w:marLeft w:val="0"/>
      <w:marRight w:val="0"/>
      <w:marTop w:val="0"/>
      <w:marBottom w:val="0"/>
      <w:divBdr>
        <w:top w:val="none" w:sz="0" w:space="0" w:color="auto"/>
        <w:left w:val="none" w:sz="0" w:space="0" w:color="auto"/>
        <w:bottom w:val="none" w:sz="0" w:space="0" w:color="auto"/>
        <w:right w:val="none" w:sz="0" w:space="0" w:color="auto"/>
      </w:divBdr>
      <w:divsChild>
        <w:div w:id="1576624013">
          <w:marLeft w:val="0"/>
          <w:marRight w:val="0"/>
          <w:marTop w:val="0"/>
          <w:marBottom w:val="0"/>
          <w:divBdr>
            <w:top w:val="none" w:sz="0" w:space="0" w:color="auto"/>
            <w:left w:val="none" w:sz="0" w:space="0" w:color="auto"/>
            <w:bottom w:val="none" w:sz="0" w:space="0" w:color="auto"/>
            <w:right w:val="none" w:sz="0" w:space="0" w:color="auto"/>
          </w:divBdr>
          <w:divsChild>
            <w:div w:id="1624921780">
              <w:marLeft w:val="0"/>
              <w:marRight w:val="0"/>
              <w:marTop w:val="0"/>
              <w:marBottom w:val="0"/>
              <w:divBdr>
                <w:top w:val="none" w:sz="0" w:space="0" w:color="auto"/>
                <w:left w:val="none" w:sz="0" w:space="0" w:color="auto"/>
                <w:bottom w:val="none" w:sz="0" w:space="0" w:color="auto"/>
                <w:right w:val="none" w:sz="0" w:space="0" w:color="auto"/>
              </w:divBdr>
              <w:divsChild>
                <w:div w:id="11507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3189">
      <w:bodyDiv w:val="1"/>
      <w:marLeft w:val="0"/>
      <w:marRight w:val="0"/>
      <w:marTop w:val="0"/>
      <w:marBottom w:val="0"/>
      <w:divBdr>
        <w:top w:val="none" w:sz="0" w:space="0" w:color="auto"/>
        <w:left w:val="none" w:sz="0" w:space="0" w:color="auto"/>
        <w:bottom w:val="none" w:sz="0" w:space="0" w:color="auto"/>
        <w:right w:val="none" w:sz="0" w:space="0" w:color="auto"/>
      </w:divBdr>
      <w:divsChild>
        <w:div w:id="1919513750">
          <w:marLeft w:val="0"/>
          <w:marRight w:val="0"/>
          <w:marTop w:val="0"/>
          <w:marBottom w:val="0"/>
          <w:divBdr>
            <w:top w:val="none" w:sz="0" w:space="0" w:color="auto"/>
            <w:left w:val="none" w:sz="0" w:space="0" w:color="auto"/>
            <w:bottom w:val="none" w:sz="0" w:space="0" w:color="auto"/>
            <w:right w:val="none" w:sz="0" w:space="0" w:color="auto"/>
          </w:divBdr>
          <w:divsChild>
            <w:div w:id="1624849198">
              <w:marLeft w:val="0"/>
              <w:marRight w:val="0"/>
              <w:marTop w:val="0"/>
              <w:marBottom w:val="0"/>
              <w:divBdr>
                <w:top w:val="none" w:sz="0" w:space="0" w:color="auto"/>
                <w:left w:val="none" w:sz="0" w:space="0" w:color="auto"/>
                <w:bottom w:val="none" w:sz="0" w:space="0" w:color="auto"/>
                <w:right w:val="none" w:sz="0" w:space="0" w:color="auto"/>
              </w:divBdr>
              <w:divsChild>
                <w:div w:id="576211205">
                  <w:marLeft w:val="0"/>
                  <w:marRight w:val="0"/>
                  <w:marTop w:val="0"/>
                  <w:marBottom w:val="0"/>
                  <w:divBdr>
                    <w:top w:val="none" w:sz="0" w:space="0" w:color="auto"/>
                    <w:left w:val="none" w:sz="0" w:space="0" w:color="auto"/>
                    <w:bottom w:val="none" w:sz="0" w:space="0" w:color="auto"/>
                    <w:right w:val="none" w:sz="0" w:space="0" w:color="auto"/>
                  </w:divBdr>
                  <w:divsChild>
                    <w:div w:id="1079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51742">
      <w:bodyDiv w:val="1"/>
      <w:marLeft w:val="0"/>
      <w:marRight w:val="0"/>
      <w:marTop w:val="0"/>
      <w:marBottom w:val="0"/>
      <w:divBdr>
        <w:top w:val="none" w:sz="0" w:space="0" w:color="auto"/>
        <w:left w:val="none" w:sz="0" w:space="0" w:color="auto"/>
        <w:bottom w:val="none" w:sz="0" w:space="0" w:color="auto"/>
        <w:right w:val="none" w:sz="0" w:space="0" w:color="auto"/>
      </w:divBdr>
      <w:divsChild>
        <w:div w:id="1574731546">
          <w:marLeft w:val="0"/>
          <w:marRight w:val="0"/>
          <w:marTop w:val="0"/>
          <w:marBottom w:val="0"/>
          <w:divBdr>
            <w:top w:val="none" w:sz="0" w:space="0" w:color="auto"/>
            <w:left w:val="none" w:sz="0" w:space="0" w:color="auto"/>
            <w:bottom w:val="none" w:sz="0" w:space="0" w:color="auto"/>
            <w:right w:val="none" w:sz="0" w:space="0" w:color="auto"/>
          </w:divBdr>
        </w:div>
      </w:divsChild>
    </w:div>
    <w:div w:id="1191458985">
      <w:bodyDiv w:val="1"/>
      <w:marLeft w:val="0"/>
      <w:marRight w:val="0"/>
      <w:marTop w:val="0"/>
      <w:marBottom w:val="0"/>
      <w:divBdr>
        <w:top w:val="none" w:sz="0" w:space="0" w:color="auto"/>
        <w:left w:val="none" w:sz="0" w:space="0" w:color="auto"/>
        <w:bottom w:val="none" w:sz="0" w:space="0" w:color="auto"/>
        <w:right w:val="none" w:sz="0" w:space="0" w:color="auto"/>
      </w:divBdr>
    </w:div>
    <w:div w:id="1193345172">
      <w:bodyDiv w:val="1"/>
      <w:marLeft w:val="0"/>
      <w:marRight w:val="0"/>
      <w:marTop w:val="0"/>
      <w:marBottom w:val="0"/>
      <w:divBdr>
        <w:top w:val="none" w:sz="0" w:space="0" w:color="auto"/>
        <w:left w:val="none" w:sz="0" w:space="0" w:color="auto"/>
        <w:bottom w:val="none" w:sz="0" w:space="0" w:color="auto"/>
        <w:right w:val="none" w:sz="0" w:space="0" w:color="auto"/>
      </w:divBdr>
      <w:divsChild>
        <w:div w:id="855919646">
          <w:marLeft w:val="0"/>
          <w:marRight w:val="0"/>
          <w:marTop w:val="0"/>
          <w:marBottom w:val="0"/>
          <w:divBdr>
            <w:top w:val="none" w:sz="0" w:space="0" w:color="auto"/>
            <w:left w:val="none" w:sz="0" w:space="0" w:color="auto"/>
            <w:bottom w:val="none" w:sz="0" w:space="0" w:color="auto"/>
            <w:right w:val="none" w:sz="0" w:space="0" w:color="auto"/>
          </w:divBdr>
          <w:divsChild>
            <w:div w:id="450629004">
              <w:marLeft w:val="0"/>
              <w:marRight w:val="0"/>
              <w:marTop w:val="0"/>
              <w:marBottom w:val="0"/>
              <w:divBdr>
                <w:top w:val="none" w:sz="0" w:space="0" w:color="auto"/>
                <w:left w:val="none" w:sz="0" w:space="0" w:color="auto"/>
                <w:bottom w:val="none" w:sz="0" w:space="0" w:color="auto"/>
                <w:right w:val="none" w:sz="0" w:space="0" w:color="auto"/>
              </w:divBdr>
              <w:divsChild>
                <w:div w:id="88039671">
                  <w:marLeft w:val="0"/>
                  <w:marRight w:val="0"/>
                  <w:marTop w:val="0"/>
                  <w:marBottom w:val="0"/>
                  <w:divBdr>
                    <w:top w:val="none" w:sz="0" w:space="0" w:color="auto"/>
                    <w:left w:val="none" w:sz="0" w:space="0" w:color="auto"/>
                    <w:bottom w:val="none" w:sz="0" w:space="0" w:color="auto"/>
                    <w:right w:val="none" w:sz="0" w:space="0" w:color="auto"/>
                  </w:divBdr>
                  <w:divsChild>
                    <w:div w:id="13013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31569">
      <w:bodyDiv w:val="1"/>
      <w:marLeft w:val="0"/>
      <w:marRight w:val="0"/>
      <w:marTop w:val="0"/>
      <w:marBottom w:val="0"/>
      <w:divBdr>
        <w:top w:val="none" w:sz="0" w:space="0" w:color="auto"/>
        <w:left w:val="none" w:sz="0" w:space="0" w:color="auto"/>
        <w:bottom w:val="none" w:sz="0" w:space="0" w:color="auto"/>
        <w:right w:val="none" w:sz="0" w:space="0" w:color="auto"/>
      </w:divBdr>
      <w:divsChild>
        <w:div w:id="1042097697">
          <w:marLeft w:val="0"/>
          <w:marRight w:val="0"/>
          <w:marTop w:val="0"/>
          <w:marBottom w:val="0"/>
          <w:divBdr>
            <w:top w:val="none" w:sz="0" w:space="0" w:color="auto"/>
            <w:left w:val="none" w:sz="0" w:space="0" w:color="auto"/>
            <w:bottom w:val="none" w:sz="0" w:space="0" w:color="auto"/>
            <w:right w:val="none" w:sz="0" w:space="0" w:color="auto"/>
          </w:divBdr>
          <w:divsChild>
            <w:div w:id="624654629">
              <w:marLeft w:val="0"/>
              <w:marRight w:val="0"/>
              <w:marTop w:val="0"/>
              <w:marBottom w:val="0"/>
              <w:divBdr>
                <w:top w:val="none" w:sz="0" w:space="0" w:color="auto"/>
                <w:left w:val="none" w:sz="0" w:space="0" w:color="auto"/>
                <w:bottom w:val="none" w:sz="0" w:space="0" w:color="auto"/>
                <w:right w:val="none" w:sz="0" w:space="0" w:color="auto"/>
              </w:divBdr>
              <w:divsChild>
                <w:div w:id="1596816177">
                  <w:marLeft w:val="0"/>
                  <w:marRight w:val="0"/>
                  <w:marTop w:val="0"/>
                  <w:marBottom w:val="0"/>
                  <w:divBdr>
                    <w:top w:val="none" w:sz="0" w:space="0" w:color="auto"/>
                    <w:left w:val="none" w:sz="0" w:space="0" w:color="auto"/>
                    <w:bottom w:val="none" w:sz="0" w:space="0" w:color="auto"/>
                    <w:right w:val="none" w:sz="0" w:space="0" w:color="auto"/>
                  </w:divBdr>
                  <w:divsChild>
                    <w:div w:id="6230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2240">
      <w:bodyDiv w:val="1"/>
      <w:marLeft w:val="0"/>
      <w:marRight w:val="0"/>
      <w:marTop w:val="0"/>
      <w:marBottom w:val="0"/>
      <w:divBdr>
        <w:top w:val="none" w:sz="0" w:space="0" w:color="auto"/>
        <w:left w:val="none" w:sz="0" w:space="0" w:color="auto"/>
        <w:bottom w:val="none" w:sz="0" w:space="0" w:color="auto"/>
        <w:right w:val="none" w:sz="0" w:space="0" w:color="auto"/>
      </w:divBdr>
      <w:divsChild>
        <w:div w:id="593974917">
          <w:marLeft w:val="0"/>
          <w:marRight w:val="0"/>
          <w:marTop w:val="0"/>
          <w:marBottom w:val="0"/>
          <w:divBdr>
            <w:top w:val="none" w:sz="0" w:space="0" w:color="auto"/>
            <w:left w:val="none" w:sz="0" w:space="0" w:color="auto"/>
            <w:bottom w:val="none" w:sz="0" w:space="0" w:color="auto"/>
            <w:right w:val="none" w:sz="0" w:space="0" w:color="auto"/>
          </w:divBdr>
          <w:divsChild>
            <w:div w:id="1745253331">
              <w:marLeft w:val="0"/>
              <w:marRight w:val="0"/>
              <w:marTop w:val="0"/>
              <w:marBottom w:val="0"/>
              <w:divBdr>
                <w:top w:val="none" w:sz="0" w:space="0" w:color="auto"/>
                <w:left w:val="none" w:sz="0" w:space="0" w:color="auto"/>
                <w:bottom w:val="none" w:sz="0" w:space="0" w:color="auto"/>
                <w:right w:val="none" w:sz="0" w:space="0" w:color="auto"/>
              </w:divBdr>
              <w:divsChild>
                <w:div w:id="11450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48784">
      <w:bodyDiv w:val="1"/>
      <w:marLeft w:val="0"/>
      <w:marRight w:val="0"/>
      <w:marTop w:val="0"/>
      <w:marBottom w:val="0"/>
      <w:divBdr>
        <w:top w:val="none" w:sz="0" w:space="0" w:color="auto"/>
        <w:left w:val="none" w:sz="0" w:space="0" w:color="auto"/>
        <w:bottom w:val="none" w:sz="0" w:space="0" w:color="auto"/>
        <w:right w:val="none" w:sz="0" w:space="0" w:color="auto"/>
      </w:divBdr>
      <w:divsChild>
        <w:div w:id="2103135680">
          <w:marLeft w:val="0"/>
          <w:marRight w:val="0"/>
          <w:marTop w:val="0"/>
          <w:marBottom w:val="0"/>
          <w:divBdr>
            <w:top w:val="none" w:sz="0" w:space="0" w:color="auto"/>
            <w:left w:val="none" w:sz="0" w:space="0" w:color="auto"/>
            <w:bottom w:val="none" w:sz="0" w:space="0" w:color="auto"/>
            <w:right w:val="none" w:sz="0" w:space="0" w:color="auto"/>
          </w:divBdr>
          <w:divsChild>
            <w:div w:id="1021131880">
              <w:marLeft w:val="0"/>
              <w:marRight w:val="0"/>
              <w:marTop w:val="0"/>
              <w:marBottom w:val="0"/>
              <w:divBdr>
                <w:top w:val="none" w:sz="0" w:space="0" w:color="auto"/>
                <w:left w:val="none" w:sz="0" w:space="0" w:color="auto"/>
                <w:bottom w:val="none" w:sz="0" w:space="0" w:color="auto"/>
                <w:right w:val="none" w:sz="0" w:space="0" w:color="auto"/>
              </w:divBdr>
              <w:divsChild>
                <w:div w:id="955677182">
                  <w:marLeft w:val="0"/>
                  <w:marRight w:val="0"/>
                  <w:marTop w:val="0"/>
                  <w:marBottom w:val="0"/>
                  <w:divBdr>
                    <w:top w:val="none" w:sz="0" w:space="0" w:color="auto"/>
                    <w:left w:val="none" w:sz="0" w:space="0" w:color="auto"/>
                    <w:bottom w:val="none" w:sz="0" w:space="0" w:color="auto"/>
                    <w:right w:val="none" w:sz="0" w:space="0" w:color="auto"/>
                  </w:divBdr>
                  <w:divsChild>
                    <w:div w:id="4406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32430">
      <w:bodyDiv w:val="1"/>
      <w:marLeft w:val="0"/>
      <w:marRight w:val="0"/>
      <w:marTop w:val="0"/>
      <w:marBottom w:val="0"/>
      <w:divBdr>
        <w:top w:val="none" w:sz="0" w:space="0" w:color="auto"/>
        <w:left w:val="none" w:sz="0" w:space="0" w:color="auto"/>
        <w:bottom w:val="none" w:sz="0" w:space="0" w:color="auto"/>
        <w:right w:val="none" w:sz="0" w:space="0" w:color="auto"/>
      </w:divBdr>
      <w:divsChild>
        <w:div w:id="1200624210">
          <w:marLeft w:val="0"/>
          <w:marRight w:val="0"/>
          <w:marTop w:val="0"/>
          <w:marBottom w:val="0"/>
          <w:divBdr>
            <w:top w:val="none" w:sz="0" w:space="0" w:color="auto"/>
            <w:left w:val="none" w:sz="0" w:space="0" w:color="auto"/>
            <w:bottom w:val="none" w:sz="0" w:space="0" w:color="auto"/>
            <w:right w:val="none" w:sz="0" w:space="0" w:color="auto"/>
          </w:divBdr>
          <w:divsChild>
            <w:div w:id="2003895995">
              <w:marLeft w:val="0"/>
              <w:marRight w:val="0"/>
              <w:marTop w:val="0"/>
              <w:marBottom w:val="0"/>
              <w:divBdr>
                <w:top w:val="none" w:sz="0" w:space="0" w:color="auto"/>
                <w:left w:val="none" w:sz="0" w:space="0" w:color="auto"/>
                <w:bottom w:val="none" w:sz="0" w:space="0" w:color="auto"/>
                <w:right w:val="none" w:sz="0" w:space="0" w:color="auto"/>
              </w:divBdr>
              <w:divsChild>
                <w:div w:id="1208564616">
                  <w:marLeft w:val="0"/>
                  <w:marRight w:val="0"/>
                  <w:marTop w:val="0"/>
                  <w:marBottom w:val="0"/>
                  <w:divBdr>
                    <w:top w:val="none" w:sz="0" w:space="0" w:color="auto"/>
                    <w:left w:val="none" w:sz="0" w:space="0" w:color="auto"/>
                    <w:bottom w:val="none" w:sz="0" w:space="0" w:color="auto"/>
                    <w:right w:val="none" w:sz="0" w:space="0" w:color="auto"/>
                  </w:divBdr>
                  <w:divsChild>
                    <w:div w:id="7313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2351">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sChild>
        <w:div w:id="1155532642">
          <w:marLeft w:val="0"/>
          <w:marRight w:val="0"/>
          <w:marTop w:val="0"/>
          <w:marBottom w:val="0"/>
          <w:divBdr>
            <w:top w:val="none" w:sz="0" w:space="0" w:color="auto"/>
            <w:left w:val="none" w:sz="0" w:space="0" w:color="auto"/>
            <w:bottom w:val="none" w:sz="0" w:space="0" w:color="auto"/>
            <w:right w:val="none" w:sz="0" w:space="0" w:color="auto"/>
          </w:divBdr>
          <w:divsChild>
            <w:div w:id="1971546872">
              <w:marLeft w:val="0"/>
              <w:marRight w:val="0"/>
              <w:marTop w:val="0"/>
              <w:marBottom w:val="0"/>
              <w:divBdr>
                <w:top w:val="none" w:sz="0" w:space="0" w:color="auto"/>
                <w:left w:val="none" w:sz="0" w:space="0" w:color="auto"/>
                <w:bottom w:val="none" w:sz="0" w:space="0" w:color="auto"/>
                <w:right w:val="none" w:sz="0" w:space="0" w:color="auto"/>
              </w:divBdr>
              <w:divsChild>
                <w:div w:id="207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28521">
      <w:bodyDiv w:val="1"/>
      <w:marLeft w:val="0"/>
      <w:marRight w:val="0"/>
      <w:marTop w:val="0"/>
      <w:marBottom w:val="0"/>
      <w:divBdr>
        <w:top w:val="none" w:sz="0" w:space="0" w:color="auto"/>
        <w:left w:val="none" w:sz="0" w:space="0" w:color="auto"/>
        <w:bottom w:val="none" w:sz="0" w:space="0" w:color="auto"/>
        <w:right w:val="none" w:sz="0" w:space="0" w:color="auto"/>
      </w:divBdr>
      <w:divsChild>
        <w:div w:id="1994483264">
          <w:marLeft w:val="0"/>
          <w:marRight w:val="0"/>
          <w:marTop w:val="0"/>
          <w:marBottom w:val="0"/>
          <w:divBdr>
            <w:top w:val="none" w:sz="0" w:space="0" w:color="auto"/>
            <w:left w:val="none" w:sz="0" w:space="0" w:color="auto"/>
            <w:bottom w:val="none" w:sz="0" w:space="0" w:color="auto"/>
            <w:right w:val="none" w:sz="0" w:space="0" w:color="auto"/>
          </w:divBdr>
          <w:divsChild>
            <w:div w:id="1206991102">
              <w:marLeft w:val="0"/>
              <w:marRight w:val="0"/>
              <w:marTop w:val="0"/>
              <w:marBottom w:val="0"/>
              <w:divBdr>
                <w:top w:val="none" w:sz="0" w:space="0" w:color="auto"/>
                <w:left w:val="none" w:sz="0" w:space="0" w:color="auto"/>
                <w:bottom w:val="none" w:sz="0" w:space="0" w:color="auto"/>
                <w:right w:val="none" w:sz="0" w:space="0" w:color="auto"/>
              </w:divBdr>
              <w:divsChild>
                <w:div w:id="1863739998">
                  <w:marLeft w:val="0"/>
                  <w:marRight w:val="0"/>
                  <w:marTop w:val="0"/>
                  <w:marBottom w:val="0"/>
                  <w:divBdr>
                    <w:top w:val="none" w:sz="0" w:space="0" w:color="auto"/>
                    <w:left w:val="none" w:sz="0" w:space="0" w:color="auto"/>
                    <w:bottom w:val="none" w:sz="0" w:space="0" w:color="auto"/>
                    <w:right w:val="none" w:sz="0" w:space="0" w:color="auto"/>
                  </w:divBdr>
                  <w:divsChild>
                    <w:div w:id="4074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1475">
      <w:bodyDiv w:val="1"/>
      <w:marLeft w:val="0"/>
      <w:marRight w:val="0"/>
      <w:marTop w:val="0"/>
      <w:marBottom w:val="0"/>
      <w:divBdr>
        <w:top w:val="none" w:sz="0" w:space="0" w:color="auto"/>
        <w:left w:val="none" w:sz="0" w:space="0" w:color="auto"/>
        <w:bottom w:val="none" w:sz="0" w:space="0" w:color="auto"/>
        <w:right w:val="none" w:sz="0" w:space="0" w:color="auto"/>
      </w:divBdr>
      <w:divsChild>
        <w:div w:id="262538279">
          <w:marLeft w:val="0"/>
          <w:marRight w:val="0"/>
          <w:marTop w:val="0"/>
          <w:marBottom w:val="0"/>
          <w:divBdr>
            <w:top w:val="none" w:sz="0" w:space="0" w:color="auto"/>
            <w:left w:val="none" w:sz="0" w:space="0" w:color="auto"/>
            <w:bottom w:val="none" w:sz="0" w:space="0" w:color="auto"/>
            <w:right w:val="none" w:sz="0" w:space="0" w:color="auto"/>
          </w:divBdr>
          <w:divsChild>
            <w:div w:id="455369005">
              <w:marLeft w:val="0"/>
              <w:marRight w:val="0"/>
              <w:marTop w:val="0"/>
              <w:marBottom w:val="0"/>
              <w:divBdr>
                <w:top w:val="none" w:sz="0" w:space="0" w:color="auto"/>
                <w:left w:val="none" w:sz="0" w:space="0" w:color="auto"/>
                <w:bottom w:val="none" w:sz="0" w:space="0" w:color="auto"/>
                <w:right w:val="none" w:sz="0" w:space="0" w:color="auto"/>
              </w:divBdr>
              <w:divsChild>
                <w:div w:id="1734811247">
                  <w:marLeft w:val="0"/>
                  <w:marRight w:val="0"/>
                  <w:marTop w:val="0"/>
                  <w:marBottom w:val="0"/>
                  <w:divBdr>
                    <w:top w:val="none" w:sz="0" w:space="0" w:color="auto"/>
                    <w:left w:val="none" w:sz="0" w:space="0" w:color="auto"/>
                    <w:bottom w:val="none" w:sz="0" w:space="0" w:color="auto"/>
                    <w:right w:val="none" w:sz="0" w:space="0" w:color="auto"/>
                  </w:divBdr>
                  <w:divsChild>
                    <w:div w:id="11474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08921">
      <w:bodyDiv w:val="1"/>
      <w:marLeft w:val="0"/>
      <w:marRight w:val="0"/>
      <w:marTop w:val="0"/>
      <w:marBottom w:val="0"/>
      <w:divBdr>
        <w:top w:val="none" w:sz="0" w:space="0" w:color="auto"/>
        <w:left w:val="none" w:sz="0" w:space="0" w:color="auto"/>
        <w:bottom w:val="none" w:sz="0" w:space="0" w:color="auto"/>
        <w:right w:val="none" w:sz="0" w:space="0" w:color="auto"/>
      </w:divBdr>
    </w:div>
    <w:div w:id="1457335694">
      <w:bodyDiv w:val="1"/>
      <w:marLeft w:val="0"/>
      <w:marRight w:val="0"/>
      <w:marTop w:val="0"/>
      <w:marBottom w:val="0"/>
      <w:divBdr>
        <w:top w:val="none" w:sz="0" w:space="0" w:color="auto"/>
        <w:left w:val="none" w:sz="0" w:space="0" w:color="auto"/>
        <w:bottom w:val="none" w:sz="0" w:space="0" w:color="auto"/>
        <w:right w:val="none" w:sz="0" w:space="0" w:color="auto"/>
      </w:divBdr>
      <w:divsChild>
        <w:div w:id="1597788431">
          <w:marLeft w:val="0"/>
          <w:marRight w:val="0"/>
          <w:marTop w:val="0"/>
          <w:marBottom w:val="0"/>
          <w:divBdr>
            <w:top w:val="none" w:sz="0" w:space="0" w:color="auto"/>
            <w:left w:val="none" w:sz="0" w:space="0" w:color="auto"/>
            <w:bottom w:val="none" w:sz="0" w:space="0" w:color="auto"/>
            <w:right w:val="none" w:sz="0" w:space="0" w:color="auto"/>
          </w:divBdr>
          <w:divsChild>
            <w:div w:id="1450203231">
              <w:marLeft w:val="0"/>
              <w:marRight w:val="0"/>
              <w:marTop w:val="0"/>
              <w:marBottom w:val="0"/>
              <w:divBdr>
                <w:top w:val="none" w:sz="0" w:space="0" w:color="auto"/>
                <w:left w:val="none" w:sz="0" w:space="0" w:color="auto"/>
                <w:bottom w:val="none" w:sz="0" w:space="0" w:color="auto"/>
                <w:right w:val="none" w:sz="0" w:space="0" w:color="auto"/>
              </w:divBdr>
              <w:divsChild>
                <w:div w:id="16279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7633">
      <w:bodyDiv w:val="1"/>
      <w:marLeft w:val="0"/>
      <w:marRight w:val="0"/>
      <w:marTop w:val="0"/>
      <w:marBottom w:val="0"/>
      <w:divBdr>
        <w:top w:val="none" w:sz="0" w:space="0" w:color="auto"/>
        <w:left w:val="none" w:sz="0" w:space="0" w:color="auto"/>
        <w:bottom w:val="none" w:sz="0" w:space="0" w:color="auto"/>
        <w:right w:val="none" w:sz="0" w:space="0" w:color="auto"/>
      </w:divBdr>
      <w:divsChild>
        <w:div w:id="1070075223">
          <w:marLeft w:val="0"/>
          <w:marRight w:val="0"/>
          <w:marTop w:val="0"/>
          <w:marBottom w:val="0"/>
          <w:divBdr>
            <w:top w:val="none" w:sz="0" w:space="0" w:color="auto"/>
            <w:left w:val="none" w:sz="0" w:space="0" w:color="auto"/>
            <w:bottom w:val="none" w:sz="0" w:space="0" w:color="auto"/>
            <w:right w:val="none" w:sz="0" w:space="0" w:color="auto"/>
          </w:divBdr>
          <w:divsChild>
            <w:div w:id="1577857673">
              <w:marLeft w:val="0"/>
              <w:marRight w:val="0"/>
              <w:marTop w:val="0"/>
              <w:marBottom w:val="0"/>
              <w:divBdr>
                <w:top w:val="none" w:sz="0" w:space="0" w:color="auto"/>
                <w:left w:val="none" w:sz="0" w:space="0" w:color="auto"/>
                <w:bottom w:val="none" w:sz="0" w:space="0" w:color="auto"/>
                <w:right w:val="none" w:sz="0" w:space="0" w:color="auto"/>
              </w:divBdr>
              <w:divsChild>
                <w:div w:id="1519615050">
                  <w:marLeft w:val="0"/>
                  <w:marRight w:val="0"/>
                  <w:marTop w:val="0"/>
                  <w:marBottom w:val="0"/>
                  <w:divBdr>
                    <w:top w:val="none" w:sz="0" w:space="0" w:color="auto"/>
                    <w:left w:val="none" w:sz="0" w:space="0" w:color="auto"/>
                    <w:bottom w:val="none" w:sz="0" w:space="0" w:color="auto"/>
                    <w:right w:val="none" w:sz="0" w:space="0" w:color="auto"/>
                  </w:divBdr>
                  <w:divsChild>
                    <w:div w:id="8247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0525">
      <w:bodyDiv w:val="1"/>
      <w:marLeft w:val="0"/>
      <w:marRight w:val="0"/>
      <w:marTop w:val="0"/>
      <w:marBottom w:val="0"/>
      <w:divBdr>
        <w:top w:val="none" w:sz="0" w:space="0" w:color="auto"/>
        <w:left w:val="none" w:sz="0" w:space="0" w:color="auto"/>
        <w:bottom w:val="none" w:sz="0" w:space="0" w:color="auto"/>
        <w:right w:val="none" w:sz="0" w:space="0" w:color="auto"/>
      </w:divBdr>
      <w:divsChild>
        <w:div w:id="984045677">
          <w:marLeft w:val="0"/>
          <w:marRight w:val="0"/>
          <w:marTop w:val="0"/>
          <w:marBottom w:val="0"/>
          <w:divBdr>
            <w:top w:val="none" w:sz="0" w:space="0" w:color="auto"/>
            <w:left w:val="none" w:sz="0" w:space="0" w:color="auto"/>
            <w:bottom w:val="none" w:sz="0" w:space="0" w:color="auto"/>
            <w:right w:val="none" w:sz="0" w:space="0" w:color="auto"/>
          </w:divBdr>
          <w:divsChild>
            <w:div w:id="407650023">
              <w:marLeft w:val="0"/>
              <w:marRight w:val="0"/>
              <w:marTop w:val="0"/>
              <w:marBottom w:val="0"/>
              <w:divBdr>
                <w:top w:val="none" w:sz="0" w:space="0" w:color="auto"/>
                <w:left w:val="none" w:sz="0" w:space="0" w:color="auto"/>
                <w:bottom w:val="none" w:sz="0" w:space="0" w:color="auto"/>
                <w:right w:val="none" w:sz="0" w:space="0" w:color="auto"/>
              </w:divBdr>
              <w:divsChild>
                <w:div w:id="14964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542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68">
          <w:marLeft w:val="0"/>
          <w:marRight w:val="0"/>
          <w:marTop w:val="0"/>
          <w:marBottom w:val="0"/>
          <w:divBdr>
            <w:top w:val="none" w:sz="0" w:space="0" w:color="auto"/>
            <w:left w:val="none" w:sz="0" w:space="0" w:color="auto"/>
            <w:bottom w:val="none" w:sz="0" w:space="0" w:color="auto"/>
            <w:right w:val="none" w:sz="0" w:space="0" w:color="auto"/>
          </w:divBdr>
          <w:divsChild>
            <w:div w:id="819806702">
              <w:marLeft w:val="0"/>
              <w:marRight w:val="0"/>
              <w:marTop w:val="0"/>
              <w:marBottom w:val="0"/>
              <w:divBdr>
                <w:top w:val="none" w:sz="0" w:space="0" w:color="auto"/>
                <w:left w:val="none" w:sz="0" w:space="0" w:color="auto"/>
                <w:bottom w:val="none" w:sz="0" w:space="0" w:color="auto"/>
                <w:right w:val="none" w:sz="0" w:space="0" w:color="auto"/>
              </w:divBdr>
              <w:divsChild>
                <w:div w:id="2141411435">
                  <w:marLeft w:val="0"/>
                  <w:marRight w:val="0"/>
                  <w:marTop w:val="0"/>
                  <w:marBottom w:val="0"/>
                  <w:divBdr>
                    <w:top w:val="none" w:sz="0" w:space="0" w:color="auto"/>
                    <w:left w:val="none" w:sz="0" w:space="0" w:color="auto"/>
                    <w:bottom w:val="none" w:sz="0" w:space="0" w:color="auto"/>
                    <w:right w:val="none" w:sz="0" w:space="0" w:color="auto"/>
                  </w:divBdr>
                  <w:divsChild>
                    <w:div w:id="3935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16786">
      <w:bodyDiv w:val="1"/>
      <w:marLeft w:val="0"/>
      <w:marRight w:val="0"/>
      <w:marTop w:val="0"/>
      <w:marBottom w:val="0"/>
      <w:divBdr>
        <w:top w:val="none" w:sz="0" w:space="0" w:color="auto"/>
        <w:left w:val="none" w:sz="0" w:space="0" w:color="auto"/>
        <w:bottom w:val="none" w:sz="0" w:space="0" w:color="auto"/>
        <w:right w:val="none" w:sz="0" w:space="0" w:color="auto"/>
      </w:divBdr>
      <w:divsChild>
        <w:div w:id="1176262992">
          <w:marLeft w:val="0"/>
          <w:marRight w:val="0"/>
          <w:marTop w:val="0"/>
          <w:marBottom w:val="0"/>
          <w:divBdr>
            <w:top w:val="none" w:sz="0" w:space="0" w:color="auto"/>
            <w:left w:val="none" w:sz="0" w:space="0" w:color="auto"/>
            <w:bottom w:val="none" w:sz="0" w:space="0" w:color="auto"/>
            <w:right w:val="none" w:sz="0" w:space="0" w:color="auto"/>
          </w:divBdr>
          <w:divsChild>
            <w:div w:id="946346975">
              <w:marLeft w:val="0"/>
              <w:marRight w:val="0"/>
              <w:marTop w:val="0"/>
              <w:marBottom w:val="0"/>
              <w:divBdr>
                <w:top w:val="none" w:sz="0" w:space="0" w:color="auto"/>
                <w:left w:val="none" w:sz="0" w:space="0" w:color="auto"/>
                <w:bottom w:val="none" w:sz="0" w:space="0" w:color="auto"/>
                <w:right w:val="none" w:sz="0" w:space="0" w:color="auto"/>
              </w:divBdr>
              <w:divsChild>
                <w:div w:id="1654138744">
                  <w:marLeft w:val="0"/>
                  <w:marRight w:val="0"/>
                  <w:marTop w:val="0"/>
                  <w:marBottom w:val="0"/>
                  <w:divBdr>
                    <w:top w:val="none" w:sz="0" w:space="0" w:color="auto"/>
                    <w:left w:val="none" w:sz="0" w:space="0" w:color="auto"/>
                    <w:bottom w:val="none" w:sz="0" w:space="0" w:color="auto"/>
                    <w:right w:val="none" w:sz="0" w:space="0" w:color="auto"/>
                  </w:divBdr>
                  <w:divsChild>
                    <w:div w:id="819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48267">
      <w:bodyDiv w:val="1"/>
      <w:marLeft w:val="0"/>
      <w:marRight w:val="0"/>
      <w:marTop w:val="0"/>
      <w:marBottom w:val="0"/>
      <w:divBdr>
        <w:top w:val="none" w:sz="0" w:space="0" w:color="auto"/>
        <w:left w:val="none" w:sz="0" w:space="0" w:color="auto"/>
        <w:bottom w:val="none" w:sz="0" w:space="0" w:color="auto"/>
        <w:right w:val="none" w:sz="0" w:space="0" w:color="auto"/>
      </w:divBdr>
      <w:divsChild>
        <w:div w:id="1442995146">
          <w:marLeft w:val="0"/>
          <w:marRight w:val="0"/>
          <w:marTop w:val="0"/>
          <w:marBottom w:val="0"/>
          <w:divBdr>
            <w:top w:val="none" w:sz="0" w:space="0" w:color="auto"/>
            <w:left w:val="none" w:sz="0" w:space="0" w:color="auto"/>
            <w:bottom w:val="none" w:sz="0" w:space="0" w:color="auto"/>
            <w:right w:val="none" w:sz="0" w:space="0" w:color="auto"/>
          </w:divBdr>
          <w:divsChild>
            <w:div w:id="1632516466">
              <w:marLeft w:val="0"/>
              <w:marRight w:val="0"/>
              <w:marTop w:val="0"/>
              <w:marBottom w:val="0"/>
              <w:divBdr>
                <w:top w:val="none" w:sz="0" w:space="0" w:color="auto"/>
                <w:left w:val="none" w:sz="0" w:space="0" w:color="auto"/>
                <w:bottom w:val="none" w:sz="0" w:space="0" w:color="auto"/>
                <w:right w:val="none" w:sz="0" w:space="0" w:color="auto"/>
              </w:divBdr>
              <w:divsChild>
                <w:div w:id="1594824728">
                  <w:marLeft w:val="0"/>
                  <w:marRight w:val="0"/>
                  <w:marTop w:val="0"/>
                  <w:marBottom w:val="0"/>
                  <w:divBdr>
                    <w:top w:val="none" w:sz="0" w:space="0" w:color="auto"/>
                    <w:left w:val="none" w:sz="0" w:space="0" w:color="auto"/>
                    <w:bottom w:val="none" w:sz="0" w:space="0" w:color="auto"/>
                    <w:right w:val="none" w:sz="0" w:space="0" w:color="auto"/>
                  </w:divBdr>
                  <w:divsChild>
                    <w:div w:id="21169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50710">
      <w:bodyDiv w:val="1"/>
      <w:marLeft w:val="0"/>
      <w:marRight w:val="0"/>
      <w:marTop w:val="0"/>
      <w:marBottom w:val="0"/>
      <w:divBdr>
        <w:top w:val="none" w:sz="0" w:space="0" w:color="auto"/>
        <w:left w:val="none" w:sz="0" w:space="0" w:color="auto"/>
        <w:bottom w:val="none" w:sz="0" w:space="0" w:color="auto"/>
        <w:right w:val="none" w:sz="0" w:space="0" w:color="auto"/>
      </w:divBdr>
      <w:divsChild>
        <w:div w:id="41949819">
          <w:marLeft w:val="0"/>
          <w:marRight w:val="0"/>
          <w:marTop w:val="0"/>
          <w:marBottom w:val="0"/>
          <w:divBdr>
            <w:top w:val="none" w:sz="0" w:space="0" w:color="auto"/>
            <w:left w:val="none" w:sz="0" w:space="0" w:color="auto"/>
            <w:bottom w:val="none" w:sz="0" w:space="0" w:color="auto"/>
            <w:right w:val="none" w:sz="0" w:space="0" w:color="auto"/>
          </w:divBdr>
          <w:divsChild>
            <w:div w:id="904267877">
              <w:marLeft w:val="0"/>
              <w:marRight w:val="0"/>
              <w:marTop w:val="0"/>
              <w:marBottom w:val="0"/>
              <w:divBdr>
                <w:top w:val="none" w:sz="0" w:space="0" w:color="auto"/>
                <w:left w:val="none" w:sz="0" w:space="0" w:color="auto"/>
                <w:bottom w:val="none" w:sz="0" w:space="0" w:color="auto"/>
                <w:right w:val="none" w:sz="0" w:space="0" w:color="auto"/>
              </w:divBdr>
              <w:divsChild>
                <w:div w:id="1857842285">
                  <w:marLeft w:val="0"/>
                  <w:marRight w:val="0"/>
                  <w:marTop w:val="0"/>
                  <w:marBottom w:val="0"/>
                  <w:divBdr>
                    <w:top w:val="none" w:sz="0" w:space="0" w:color="auto"/>
                    <w:left w:val="none" w:sz="0" w:space="0" w:color="auto"/>
                    <w:bottom w:val="none" w:sz="0" w:space="0" w:color="auto"/>
                    <w:right w:val="none" w:sz="0" w:space="0" w:color="auto"/>
                  </w:divBdr>
                  <w:divsChild>
                    <w:div w:id="6060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5624">
      <w:bodyDiv w:val="1"/>
      <w:marLeft w:val="0"/>
      <w:marRight w:val="0"/>
      <w:marTop w:val="0"/>
      <w:marBottom w:val="0"/>
      <w:divBdr>
        <w:top w:val="none" w:sz="0" w:space="0" w:color="auto"/>
        <w:left w:val="none" w:sz="0" w:space="0" w:color="auto"/>
        <w:bottom w:val="none" w:sz="0" w:space="0" w:color="auto"/>
        <w:right w:val="none" w:sz="0" w:space="0" w:color="auto"/>
      </w:divBdr>
      <w:divsChild>
        <w:div w:id="1987470176">
          <w:marLeft w:val="0"/>
          <w:marRight w:val="0"/>
          <w:marTop w:val="0"/>
          <w:marBottom w:val="0"/>
          <w:divBdr>
            <w:top w:val="none" w:sz="0" w:space="0" w:color="auto"/>
            <w:left w:val="none" w:sz="0" w:space="0" w:color="auto"/>
            <w:bottom w:val="none" w:sz="0" w:space="0" w:color="auto"/>
            <w:right w:val="none" w:sz="0" w:space="0" w:color="auto"/>
          </w:divBdr>
          <w:divsChild>
            <w:div w:id="26029616">
              <w:marLeft w:val="0"/>
              <w:marRight w:val="0"/>
              <w:marTop w:val="0"/>
              <w:marBottom w:val="0"/>
              <w:divBdr>
                <w:top w:val="none" w:sz="0" w:space="0" w:color="auto"/>
                <w:left w:val="none" w:sz="0" w:space="0" w:color="auto"/>
                <w:bottom w:val="none" w:sz="0" w:space="0" w:color="auto"/>
                <w:right w:val="none" w:sz="0" w:space="0" w:color="auto"/>
              </w:divBdr>
              <w:divsChild>
                <w:div w:id="2109233885">
                  <w:marLeft w:val="0"/>
                  <w:marRight w:val="0"/>
                  <w:marTop w:val="0"/>
                  <w:marBottom w:val="0"/>
                  <w:divBdr>
                    <w:top w:val="none" w:sz="0" w:space="0" w:color="auto"/>
                    <w:left w:val="none" w:sz="0" w:space="0" w:color="auto"/>
                    <w:bottom w:val="none" w:sz="0" w:space="0" w:color="auto"/>
                    <w:right w:val="none" w:sz="0" w:space="0" w:color="auto"/>
                  </w:divBdr>
                  <w:divsChild>
                    <w:div w:id="3962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9006">
      <w:bodyDiv w:val="1"/>
      <w:marLeft w:val="0"/>
      <w:marRight w:val="0"/>
      <w:marTop w:val="0"/>
      <w:marBottom w:val="0"/>
      <w:divBdr>
        <w:top w:val="none" w:sz="0" w:space="0" w:color="auto"/>
        <w:left w:val="none" w:sz="0" w:space="0" w:color="auto"/>
        <w:bottom w:val="none" w:sz="0" w:space="0" w:color="auto"/>
        <w:right w:val="none" w:sz="0" w:space="0" w:color="auto"/>
      </w:divBdr>
      <w:divsChild>
        <w:div w:id="928661508">
          <w:marLeft w:val="0"/>
          <w:marRight w:val="0"/>
          <w:marTop w:val="0"/>
          <w:marBottom w:val="0"/>
          <w:divBdr>
            <w:top w:val="none" w:sz="0" w:space="0" w:color="auto"/>
            <w:left w:val="none" w:sz="0" w:space="0" w:color="auto"/>
            <w:bottom w:val="none" w:sz="0" w:space="0" w:color="auto"/>
            <w:right w:val="none" w:sz="0" w:space="0" w:color="auto"/>
          </w:divBdr>
          <w:divsChild>
            <w:div w:id="1302225024">
              <w:marLeft w:val="0"/>
              <w:marRight w:val="0"/>
              <w:marTop w:val="0"/>
              <w:marBottom w:val="0"/>
              <w:divBdr>
                <w:top w:val="none" w:sz="0" w:space="0" w:color="auto"/>
                <w:left w:val="none" w:sz="0" w:space="0" w:color="auto"/>
                <w:bottom w:val="none" w:sz="0" w:space="0" w:color="auto"/>
                <w:right w:val="none" w:sz="0" w:space="0" w:color="auto"/>
              </w:divBdr>
              <w:divsChild>
                <w:div w:id="934437783">
                  <w:marLeft w:val="0"/>
                  <w:marRight w:val="0"/>
                  <w:marTop w:val="0"/>
                  <w:marBottom w:val="0"/>
                  <w:divBdr>
                    <w:top w:val="none" w:sz="0" w:space="0" w:color="auto"/>
                    <w:left w:val="none" w:sz="0" w:space="0" w:color="auto"/>
                    <w:bottom w:val="none" w:sz="0" w:space="0" w:color="auto"/>
                    <w:right w:val="none" w:sz="0" w:space="0" w:color="auto"/>
                  </w:divBdr>
                  <w:divsChild>
                    <w:div w:id="340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588">
      <w:bodyDiv w:val="1"/>
      <w:marLeft w:val="0"/>
      <w:marRight w:val="0"/>
      <w:marTop w:val="0"/>
      <w:marBottom w:val="0"/>
      <w:divBdr>
        <w:top w:val="none" w:sz="0" w:space="0" w:color="auto"/>
        <w:left w:val="none" w:sz="0" w:space="0" w:color="auto"/>
        <w:bottom w:val="none" w:sz="0" w:space="0" w:color="auto"/>
        <w:right w:val="none" w:sz="0" w:space="0" w:color="auto"/>
      </w:divBdr>
      <w:divsChild>
        <w:div w:id="113181759">
          <w:marLeft w:val="0"/>
          <w:marRight w:val="0"/>
          <w:marTop w:val="0"/>
          <w:marBottom w:val="0"/>
          <w:divBdr>
            <w:top w:val="none" w:sz="0" w:space="0" w:color="auto"/>
            <w:left w:val="none" w:sz="0" w:space="0" w:color="auto"/>
            <w:bottom w:val="none" w:sz="0" w:space="0" w:color="auto"/>
            <w:right w:val="none" w:sz="0" w:space="0" w:color="auto"/>
          </w:divBdr>
          <w:divsChild>
            <w:div w:id="1485708126">
              <w:marLeft w:val="0"/>
              <w:marRight w:val="0"/>
              <w:marTop w:val="0"/>
              <w:marBottom w:val="0"/>
              <w:divBdr>
                <w:top w:val="none" w:sz="0" w:space="0" w:color="auto"/>
                <w:left w:val="none" w:sz="0" w:space="0" w:color="auto"/>
                <w:bottom w:val="none" w:sz="0" w:space="0" w:color="auto"/>
                <w:right w:val="none" w:sz="0" w:space="0" w:color="auto"/>
              </w:divBdr>
              <w:divsChild>
                <w:div w:id="1996955772">
                  <w:marLeft w:val="0"/>
                  <w:marRight w:val="0"/>
                  <w:marTop w:val="0"/>
                  <w:marBottom w:val="0"/>
                  <w:divBdr>
                    <w:top w:val="none" w:sz="0" w:space="0" w:color="auto"/>
                    <w:left w:val="none" w:sz="0" w:space="0" w:color="auto"/>
                    <w:bottom w:val="none" w:sz="0" w:space="0" w:color="auto"/>
                    <w:right w:val="none" w:sz="0" w:space="0" w:color="auto"/>
                  </w:divBdr>
                  <w:divsChild>
                    <w:div w:id="1551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8676">
      <w:bodyDiv w:val="1"/>
      <w:marLeft w:val="0"/>
      <w:marRight w:val="0"/>
      <w:marTop w:val="0"/>
      <w:marBottom w:val="0"/>
      <w:divBdr>
        <w:top w:val="none" w:sz="0" w:space="0" w:color="auto"/>
        <w:left w:val="none" w:sz="0" w:space="0" w:color="auto"/>
        <w:bottom w:val="none" w:sz="0" w:space="0" w:color="auto"/>
        <w:right w:val="none" w:sz="0" w:space="0" w:color="auto"/>
      </w:divBdr>
      <w:divsChild>
        <w:div w:id="1719619906">
          <w:marLeft w:val="0"/>
          <w:marRight w:val="0"/>
          <w:marTop w:val="0"/>
          <w:marBottom w:val="0"/>
          <w:divBdr>
            <w:top w:val="none" w:sz="0" w:space="0" w:color="auto"/>
            <w:left w:val="none" w:sz="0" w:space="0" w:color="auto"/>
            <w:bottom w:val="none" w:sz="0" w:space="0" w:color="auto"/>
            <w:right w:val="none" w:sz="0" w:space="0" w:color="auto"/>
          </w:divBdr>
          <w:divsChild>
            <w:div w:id="971861192">
              <w:marLeft w:val="0"/>
              <w:marRight w:val="0"/>
              <w:marTop w:val="0"/>
              <w:marBottom w:val="0"/>
              <w:divBdr>
                <w:top w:val="none" w:sz="0" w:space="0" w:color="auto"/>
                <w:left w:val="none" w:sz="0" w:space="0" w:color="auto"/>
                <w:bottom w:val="none" w:sz="0" w:space="0" w:color="auto"/>
                <w:right w:val="none" w:sz="0" w:space="0" w:color="auto"/>
              </w:divBdr>
              <w:divsChild>
                <w:div w:id="463013173">
                  <w:marLeft w:val="0"/>
                  <w:marRight w:val="0"/>
                  <w:marTop w:val="0"/>
                  <w:marBottom w:val="0"/>
                  <w:divBdr>
                    <w:top w:val="none" w:sz="0" w:space="0" w:color="auto"/>
                    <w:left w:val="none" w:sz="0" w:space="0" w:color="auto"/>
                    <w:bottom w:val="none" w:sz="0" w:space="0" w:color="auto"/>
                    <w:right w:val="none" w:sz="0" w:space="0" w:color="auto"/>
                  </w:divBdr>
                  <w:divsChild>
                    <w:div w:id="1427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02609">
      <w:bodyDiv w:val="1"/>
      <w:marLeft w:val="0"/>
      <w:marRight w:val="0"/>
      <w:marTop w:val="0"/>
      <w:marBottom w:val="0"/>
      <w:divBdr>
        <w:top w:val="none" w:sz="0" w:space="0" w:color="auto"/>
        <w:left w:val="none" w:sz="0" w:space="0" w:color="auto"/>
        <w:bottom w:val="none" w:sz="0" w:space="0" w:color="auto"/>
        <w:right w:val="none" w:sz="0" w:space="0" w:color="auto"/>
      </w:divBdr>
      <w:divsChild>
        <w:div w:id="964314927">
          <w:marLeft w:val="0"/>
          <w:marRight w:val="0"/>
          <w:marTop w:val="0"/>
          <w:marBottom w:val="0"/>
          <w:divBdr>
            <w:top w:val="none" w:sz="0" w:space="0" w:color="auto"/>
            <w:left w:val="none" w:sz="0" w:space="0" w:color="auto"/>
            <w:bottom w:val="none" w:sz="0" w:space="0" w:color="auto"/>
            <w:right w:val="none" w:sz="0" w:space="0" w:color="auto"/>
          </w:divBdr>
          <w:divsChild>
            <w:div w:id="1178345389">
              <w:marLeft w:val="0"/>
              <w:marRight w:val="0"/>
              <w:marTop w:val="0"/>
              <w:marBottom w:val="0"/>
              <w:divBdr>
                <w:top w:val="none" w:sz="0" w:space="0" w:color="auto"/>
                <w:left w:val="none" w:sz="0" w:space="0" w:color="auto"/>
                <w:bottom w:val="none" w:sz="0" w:space="0" w:color="auto"/>
                <w:right w:val="none" w:sz="0" w:space="0" w:color="auto"/>
              </w:divBdr>
              <w:divsChild>
                <w:div w:id="1749425062">
                  <w:marLeft w:val="0"/>
                  <w:marRight w:val="0"/>
                  <w:marTop w:val="0"/>
                  <w:marBottom w:val="0"/>
                  <w:divBdr>
                    <w:top w:val="none" w:sz="0" w:space="0" w:color="auto"/>
                    <w:left w:val="none" w:sz="0" w:space="0" w:color="auto"/>
                    <w:bottom w:val="none" w:sz="0" w:space="0" w:color="auto"/>
                    <w:right w:val="none" w:sz="0" w:space="0" w:color="auto"/>
                  </w:divBdr>
                  <w:divsChild>
                    <w:div w:id="13191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cnm.org.br/comunicacao/noticias/cnm-esclarece-sal&#225;rio-m&#237;nimo-regional-aprovado-por-alguns-estados-n&#227;o-vale-para-os-munic&#237;pios" TargetMode="Externa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6.xml"/></Relationships>
</file>

<file path=word/_rels/footnotes.xml.rels><?xml version="1.0" encoding="UTF-8" standalone="yes"?>
<Relationships xmlns="http://schemas.openxmlformats.org/package/2006/relationships"><Relationship Id="rId1" Type="http://schemas.openxmlformats.org/officeDocument/2006/relationships/hyperlink" Target="http://www.mtecbo.gov.br/cbosite/pages/regulamentacao.js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rofisso&#771;es%20Regulamentad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pmvbastos/Documents/GitHub/OccupationalLicensingBR/Data/Registro%20Profissional%20M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pmvbastos/Documents/GitHub/OccupationalLicensingBR/Data/PNAD%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'Evolução Tempo'!$B$1</c:f>
              <c:strCache>
                <c:ptCount val="1"/>
                <c:pt idx="0">
                  <c:v>Count</c:v>
                </c:pt>
              </c:strCache>
            </c:strRef>
          </c:tx>
          <c:spPr>
            <a:ln w="28575" cap="rnd">
              <a:solidFill>
                <a:schemeClr val="accent1"/>
              </a:solidFill>
              <a:round/>
            </a:ln>
            <a:effectLst/>
          </c:spPr>
          <c:marker>
            <c:symbol val="none"/>
          </c:marker>
          <c:cat>
            <c:numRef>
              <c:f>'Evolução Tempo'!$A$2:$A$96</c:f>
              <c:numCache>
                <c:formatCode>General</c:formatCode>
                <c:ptCount val="95"/>
                <c:pt idx="0">
                  <c:v>1930</c:v>
                </c:pt>
                <c:pt idx="1">
                  <c:v>1931</c:v>
                </c:pt>
                <c:pt idx="2">
                  <c:v>1932</c:v>
                </c:pt>
                <c:pt idx="3">
                  <c:v>1933</c:v>
                </c:pt>
                <c:pt idx="4">
                  <c:v>1934</c:v>
                </c:pt>
                <c:pt idx="5">
                  <c:v>1935</c:v>
                </c:pt>
                <c:pt idx="6">
                  <c:v>1936</c:v>
                </c:pt>
                <c:pt idx="7">
                  <c:v>1937</c:v>
                </c:pt>
                <c:pt idx="8">
                  <c:v>1938</c:v>
                </c:pt>
                <c:pt idx="9">
                  <c:v>1939</c:v>
                </c:pt>
                <c:pt idx="10">
                  <c:v>1940</c:v>
                </c:pt>
                <c:pt idx="11">
                  <c:v>1941</c:v>
                </c:pt>
                <c:pt idx="12">
                  <c:v>1942</c:v>
                </c:pt>
                <c:pt idx="13">
                  <c:v>1943</c:v>
                </c:pt>
                <c:pt idx="14">
                  <c:v>1944</c:v>
                </c:pt>
                <c:pt idx="15">
                  <c:v>1945</c:v>
                </c:pt>
                <c:pt idx="16">
                  <c:v>1946</c:v>
                </c:pt>
                <c:pt idx="17">
                  <c:v>1947</c:v>
                </c:pt>
                <c:pt idx="18">
                  <c:v>1948</c:v>
                </c:pt>
                <c:pt idx="19">
                  <c:v>1949</c:v>
                </c:pt>
                <c:pt idx="20">
                  <c:v>1950</c:v>
                </c:pt>
                <c:pt idx="21">
                  <c:v>1951</c:v>
                </c:pt>
                <c:pt idx="22">
                  <c:v>1952</c:v>
                </c:pt>
                <c:pt idx="23">
                  <c:v>1953</c:v>
                </c:pt>
                <c:pt idx="24">
                  <c:v>1954</c:v>
                </c:pt>
                <c:pt idx="25">
                  <c:v>1955</c:v>
                </c:pt>
                <c:pt idx="26">
                  <c:v>1956</c:v>
                </c:pt>
                <c:pt idx="27">
                  <c:v>1957</c:v>
                </c:pt>
                <c:pt idx="28">
                  <c:v>1958</c:v>
                </c:pt>
                <c:pt idx="29">
                  <c:v>1959</c:v>
                </c:pt>
                <c:pt idx="30">
                  <c:v>1960</c:v>
                </c:pt>
                <c:pt idx="31">
                  <c:v>1961</c:v>
                </c:pt>
                <c:pt idx="32">
                  <c:v>1962</c:v>
                </c:pt>
                <c:pt idx="33">
                  <c:v>1963</c:v>
                </c:pt>
                <c:pt idx="34">
                  <c:v>1964</c:v>
                </c:pt>
                <c:pt idx="35">
                  <c:v>1965</c:v>
                </c:pt>
                <c:pt idx="36">
                  <c:v>1966</c:v>
                </c:pt>
                <c:pt idx="37">
                  <c:v>1967</c:v>
                </c:pt>
                <c:pt idx="38">
                  <c:v>1968</c:v>
                </c:pt>
                <c:pt idx="39">
                  <c:v>1969</c:v>
                </c:pt>
                <c:pt idx="40">
                  <c:v>1970</c:v>
                </c:pt>
                <c:pt idx="41">
                  <c:v>1971</c:v>
                </c:pt>
                <c:pt idx="42">
                  <c:v>1972</c:v>
                </c:pt>
                <c:pt idx="43">
                  <c:v>1973</c:v>
                </c:pt>
                <c:pt idx="44">
                  <c:v>1974</c:v>
                </c:pt>
                <c:pt idx="45">
                  <c:v>1975</c:v>
                </c:pt>
                <c:pt idx="46">
                  <c:v>1976</c:v>
                </c:pt>
                <c:pt idx="47">
                  <c:v>1977</c:v>
                </c:pt>
                <c:pt idx="48">
                  <c:v>1978</c:v>
                </c:pt>
                <c:pt idx="49">
                  <c:v>1979</c:v>
                </c:pt>
                <c:pt idx="50">
                  <c:v>1980</c:v>
                </c:pt>
                <c:pt idx="51">
                  <c:v>1981</c:v>
                </c:pt>
                <c:pt idx="52">
                  <c:v>1982</c:v>
                </c:pt>
                <c:pt idx="53">
                  <c:v>1983</c:v>
                </c:pt>
                <c:pt idx="54">
                  <c:v>1984</c:v>
                </c:pt>
                <c:pt idx="55">
                  <c:v>1985</c:v>
                </c:pt>
                <c:pt idx="56">
                  <c:v>1986</c:v>
                </c:pt>
                <c:pt idx="57">
                  <c:v>1987</c:v>
                </c:pt>
                <c:pt idx="58">
                  <c:v>1988</c:v>
                </c:pt>
                <c:pt idx="59">
                  <c:v>1989</c:v>
                </c:pt>
                <c:pt idx="60">
                  <c:v>1990</c:v>
                </c:pt>
                <c:pt idx="61">
                  <c:v>1991</c:v>
                </c:pt>
                <c:pt idx="62">
                  <c:v>1992</c:v>
                </c:pt>
                <c:pt idx="63">
                  <c:v>1993</c:v>
                </c:pt>
                <c:pt idx="64">
                  <c:v>1994</c:v>
                </c:pt>
                <c:pt idx="65">
                  <c:v>1995</c:v>
                </c:pt>
                <c:pt idx="66">
                  <c:v>1996</c:v>
                </c:pt>
                <c:pt idx="67">
                  <c:v>1997</c:v>
                </c:pt>
                <c:pt idx="68">
                  <c:v>1998</c:v>
                </c:pt>
                <c:pt idx="69">
                  <c:v>1999</c:v>
                </c:pt>
                <c:pt idx="70">
                  <c:v>2000</c:v>
                </c:pt>
                <c:pt idx="71">
                  <c:v>2001</c:v>
                </c:pt>
                <c:pt idx="72">
                  <c:v>2002</c:v>
                </c:pt>
                <c:pt idx="73">
                  <c:v>2003</c:v>
                </c:pt>
                <c:pt idx="74">
                  <c:v>2004</c:v>
                </c:pt>
                <c:pt idx="75">
                  <c:v>2005</c:v>
                </c:pt>
                <c:pt idx="76">
                  <c:v>2006</c:v>
                </c:pt>
                <c:pt idx="77">
                  <c:v>2007</c:v>
                </c:pt>
                <c:pt idx="78">
                  <c:v>2008</c:v>
                </c:pt>
                <c:pt idx="79">
                  <c:v>2009</c:v>
                </c:pt>
                <c:pt idx="80">
                  <c:v>2010</c:v>
                </c:pt>
                <c:pt idx="81">
                  <c:v>2011</c:v>
                </c:pt>
                <c:pt idx="82">
                  <c:v>2012</c:v>
                </c:pt>
                <c:pt idx="83">
                  <c:v>2013</c:v>
                </c:pt>
                <c:pt idx="84">
                  <c:v>2014</c:v>
                </c:pt>
                <c:pt idx="85">
                  <c:v>2015</c:v>
                </c:pt>
                <c:pt idx="86">
                  <c:v>2016</c:v>
                </c:pt>
                <c:pt idx="87">
                  <c:v>2017</c:v>
                </c:pt>
                <c:pt idx="88">
                  <c:v>2018</c:v>
                </c:pt>
                <c:pt idx="89">
                  <c:v>2019</c:v>
                </c:pt>
                <c:pt idx="90">
                  <c:v>2020</c:v>
                </c:pt>
                <c:pt idx="91">
                  <c:v>2021</c:v>
                </c:pt>
                <c:pt idx="92">
                  <c:v>2022</c:v>
                </c:pt>
                <c:pt idx="93">
                  <c:v>2023</c:v>
                </c:pt>
                <c:pt idx="94">
                  <c:v>2024</c:v>
                </c:pt>
              </c:numCache>
            </c:numRef>
          </c:cat>
          <c:val>
            <c:numRef>
              <c:f>'Evolução Tempo'!$B$2:$B$96</c:f>
              <c:numCache>
                <c:formatCode>General</c:formatCode>
                <c:ptCount val="95"/>
                <c:pt idx="0">
                  <c:v>1</c:v>
                </c:pt>
                <c:pt idx="1">
                  <c:v>1</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3</c:v>
                </c:pt>
                <c:pt idx="17">
                  <c:v>3</c:v>
                </c:pt>
                <c:pt idx="18">
                  <c:v>3</c:v>
                </c:pt>
                <c:pt idx="19">
                  <c:v>3</c:v>
                </c:pt>
                <c:pt idx="20">
                  <c:v>3</c:v>
                </c:pt>
                <c:pt idx="21">
                  <c:v>4</c:v>
                </c:pt>
                <c:pt idx="22">
                  <c:v>4</c:v>
                </c:pt>
                <c:pt idx="23">
                  <c:v>4</c:v>
                </c:pt>
                <c:pt idx="24">
                  <c:v>4</c:v>
                </c:pt>
                <c:pt idx="25">
                  <c:v>4</c:v>
                </c:pt>
                <c:pt idx="26">
                  <c:v>5</c:v>
                </c:pt>
                <c:pt idx="27">
                  <c:v>6</c:v>
                </c:pt>
                <c:pt idx="28">
                  <c:v>6</c:v>
                </c:pt>
                <c:pt idx="29">
                  <c:v>6</c:v>
                </c:pt>
                <c:pt idx="30">
                  <c:v>8</c:v>
                </c:pt>
                <c:pt idx="31">
                  <c:v>10</c:v>
                </c:pt>
                <c:pt idx="32">
                  <c:v>13</c:v>
                </c:pt>
                <c:pt idx="33">
                  <c:v>13</c:v>
                </c:pt>
                <c:pt idx="34">
                  <c:v>15</c:v>
                </c:pt>
                <c:pt idx="35">
                  <c:v>21</c:v>
                </c:pt>
                <c:pt idx="36">
                  <c:v>24</c:v>
                </c:pt>
                <c:pt idx="37">
                  <c:v>26</c:v>
                </c:pt>
                <c:pt idx="38">
                  <c:v>30</c:v>
                </c:pt>
                <c:pt idx="39">
                  <c:v>33</c:v>
                </c:pt>
                <c:pt idx="40">
                  <c:v>33</c:v>
                </c:pt>
                <c:pt idx="41">
                  <c:v>33</c:v>
                </c:pt>
                <c:pt idx="42">
                  <c:v>34</c:v>
                </c:pt>
                <c:pt idx="43">
                  <c:v>35</c:v>
                </c:pt>
                <c:pt idx="44">
                  <c:v>35</c:v>
                </c:pt>
                <c:pt idx="45">
                  <c:v>36</c:v>
                </c:pt>
                <c:pt idx="46">
                  <c:v>37</c:v>
                </c:pt>
                <c:pt idx="47">
                  <c:v>37</c:v>
                </c:pt>
                <c:pt idx="48">
                  <c:v>44</c:v>
                </c:pt>
                <c:pt idx="49">
                  <c:v>48</c:v>
                </c:pt>
                <c:pt idx="50">
                  <c:v>50</c:v>
                </c:pt>
                <c:pt idx="51">
                  <c:v>51</c:v>
                </c:pt>
                <c:pt idx="52">
                  <c:v>51</c:v>
                </c:pt>
                <c:pt idx="53">
                  <c:v>51</c:v>
                </c:pt>
                <c:pt idx="54">
                  <c:v>53</c:v>
                </c:pt>
                <c:pt idx="55">
                  <c:v>59</c:v>
                </c:pt>
                <c:pt idx="56">
                  <c:v>59</c:v>
                </c:pt>
                <c:pt idx="57">
                  <c:v>60</c:v>
                </c:pt>
                <c:pt idx="58">
                  <c:v>60</c:v>
                </c:pt>
                <c:pt idx="59">
                  <c:v>60</c:v>
                </c:pt>
                <c:pt idx="60">
                  <c:v>60</c:v>
                </c:pt>
                <c:pt idx="61">
                  <c:v>60</c:v>
                </c:pt>
                <c:pt idx="62">
                  <c:v>60</c:v>
                </c:pt>
                <c:pt idx="63">
                  <c:v>61</c:v>
                </c:pt>
                <c:pt idx="64">
                  <c:v>61</c:v>
                </c:pt>
                <c:pt idx="65">
                  <c:v>61</c:v>
                </c:pt>
                <c:pt idx="66">
                  <c:v>61</c:v>
                </c:pt>
                <c:pt idx="67">
                  <c:v>61</c:v>
                </c:pt>
                <c:pt idx="68">
                  <c:v>62</c:v>
                </c:pt>
                <c:pt idx="69">
                  <c:v>62</c:v>
                </c:pt>
                <c:pt idx="70">
                  <c:v>62</c:v>
                </c:pt>
                <c:pt idx="71">
                  <c:v>64</c:v>
                </c:pt>
                <c:pt idx="72">
                  <c:v>65</c:v>
                </c:pt>
                <c:pt idx="73">
                  <c:v>65</c:v>
                </c:pt>
                <c:pt idx="74">
                  <c:v>65</c:v>
                </c:pt>
                <c:pt idx="75">
                  <c:v>65</c:v>
                </c:pt>
                <c:pt idx="76">
                  <c:v>65</c:v>
                </c:pt>
                <c:pt idx="77">
                  <c:v>66</c:v>
                </c:pt>
                <c:pt idx="78">
                  <c:v>68</c:v>
                </c:pt>
                <c:pt idx="79">
                  <c:v>70</c:v>
                </c:pt>
                <c:pt idx="80">
                  <c:v>73</c:v>
                </c:pt>
                <c:pt idx="81">
                  <c:v>75</c:v>
                </c:pt>
                <c:pt idx="82">
                  <c:v>77</c:v>
                </c:pt>
                <c:pt idx="83">
                  <c:v>78</c:v>
                </c:pt>
                <c:pt idx="84">
                  <c:v>78</c:v>
                </c:pt>
                <c:pt idx="85">
                  <c:v>78</c:v>
                </c:pt>
                <c:pt idx="86">
                  <c:v>78</c:v>
                </c:pt>
                <c:pt idx="87">
                  <c:v>78</c:v>
                </c:pt>
                <c:pt idx="88">
                  <c:v>81</c:v>
                </c:pt>
                <c:pt idx="89">
                  <c:v>81</c:v>
                </c:pt>
                <c:pt idx="90">
                  <c:v>82</c:v>
                </c:pt>
                <c:pt idx="91">
                  <c:v>83</c:v>
                </c:pt>
                <c:pt idx="92">
                  <c:v>83</c:v>
                </c:pt>
                <c:pt idx="93">
                  <c:v>84</c:v>
                </c:pt>
                <c:pt idx="94">
                  <c:v>84</c:v>
                </c:pt>
              </c:numCache>
            </c:numRef>
          </c:val>
          <c:smooth val="0"/>
          <c:extLst>
            <c:ext xmlns:c16="http://schemas.microsoft.com/office/drawing/2014/chart" uri="{C3380CC4-5D6E-409C-BE32-E72D297353CC}">
              <c16:uniqueId val="{00000000-64D4-1740-93C7-DD95646D049B}"/>
            </c:ext>
          </c:extLst>
        </c:ser>
        <c:dLbls>
          <c:showLegendKey val="0"/>
          <c:showVal val="0"/>
          <c:showCatName val="0"/>
          <c:showSerName val="0"/>
          <c:showPercent val="0"/>
          <c:showBubbleSize val="0"/>
        </c:dLbls>
        <c:smooth val="0"/>
        <c:axId val="357460928"/>
        <c:axId val="357457936"/>
      </c:lineChart>
      <c:catAx>
        <c:axId val="35746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57457936"/>
        <c:crosses val="autoZero"/>
        <c:auto val="0"/>
        <c:lblAlgn val="ctr"/>
        <c:lblOffset val="100"/>
        <c:noMultiLvlLbl val="0"/>
      </c:catAx>
      <c:valAx>
        <c:axId val="357457936"/>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60928"/>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Sheet2!$B$13</c:f>
              <c:strCache>
                <c:ptCount val="1"/>
                <c:pt idx="0">
                  <c:v>Artist</c:v>
                </c:pt>
              </c:strCache>
            </c:strRef>
          </c:tx>
          <c:spPr>
            <a:solidFill>
              <a:schemeClr val="accent1"/>
            </a:solidFill>
            <a:ln>
              <a:noFill/>
            </a:ln>
            <a:effectLst/>
          </c:spPr>
          <c:invertIfNegative val="0"/>
          <c:cat>
            <c:numRef>
              <c:f>Sheet2!$A$14:$A$22</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Sheet2!$B$14:$B$22</c:f>
              <c:numCache>
                <c:formatCode>_(* #,##0_);_(* \(#,##0\);_(* "-"??_);_(@_)</c:formatCode>
                <c:ptCount val="9"/>
                <c:pt idx="0">
                  <c:v>8386</c:v>
                </c:pt>
                <c:pt idx="1">
                  <c:v>8115</c:v>
                </c:pt>
                <c:pt idx="2">
                  <c:v>9302</c:v>
                </c:pt>
                <c:pt idx="3">
                  <c:v>9221</c:v>
                </c:pt>
                <c:pt idx="4">
                  <c:v>10600</c:v>
                </c:pt>
                <c:pt idx="5">
                  <c:v>5361</c:v>
                </c:pt>
                <c:pt idx="6">
                  <c:v>8310</c:v>
                </c:pt>
                <c:pt idx="7">
                  <c:v>7925</c:v>
                </c:pt>
                <c:pt idx="8">
                  <c:v>7757</c:v>
                </c:pt>
              </c:numCache>
            </c:numRef>
          </c:val>
          <c:extLst>
            <c:ext xmlns:c16="http://schemas.microsoft.com/office/drawing/2014/chart" uri="{C3380CC4-5D6E-409C-BE32-E72D297353CC}">
              <c16:uniqueId val="{00000000-EE87-554C-A960-705E67ED7D5E}"/>
            </c:ext>
          </c:extLst>
        </c:ser>
        <c:ser>
          <c:idx val="1"/>
          <c:order val="1"/>
          <c:tx>
            <c:strRef>
              <c:f>Sheet2!$C$13</c:f>
              <c:strCache>
                <c:ptCount val="1"/>
                <c:pt idx="0">
                  <c:v>Journalist</c:v>
                </c:pt>
              </c:strCache>
            </c:strRef>
          </c:tx>
          <c:spPr>
            <a:solidFill>
              <a:schemeClr val="accent2"/>
            </a:solidFill>
            <a:ln>
              <a:noFill/>
            </a:ln>
            <a:effectLst/>
          </c:spPr>
          <c:invertIfNegative val="0"/>
          <c:cat>
            <c:numRef>
              <c:f>Sheet2!$A$14:$A$22</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Sheet2!$C$14:$C$22</c:f>
              <c:numCache>
                <c:formatCode>_(* #,##0_);_(* \(#,##0\);_(* "-"??_);_(@_)</c:formatCode>
                <c:ptCount val="9"/>
                <c:pt idx="0">
                  <c:v>7438</c:v>
                </c:pt>
                <c:pt idx="1">
                  <c:v>6643</c:v>
                </c:pt>
                <c:pt idx="2">
                  <c:v>7807</c:v>
                </c:pt>
                <c:pt idx="3">
                  <c:v>7352</c:v>
                </c:pt>
                <c:pt idx="4">
                  <c:v>7069</c:v>
                </c:pt>
                <c:pt idx="5">
                  <c:v>2649</c:v>
                </c:pt>
                <c:pt idx="6">
                  <c:v>7737</c:v>
                </c:pt>
                <c:pt idx="7">
                  <c:v>7305</c:v>
                </c:pt>
                <c:pt idx="8">
                  <c:v>6985</c:v>
                </c:pt>
              </c:numCache>
            </c:numRef>
          </c:val>
          <c:extLst>
            <c:ext xmlns:c16="http://schemas.microsoft.com/office/drawing/2014/chart" uri="{C3380CC4-5D6E-409C-BE32-E72D297353CC}">
              <c16:uniqueId val="{00000001-EE87-554C-A960-705E67ED7D5E}"/>
            </c:ext>
          </c:extLst>
        </c:ser>
        <c:ser>
          <c:idx val="2"/>
          <c:order val="2"/>
          <c:tx>
            <c:strRef>
              <c:f>Sheet2!$D$13</c:f>
              <c:strCache>
                <c:ptCount val="1"/>
                <c:pt idx="0">
                  <c:v>Radio Broadcaster</c:v>
                </c:pt>
              </c:strCache>
            </c:strRef>
          </c:tx>
          <c:spPr>
            <a:solidFill>
              <a:schemeClr val="accent3"/>
            </a:solidFill>
            <a:ln>
              <a:noFill/>
            </a:ln>
            <a:effectLst/>
          </c:spPr>
          <c:invertIfNegative val="0"/>
          <c:cat>
            <c:numRef>
              <c:f>Sheet2!$A$14:$A$22</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Sheet2!$D$14:$D$22</c:f>
              <c:numCache>
                <c:formatCode>_(* #,##0_);_(* \(#,##0\);_(* "-"??_);_(@_)</c:formatCode>
                <c:ptCount val="9"/>
                <c:pt idx="0">
                  <c:v>13037</c:v>
                </c:pt>
                <c:pt idx="1">
                  <c:v>11701</c:v>
                </c:pt>
                <c:pt idx="2">
                  <c:v>13137</c:v>
                </c:pt>
                <c:pt idx="3">
                  <c:v>7613</c:v>
                </c:pt>
                <c:pt idx="4">
                  <c:v>5743</c:v>
                </c:pt>
                <c:pt idx="5">
                  <c:v>2214</c:v>
                </c:pt>
                <c:pt idx="6">
                  <c:v>6311</c:v>
                </c:pt>
                <c:pt idx="7">
                  <c:v>5439</c:v>
                </c:pt>
                <c:pt idx="8">
                  <c:v>4715</c:v>
                </c:pt>
              </c:numCache>
            </c:numRef>
          </c:val>
          <c:extLst>
            <c:ext xmlns:c16="http://schemas.microsoft.com/office/drawing/2014/chart" uri="{C3380CC4-5D6E-409C-BE32-E72D297353CC}">
              <c16:uniqueId val="{00000002-EE87-554C-A960-705E67ED7D5E}"/>
            </c:ext>
          </c:extLst>
        </c:ser>
        <c:ser>
          <c:idx val="3"/>
          <c:order val="3"/>
          <c:tx>
            <c:strRef>
              <c:f>Sheet2!$E$13</c:f>
              <c:strCache>
                <c:ptCount val="1"/>
                <c:pt idx="0">
                  <c:v>Labor Safety Technician</c:v>
                </c:pt>
              </c:strCache>
            </c:strRef>
          </c:tx>
          <c:spPr>
            <a:solidFill>
              <a:schemeClr val="accent4"/>
            </a:solidFill>
            <a:ln>
              <a:noFill/>
            </a:ln>
            <a:effectLst/>
          </c:spPr>
          <c:invertIfNegative val="0"/>
          <c:cat>
            <c:numRef>
              <c:f>Sheet2!$A$14:$A$22</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Sheet2!$E$14:$E$22</c:f>
              <c:numCache>
                <c:formatCode>_(* #,##0_);_(* \(#,##0\);_(* "-"??_);_(@_)</c:formatCode>
                <c:ptCount val="9"/>
                <c:pt idx="0">
                  <c:v>33322</c:v>
                </c:pt>
                <c:pt idx="1">
                  <c:v>30844</c:v>
                </c:pt>
                <c:pt idx="2">
                  <c:v>25062</c:v>
                </c:pt>
                <c:pt idx="3">
                  <c:v>20097</c:v>
                </c:pt>
                <c:pt idx="4">
                  <c:v>17610</c:v>
                </c:pt>
                <c:pt idx="5">
                  <c:v>10062</c:v>
                </c:pt>
                <c:pt idx="6">
                  <c:v>16693</c:v>
                </c:pt>
                <c:pt idx="7">
                  <c:v>18176</c:v>
                </c:pt>
                <c:pt idx="8">
                  <c:v>23819</c:v>
                </c:pt>
              </c:numCache>
            </c:numRef>
          </c:val>
          <c:extLst>
            <c:ext xmlns:c16="http://schemas.microsoft.com/office/drawing/2014/chart" uri="{C3380CC4-5D6E-409C-BE32-E72D297353CC}">
              <c16:uniqueId val="{00000003-EE87-554C-A960-705E67ED7D5E}"/>
            </c:ext>
          </c:extLst>
        </c:ser>
        <c:ser>
          <c:idx val="4"/>
          <c:order val="4"/>
          <c:tx>
            <c:strRef>
              <c:f>Sheet2!$F$13</c:f>
              <c:strCache>
                <c:ptCount val="1"/>
                <c:pt idx="0">
                  <c:v>Other</c:v>
                </c:pt>
              </c:strCache>
            </c:strRef>
          </c:tx>
          <c:spPr>
            <a:solidFill>
              <a:schemeClr val="accent5"/>
            </a:solidFill>
            <a:ln>
              <a:noFill/>
            </a:ln>
            <a:effectLst/>
          </c:spPr>
          <c:invertIfNegative val="0"/>
          <c:cat>
            <c:numRef>
              <c:f>Sheet2!$A$14:$A$22</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Sheet2!$F$14:$F$22</c:f>
              <c:numCache>
                <c:formatCode>_(* #,##0_);_(* \(#,##0\);_(* "-"??_);_(@_)</c:formatCode>
                <c:ptCount val="9"/>
                <c:pt idx="0">
                  <c:v>7200</c:v>
                </c:pt>
                <c:pt idx="1">
                  <c:v>6301</c:v>
                </c:pt>
                <c:pt idx="2">
                  <c:v>6560</c:v>
                </c:pt>
                <c:pt idx="3">
                  <c:v>6179</c:v>
                </c:pt>
                <c:pt idx="4">
                  <c:v>5611</c:v>
                </c:pt>
                <c:pt idx="5">
                  <c:v>2546</c:v>
                </c:pt>
                <c:pt idx="6">
                  <c:v>10056</c:v>
                </c:pt>
                <c:pt idx="7">
                  <c:v>5588</c:v>
                </c:pt>
                <c:pt idx="8">
                  <c:v>6225</c:v>
                </c:pt>
              </c:numCache>
            </c:numRef>
          </c:val>
          <c:extLst>
            <c:ext xmlns:c16="http://schemas.microsoft.com/office/drawing/2014/chart" uri="{C3380CC4-5D6E-409C-BE32-E72D297353CC}">
              <c16:uniqueId val="{00000004-EE87-554C-A960-705E67ED7D5E}"/>
            </c:ext>
          </c:extLst>
        </c:ser>
        <c:dLbls>
          <c:showLegendKey val="0"/>
          <c:showVal val="0"/>
          <c:showCatName val="0"/>
          <c:showSerName val="0"/>
          <c:showPercent val="0"/>
          <c:showBubbleSize val="0"/>
        </c:dLbls>
        <c:gapWidth val="150"/>
        <c:overlap val="100"/>
        <c:axId val="627984208"/>
        <c:axId val="627812208"/>
      </c:barChart>
      <c:catAx>
        <c:axId val="62798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812208"/>
        <c:crosses val="autoZero"/>
        <c:auto val="1"/>
        <c:lblAlgn val="ctr"/>
        <c:lblOffset val="100"/>
        <c:noMultiLvlLbl val="0"/>
      </c:catAx>
      <c:valAx>
        <c:axId val="6278122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98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Shares!$B$1</c:f>
              <c:strCache>
                <c:ptCount val="1"/>
                <c:pt idx="0">
                  <c:v>Licensed </c:v>
                </c:pt>
              </c:strCache>
            </c:strRef>
          </c:tx>
          <c:spPr>
            <a:solidFill>
              <a:schemeClr val="accent1"/>
            </a:solidFill>
            <a:ln>
              <a:noFill/>
            </a:ln>
            <a:effectLst/>
          </c:spPr>
          <c:cat>
            <c:strRef>
              <c:f>Shares!$A$2:$A$51</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Shares!$B$2:$B$51</c:f>
              <c:numCache>
                <c:formatCode>0.00%</c:formatCode>
                <c:ptCount val="50"/>
                <c:pt idx="0">
                  <c:v>0.10249999999999999</c:v>
                </c:pt>
                <c:pt idx="1">
                  <c:v>0.1021</c:v>
                </c:pt>
                <c:pt idx="2">
                  <c:v>0.1041</c:v>
                </c:pt>
                <c:pt idx="3">
                  <c:v>9.9900000000000003E-2</c:v>
                </c:pt>
                <c:pt idx="4">
                  <c:v>0.10290000000000001</c:v>
                </c:pt>
                <c:pt idx="5">
                  <c:v>0.1031</c:v>
                </c:pt>
                <c:pt idx="6">
                  <c:v>0.10390000000000001</c:v>
                </c:pt>
                <c:pt idx="7">
                  <c:v>0.10199999999999999</c:v>
                </c:pt>
                <c:pt idx="8">
                  <c:v>0.1046</c:v>
                </c:pt>
                <c:pt idx="9">
                  <c:v>0.1037</c:v>
                </c:pt>
                <c:pt idx="10">
                  <c:v>0.10440000000000001</c:v>
                </c:pt>
                <c:pt idx="11">
                  <c:v>0.1048</c:v>
                </c:pt>
                <c:pt idx="12">
                  <c:v>0.10589999999999999</c:v>
                </c:pt>
                <c:pt idx="13">
                  <c:v>0.10780000000000001</c:v>
                </c:pt>
                <c:pt idx="14">
                  <c:v>0.1096</c:v>
                </c:pt>
                <c:pt idx="15">
                  <c:v>0.10979999999999999</c:v>
                </c:pt>
                <c:pt idx="16">
                  <c:v>0.1106</c:v>
                </c:pt>
                <c:pt idx="17">
                  <c:v>0.1106</c:v>
                </c:pt>
                <c:pt idx="18">
                  <c:v>0.112</c:v>
                </c:pt>
                <c:pt idx="19">
                  <c:v>0.10929999999999999</c:v>
                </c:pt>
                <c:pt idx="20">
                  <c:v>0.1113</c:v>
                </c:pt>
                <c:pt idx="21">
                  <c:v>0.11119999999999999</c:v>
                </c:pt>
                <c:pt idx="22">
                  <c:v>0.11210000000000001</c:v>
                </c:pt>
                <c:pt idx="23">
                  <c:v>0.1069</c:v>
                </c:pt>
                <c:pt idx="24">
                  <c:v>0.11119999999999999</c:v>
                </c:pt>
                <c:pt idx="25">
                  <c:v>0.1115</c:v>
                </c:pt>
                <c:pt idx="26">
                  <c:v>0.1119</c:v>
                </c:pt>
                <c:pt idx="27">
                  <c:v>0.11219999999999999</c:v>
                </c:pt>
                <c:pt idx="28">
                  <c:v>0.1149</c:v>
                </c:pt>
                <c:pt idx="29">
                  <c:v>0.1147</c:v>
                </c:pt>
                <c:pt idx="30">
                  <c:v>0.1152</c:v>
                </c:pt>
                <c:pt idx="31">
                  <c:v>0.11310000000000001</c:v>
                </c:pt>
                <c:pt idx="32">
                  <c:v>0.1181</c:v>
                </c:pt>
                <c:pt idx="33">
                  <c:v>0.12720000000000001</c:v>
                </c:pt>
                <c:pt idx="34">
                  <c:v>0.1237</c:v>
                </c:pt>
                <c:pt idx="35">
                  <c:v>0.12640000000000001</c:v>
                </c:pt>
                <c:pt idx="36">
                  <c:v>0.12770000000000001</c:v>
                </c:pt>
                <c:pt idx="37">
                  <c:v>0.12709999999999999</c:v>
                </c:pt>
                <c:pt idx="38">
                  <c:v>0.1263</c:v>
                </c:pt>
                <c:pt idx="39">
                  <c:v>0.1225</c:v>
                </c:pt>
                <c:pt idx="40">
                  <c:v>0.1237</c:v>
                </c:pt>
                <c:pt idx="41">
                  <c:v>0.1226</c:v>
                </c:pt>
                <c:pt idx="42">
                  <c:v>0.12509999999999999</c:v>
                </c:pt>
                <c:pt idx="43">
                  <c:v>0.12609999999999999</c:v>
                </c:pt>
                <c:pt idx="44">
                  <c:v>0.1293</c:v>
                </c:pt>
                <c:pt idx="45">
                  <c:v>0.1303</c:v>
                </c:pt>
                <c:pt idx="46">
                  <c:v>0.13400000000000001</c:v>
                </c:pt>
                <c:pt idx="47">
                  <c:v>0.13250000000000001</c:v>
                </c:pt>
                <c:pt idx="48">
                  <c:v>0.13400000000000001</c:v>
                </c:pt>
                <c:pt idx="49">
                  <c:v>0.13370000000000001</c:v>
                </c:pt>
              </c:numCache>
            </c:numRef>
          </c:val>
          <c:extLst>
            <c:ext xmlns:c16="http://schemas.microsoft.com/office/drawing/2014/chart" uri="{C3380CC4-5D6E-409C-BE32-E72D297353CC}">
              <c16:uniqueId val="{00000000-B154-5241-984A-230D87573CEA}"/>
            </c:ext>
          </c:extLst>
        </c:ser>
        <c:ser>
          <c:idx val="1"/>
          <c:order val="1"/>
          <c:tx>
            <c:strRef>
              <c:f>Shares!$C$1</c:f>
              <c:strCache>
                <c:ptCount val="1"/>
                <c:pt idx="0">
                  <c:v>Minimum Requirements</c:v>
                </c:pt>
              </c:strCache>
            </c:strRef>
          </c:tx>
          <c:spPr>
            <a:solidFill>
              <a:schemeClr val="accent2"/>
            </a:solidFill>
            <a:ln>
              <a:noFill/>
            </a:ln>
            <a:effectLst/>
          </c:spPr>
          <c:cat>
            <c:strRef>
              <c:f>Shares!$A$2:$A$51</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Shares!$C$2:$C$51</c:f>
              <c:numCache>
                <c:formatCode>0.00%</c:formatCode>
                <c:ptCount val="50"/>
                <c:pt idx="0">
                  <c:v>1.6815000000000024E-3</c:v>
                </c:pt>
                <c:pt idx="1">
                  <c:v>2.1839000000000025E-3</c:v>
                </c:pt>
                <c:pt idx="2">
                  <c:v>2.1573000000000009E-3</c:v>
                </c:pt>
                <c:pt idx="3">
                  <c:v>1.7923999999999995E-3</c:v>
                </c:pt>
                <c:pt idx="4">
                  <c:v>1.8255999999999967E-3</c:v>
                </c:pt>
                <c:pt idx="5">
                  <c:v>1.9360000000000072E-3</c:v>
                </c:pt>
                <c:pt idx="6">
                  <c:v>1.4975999999999878E-3</c:v>
                </c:pt>
                <c:pt idx="7">
                  <c:v>1.4031000000000043E-3</c:v>
                </c:pt>
                <c:pt idx="8">
                  <c:v>1.2391999999999959E-3</c:v>
                </c:pt>
                <c:pt idx="9">
                  <c:v>1.4225999999999961E-3</c:v>
                </c:pt>
                <c:pt idx="10">
                  <c:v>1.8507999999999997E-3</c:v>
                </c:pt>
                <c:pt idx="11">
                  <c:v>2.1200999999999998E-3</c:v>
                </c:pt>
                <c:pt idx="12">
                  <c:v>2.0083000000000045E-3</c:v>
                </c:pt>
                <c:pt idx="13">
                  <c:v>2.6309999999999945E-3</c:v>
                </c:pt>
                <c:pt idx="14">
                  <c:v>2.5627000000000011E-3</c:v>
                </c:pt>
                <c:pt idx="15">
                  <c:v>3.0195000000000083E-3</c:v>
                </c:pt>
                <c:pt idx="16">
                  <c:v>2.5167999999999996E-3</c:v>
                </c:pt>
                <c:pt idx="17">
                  <c:v>3.1820999999999933E-3</c:v>
                </c:pt>
                <c:pt idx="18">
                  <c:v>3.0415000000000025E-3</c:v>
                </c:pt>
                <c:pt idx="19">
                  <c:v>3.137899999999999E-3</c:v>
                </c:pt>
                <c:pt idx="20">
                  <c:v>2.9309000000000002E-3</c:v>
                </c:pt>
                <c:pt idx="21">
                  <c:v>3.2178000000000068E-3</c:v>
                </c:pt>
                <c:pt idx="22">
                  <c:v>3.5096999999999906E-3</c:v>
                </c:pt>
                <c:pt idx="23">
                  <c:v>3.4935000000000105E-3</c:v>
                </c:pt>
                <c:pt idx="24">
                  <c:v>3.555600000000006E-3</c:v>
                </c:pt>
                <c:pt idx="25">
                  <c:v>4.0147999999999989E-3</c:v>
                </c:pt>
                <c:pt idx="26">
                  <c:v>1.4945600000000003E-2</c:v>
                </c:pt>
                <c:pt idx="27">
                  <c:v>1.5493599999999996E-2</c:v>
                </c:pt>
                <c:pt idx="28">
                  <c:v>1.4901999999999999E-2</c:v>
                </c:pt>
                <c:pt idx="29">
                  <c:v>1.5751700000000007E-2</c:v>
                </c:pt>
                <c:pt idx="30">
                  <c:v>1.6104499999999994E-2</c:v>
                </c:pt>
                <c:pt idx="31">
                  <c:v>1.6306700000000007E-2</c:v>
                </c:pt>
                <c:pt idx="32">
                  <c:v>1.5143400000000015E-2</c:v>
                </c:pt>
                <c:pt idx="33">
                  <c:v>1.1657699999999993E-2</c:v>
                </c:pt>
                <c:pt idx="34">
                  <c:v>1.2857399999999991E-2</c:v>
                </c:pt>
                <c:pt idx="35">
                  <c:v>1.4306099999999988E-2</c:v>
                </c:pt>
                <c:pt idx="36">
                  <c:v>1.4557500000000001E-2</c:v>
                </c:pt>
                <c:pt idx="37">
                  <c:v>1.5609600000000001E-2</c:v>
                </c:pt>
                <c:pt idx="38">
                  <c:v>1.5309099999999992E-2</c:v>
                </c:pt>
                <c:pt idx="39">
                  <c:v>1.665620000000001E-2</c:v>
                </c:pt>
                <c:pt idx="40">
                  <c:v>1.6863899999999987E-2</c:v>
                </c:pt>
                <c:pt idx="41">
                  <c:v>1.7467799999999992E-2</c:v>
                </c:pt>
                <c:pt idx="42">
                  <c:v>1.7453999999999997E-2</c:v>
                </c:pt>
                <c:pt idx="43">
                  <c:v>1.7959400000000014E-2</c:v>
                </c:pt>
                <c:pt idx="44">
                  <c:v>1.7178200000000005E-2</c:v>
                </c:pt>
                <c:pt idx="45">
                  <c:v>1.748050000000001E-2</c:v>
                </c:pt>
                <c:pt idx="46">
                  <c:v>1.7558500000000005E-2</c:v>
                </c:pt>
                <c:pt idx="47">
                  <c:v>1.8193700000000007E-2</c:v>
                </c:pt>
                <c:pt idx="48">
                  <c:v>2.18864E-2</c:v>
                </c:pt>
                <c:pt idx="49">
                  <c:v>2.2244199999999992E-2</c:v>
                </c:pt>
              </c:numCache>
            </c:numRef>
          </c:val>
          <c:extLst>
            <c:ext xmlns:c16="http://schemas.microsoft.com/office/drawing/2014/chart" uri="{C3380CC4-5D6E-409C-BE32-E72D297353CC}">
              <c16:uniqueId val="{00000001-B154-5241-984A-230D87573CEA}"/>
            </c:ext>
          </c:extLst>
        </c:ser>
        <c:ser>
          <c:idx val="2"/>
          <c:order val="2"/>
          <c:tx>
            <c:strRef>
              <c:f>Shares!$D$1</c:f>
              <c:strCache>
                <c:ptCount val="1"/>
                <c:pt idx="0">
                  <c:v>Regulated</c:v>
                </c:pt>
              </c:strCache>
            </c:strRef>
          </c:tx>
          <c:spPr>
            <a:solidFill>
              <a:schemeClr val="accent3"/>
            </a:solidFill>
            <a:ln>
              <a:noFill/>
            </a:ln>
            <a:effectLst/>
          </c:spPr>
          <c:cat>
            <c:strRef>
              <c:f>Shares!$A$2:$A$51</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Shares!$D$2:$D$51</c:f>
              <c:numCache>
                <c:formatCode>0.00%</c:formatCode>
                <c:ptCount val="50"/>
                <c:pt idx="0">
                  <c:v>2.4776000000000103E-3</c:v>
                </c:pt>
                <c:pt idx="1">
                  <c:v>3.0690000000000023E-3</c:v>
                </c:pt>
                <c:pt idx="2">
                  <c:v>3.0308000000000002E-3</c:v>
                </c:pt>
                <c:pt idx="3">
                  <c:v>2.644599999999997E-3</c:v>
                </c:pt>
                <c:pt idx="4">
                  <c:v>7.3115399999999983E-2</c:v>
                </c:pt>
                <c:pt idx="5">
                  <c:v>7.2410500000000017E-2</c:v>
                </c:pt>
                <c:pt idx="6">
                  <c:v>7.4302899999999991E-2</c:v>
                </c:pt>
                <c:pt idx="7">
                  <c:v>7.9588699999999998E-2</c:v>
                </c:pt>
                <c:pt idx="8">
                  <c:v>8.1342999999999999E-2</c:v>
                </c:pt>
                <c:pt idx="9">
                  <c:v>8.0368599999999998E-2</c:v>
                </c:pt>
                <c:pt idx="10">
                  <c:v>7.8959799999999983E-2</c:v>
                </c:pt>
                <c:pt idx="11">
                  <c:v>7.9994599999999999E-2</c:v>
                </c:pt>
                <c:pt idx="12">
                  <c:v>8.11587E-2</c:v>
                </c:pt>
                <c:pt idx="13">
                  <c:v>8.0663299999999993E-2</c:v>
                </c:pt>
                <c:pt idx="14">
                  <c:v>8.2164199999999993E-2</c:v>
                </c:pt>
                <c:pt idx="15">
                  <c:v>8.3770999999999998E-2</c:v>
                </c:pt>
                <c:pt idx="16">
                  <c:v>8.2235900000000001E-2</c:v>
                </c:pt>
                <c:pt idx="17">
                  <c:v>8.2030099999999995E-2</c:v>
                </c:pt>
                <c:pt idx="18">
                  <c:v>8.0408500000000008E-2</c:v>
                </c:pt>
                <c:pt idx="19">
                  <c:v>8.2454800000000009E-2</c:v>
                </c:pt>
                <c:pt idx="20">
                  <c:v>8.4195699999999998E-2</c:v>
                </c:pt>
                <c:pt idx="21">
                  <c:v>8.32957E-2</c:v>
                </c:pt>
                <c:pt idx="22">
                  <c:v>8.1005099999999997E-2</c:v>
                </c:pt>
                <c:pt idx="23">
                  <c:v>8.2756099999999999E-2</c:v>
                </c:pt>
                <c:pt idx="24">
                  <c:v>8.4776400000000002E-2</c:v>
                </c:pt>
                <c:pt idx="25">
                  <c:v>7.9745300000000005E-2</c:v>
                </c:pt>
                <c:pt idx="26">
                  <c:v>8.9454900000000004E-2</c:v>
                </c:pt>
                <c:pt idx="27">
                  <c:v>9.1686500000000004E-2</c:v>
                </c:pt>
                <c:pt idx="28">
                  <c:v>9.1972599999999988E-2</c:v>
                </c:pt>
                <c:pt idx="29">
                  <c:v>9.0712600000000004E-2</c:v>
                </c:pt>
                <c:pt idx="30">
                  <c:v>9.0597100000000014E-2</c:v>
                </c:pt>
                <c:pt idx="31">
                  <c:v>9.3480599999999997E-2</c:v>
                </c:pt>
                <c:pt idx="32">
                  <c:v>9.0874300000000005E-2</c:v>
                </c:pt>
                <c:pt idx="33">
                  <c:v>7.9670099999999994E-2</c:v>
                </c:pt>
                <c:pt idx="34">
                  <c:v>8.4958000000000006E-2</c:v>
                </c:pt>
                <c:pt idx="35">
                  <c:v>8.6714199999999991E-2</c:v>
                </c:pt>
                <c:pt idx="36">
                  <c:v>8.6301599999999978E-2</c:v>
                </c:pt>
                <c:pt idx="37">
                  <c:v>8.4433599999999998E-2</c:v>
                </c:pt>
                <c:pt idx="38">
                  <c:v>8.765690000000001E-2</c:v>
                </c:pt>
                <c:pt idx="39">
                  <c:v>9.2235399999999995E-2</c:v>
                </c:pt>
                <c:pt idx="40">
                  <c:v>9.3886300000000006E-2</c:v>
                </c:pt>
                <c:pt idx="41">
                  <c:v>9.3002700000000008E-2</c:v>
                </c:pt>
                <c:pt idx="42">
                  <c:v>9.470880000000001E-2</c:v>
                </c:pt>
                <c:pt idx="43">
                  <c:v>9.5018700000000011E-2</c:v>
                </c:pt>
                <c:pt idx="44">
                  <c:v>9.5098999999999989E-2</c:v>
                </c:pt>
                <c:pt idx="45">
                  <c:v>9.3595499999999998E-2</c:v>
                </c:pt>
                <c:pt idx="46">
                  <c:v>9.2950399999999989E-2</c:v>
                </c:pt>
                <c:pt idx="47">
                  <c:v>9.3713999999999992E-2</c:v>
                </c:pt>
                <c:pt idx="48">
                  <c:v>9.69082E-2</c:v>
                </c:pt>
                <c:pt idx="49">
                  <c:v>9.6236499999999975E-2</c:v>
                </c:pt>
              </c:numCache>
            </c:numRef>
          </c:val>
          <c:extLst>
            <c:ext xmlns:c16="http://schemas.microsoft.com/office/drawing/2014/chart" uri="{C3380CC4-5D6E-409C-BE32-E72D297353CC}">
              <c16:uniqueId val="{00000002-B154-5241-984A-230D87573CEA}"/>
            </c:ext>
          </c:extLst>
        </c:ser>
        <c:dLbls>
          <c:showLegendKey val="0"/>
          <c:showVal val="0"/>
          <c:showCatName val="0"/>
          <c:showSerName val="0"/>
          <c:showPercent val="0"/>
          <c:showBubbleSize val="0"/>
        </c:dLbls>
        <c:axId val="1737967248"/>
        <c:axId val="1738305536"/>
      </c:areaChart>
      <c:catAx>
        <c:axId val="1737967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305536"/>
        <c:crosses val="autoZero"/>
        <c:auto val="1"/>
        <c:lblAlgn val="ctr"/>
        <c:lblOffset val="100"/>
        <c:noMultiLvlLbl val="0"/>
      </c:catAx>
      <c:valAx>
        <c:axId val="1738305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967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Real!$L$2</c:f>
              <c:strCache>
                <c:ptCount val="1"/>
                <c:pt idx="0">
                  <c:v>Median Unlicensed</c:v>
                </c:pt>
              </c:strCache>
            </c:strRef>
          </c:tx>
          <c:spPr>
            <a:ln w="28575" cap="rnd">
              <a:solidFill>
                <a:schemeClr val="accent2">
                  <a:lumMod val="50000"/>
                </a:schemeClr>
              </a:solidFill>
              <a:round/>
            </a:ln>
            <a:effectLst/>
          </c:spPr>
          <c:marker>
            <c:symbol val="none"/>
          </c:marker>
          <c:cat>
            <c:strRef>
              <c:f>Real!$K$3:$K$52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Real!$L$3:$L$52</c:f>
              <c:numCache>
                <c:formatCode>_(* #,##0.00_);_(* \(#,##0.00\);_(* "-"??_);_(@_)</c:formatCode>
                <c:ptCount val="50"/>
                <c:pt idx="0">
                  <c:v>1613.7309974399998</c:v>
                </c:pt>
                <c:pt idx="1">
                  <c:v>1591.79324</c:v>
                </c:pt>
                <c:pt idx="2">
                  <c:v>1613.6777622</c:v>
                </c:pt>
                <c:pt idx="3">
                  <c:v>1699.5018216000001</c:v>
                </c:pt>
                <c:pt idx="4">
                  <c:v>1700.2740690000001</c:v>
                </c:pt>
                <c:pt idx="5">
                  <c:v>1676.4427170000001</c:v>
                </c:pt>
                <c:pt idx="6">
                  <c:v>1704.2431348</c:v>
                </c:pt>
                <c:pt idx="7">
                  <c:v>1824.7835400000001</c:v>
                </c:pt>
                <c:pt idx="8">
                  <c:v>1787.7422000000001</c:v>
                </c:pt>
                <c:pt idx="9">
                  <c:v>1752.9447700000001</c:v>
                </c:pt>
                <c:pt idx="10">
                  <c:v>1739.2021999999999</c:v>
                </c:pt>
                <c:pt idx="11">
                  <c:v>1713.8227100000001</c:v>
                </c:pt>
                <c:pt idx="12">
                  <c:v>1828.1308100000001</c:v>
                </c:pt>
                <c:pt idx="13">
                  <c:v>1778.4841250000002</c:v>
                </c:pt>
                <c:pt idx="14">
                  <c:v>1748.7927930000001</c:v>
                </c:pt>
                <c:pt idx="15">
                  <c:v>1865.559888</c:v>
                </c:pt>
                <c:pt idx="16">
                  <c:v>1809.4975559999998</c:v>
                </c:pt>
                <c:pt idx="17">
                  <c:v>1775.9665559999999</c:v>
                </c:pt>
                <c:pt idx="18">
                  <c:v>1752.0041639999999</c:v>
                </c:pt>
                <c:pt idx="19">
                  <c:v>1739.624832</c:v>
                </c:pt>
                <c:pt idx="20">
                  <c:v>1866.3616919999999</c:v>
                </c:pt>
                <c:pt idx="21">
                  <c:v>1713.8666159999998</c:v>
                </c:pt>
                <c:pt idx="22">
                  <c:v>1708.096452</c:v>
                </c:pt>
                <c:pt idx="23">
                  <c:v>1834.9681089999999</c:v>
                </c:pt>
                <c:pt idx="24">
                  <c:v>1959.8713399999999</c:v>
                </c:pt>
                <c:pt idx="25">
                  <c:v>1758.5402726</c:v>
                </c:pt>
                <c:pt idx="26">
                  <c:v>1777.2161939999999</c:v>
                </c:pt>
                <c:pt idx="27">
                  <c:v>1833.6338009999999</c:v>
                </c:pt>
                <c:pt idx="28">
                  <c:v>2018.8189049999999</c:v>
                </c:pt>
                <c:pt idx="29">
                  <c:v>1725.9012679999998</c:v>
                </c:pt>
                <c:pt idx="30">
                  <c:v>1721.869318</c:v>
                </c:pt>
                <c:pt idx="31">
                  <c:v>1865.3420755999998</c:v>
                </c:pt>
                <c:pt idx="32">
                  <c:v>1943.4762450000001</c:v>
                </c:pt>
                <c:pt idx="33">
                  <c:v>1819.692798</c:v>
                </c:pt>
                <c:pt idx="34">
                  <c:v>1804.9976000000001</c:v>
                </c:pt>
                <c:pt idx="35">
                  <c:v>1887.5556900000001</c:v>
                </c:pt>
                <c:pt idx="36">
                  <c:v>1843.5937800000002</c:v>
                </c:pt>
                <c:pt idx="37">
                  <c:v>1807.13202</c:v>
                </c:pt>
                <c:pt idx="38">
                  <c:v>1762.4655750000002</c:v>
                </c:pt>
                <c:pt idx="39">
                  <c:v>1708.4624400000002</c:v>
                </c:pt>
                <c:pt idx="40">
                  <c:v>1775.6989279999998</c:v>
                </c:pt>
                <c:pt idx="41">
                  <c:v>1615.19436</c:v>
                </c:pt>
                <c:pt idx="42">
                  <c:v>1731.9342720000002</c:v>
                </c:pt>
                <c:pt idx="43">
                  <c:v>1773.1414139999999</c:v>
                </c:pt>
                <c:pt idx="44">
                  <c:v>1898.6498819999999</c:v>
                </c:pt>
                <c:pt idx="45">
                  <c:v>1767.6345850000002</c:v>
                </c:pt>
                <c:pt idx="46">
                  <c:v>1863.9807840000001</c:v>
                </c:pt>
                <c:pt idx="47">
                  <c:v>1849.5287099999998</c:v>
                </c:pt>
                <c:pt idx="48">
                  <c:v>2023.3745199999998</c:v>
                </c:pt>
                <c:pt idx="49">
                  <c:v>1900</c:v>
                </c:pt>
              </c:numCache>
            </c:numRef>
          </c:val>
          <c:smooth val="0"/>
          <c:extLst>
            <c:ext xmlns:c16="http://schemas.microsoft.com/office/drawing/2014/chart" uri="{C3380CC4-5D6E-409C-BE32-E72D297353CC}">
              <c16:uniqueId val="{00000000-63A0-324A-AA75-9BA98082BBD0}"/>
            </c:ext>
          </c:extLst>
        </c:ser>
        <c:ser>
          <c:idx val="1"/>
          <c:order val="1"/>
          <c:tx>
            <c:strRef>
              <c:f>Real!$M$2</c:f>
              <c:strCache>
                <c:ptCount val="1"/>
                <c:pt idx="0">
                  <c:v>Average Unlicensed</c:v>
                </c:pt>
              </c:strCache>
            </c:strRef>
          </c:tx>
          <c:spPr>
            <a:ln w="28575" cap="rnd">
              <a:solidFill>
                <a:schemeClr val="accent2"/>
              </a:solidFill>
              <a:round/>
            </a:ln>
            <a:effectLst/>
          </c:spPr>
          <c:marker>
            <c:symbol val="none"/>
          </c:marker>
          <c:cat>
            <c:strRef>
              <c:f>Real!$K$3:$K$52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Real!$M$3:$M$52</c:f>
              <c:numCache>
                <c:formatCode>_(* #,##0.00_);_(* \(#,##0.00\);_(* "-"??_);_(@_)</c:formatCode>
                <c:ptCount val="50"/>
                <c:pt idx="0">
                  <c:v>2698.2347842463996</c:v>
                </c:pt>
                <c:pt idx="1">
                  <c:v>2567.9743726208499</c:v>
                </c:pt>
                <c:pt idx="2">
                  <c:v>2578.0607903834698</c:v>
                </c:pt>
                <c:pt idx="3">
                  <c:v>2608.5614834696999</c:v>
                </c:pt>
                <c:pt idx="4">
                  <c:v>2721.8251783629398</c:v>
                </c:pt>
                <c:pt idx="5">
                  <c:v>2657.4671915623203</c:v>
                </c:pt>
                <c:pt idx="6">
                  <c:v>2696.5535195428201</c:v>
                </c:pt>
                <c:pt idx="7">
                  <c:v>2685.8733455564402</c:v>
                </c:pt>
                <c:pt idx="8">
                  <c:v>2793.8781469334003</c:v>
                </c:pt>
                <c:pt idx="9">
                  <c:v>2685.2046223052503</c:v>
                </c:pt>
                <c:pt idx="10">
                  <c:v>2701.6714798734001</c:v>
                </c:pt>
                <c:pt idx="11">
                  <c:v>2720.7946676648899</c:v>
                </c:pt>
                <c:pt idx="12">
                  <c:v>2778.4895973898001</c:v>
                </c:pt>
                <c:pt idx="13">
                  <c:v>2692.4649016787503</c:v>
                </c:pt>
                <c:pt idx="14">
                  <c:v>2653.1778062766903</c:v>
                </c:pt>
                <c:pt idx="15">
                  <c:v>2752.62428694456</c:v>
                </c:pt>
                <c:pt idx="16">
                  <c:v>2916.5903823704398</c:v>
                </c:pt>
                <c:pt idx="17">
                  <c:v>2650.9438389215597</c:v>
                </c:pt>
                <c:pt idx="18">
                  <c:v>2665.6465954600699</c:v>
                </c:pt>
                <c:pt idx="19">
                  <c:v>2769.78571720224</c:v>
                </c:pt>
                <c:pt idx="20">
                  <c:v>2967.6385572842396</c:v>
                </c:pt>
                <c:pt idx="21">
                  <c:v>2700.0326079572997</c:v>
                </c:pt>
                <c:pt idx="22">
                  <c:v>2715.4918838057197</c:v>
                </c:pt>
                <c:pt idx="23">
                  <c:v>2795.5075729067898</c:v>
                </c:pt>
                <c:pt idx="24">
                  <c:v>2983.3175536561002</c:v>
                </c:pt>
                <c:pt idx="25">
                  <c:v>2730.0576159555999</c:v>
                </c:pt>
                <c:pt idx="26">
                  <c:v>2731.0645303923598</c:v>
                </c:pt>
                <c:pt idx="27">
                  <c:v>2819.60042775386</c:v>
                </c:pt>
                <c:pt idx="28">
                  <c:v>2993.4212278192599</c:v>
                </c:pt>
                <c:pt idx="29">
                  <c:v>2745.3579565986001</c:v>
                </c:pt>
                <c:pt idx="30">
                  <c:v>2764.5737738121002</c:v>
                </c:pt>
                <c:pt idx="31">
                  <c:v>2861.3506722148795</c:v>
                </c:pt>
                <c:pt idx="32">
                  <c:v>3067.8355570198501</c:v>
                </c:pt>
                <c:pt idx="33">
                  <c:v>2907.0476298837602</c:v>
                </c:pt>
                <c:pt idx="34">
                  <c:v>2858.3658351120002</c:v>
                </c:pt>
                <c:pt idx="35">
                  <c:v>2844.7276301762399</c:v>
                </c:pt>
                <c:pt idx="36">
                  <c:v>2958.7959481472003</c:v>
                </c:pt>
                <c:pt idx="37">
                  <c:v>2732.5197515188397</c:v>
                </c:pt>
                <c:pt idx="38">
                  <c:v>2621.0953289891499</c:v>
                </c:pt>
                <c:pt idx="39">
                  <c:v>2600.2729998302402</c:v>
                </c:pt>
                <c:pt idx="40">
                  <c:v>2799.7300722238097</c:v>
                </c:pt>
                <c:pt idx="41">
                  <c:v>2623.2597727970397</c:v>
                </c:pt>
                <c:pt idx="42">
                  <c:v>2718.7460393698802</c:v>
                </c:pt>
                <c:pt idx="43">
                  <c:v>2808.37552104324</c:v>
                </c:pt>
                <c:pt idx="44">
                  <c:v>2966.5233572156098</c:v>
                </c:pt>
                <c:pt idx="45">
                  <c:v>2781.3480646563003</c:v>
                </c:pt>
                <c:pt idx="46">
                  <c:v>2824.53978814944</c:v>
                </c:pt>
                <c:pt idx="47">
                  <c:v>2929.9514562654995</c:v>
                </c:pt>
                <c:pt idx="48">
                  <c:v>3121.87061703156</c:v>
                </c:pt>
                <c:pt idx="49">
                  <c:v>2929.1750000000002</c:v>
                </c:pt>
              </c:numCache>
            </c:numRef>
          </c:val>
          <c:smooth val="0"/>
          <c:extLst>
            <c:ext xmlns:c16="http://schemas.microsoft.com/office/drawing/2014/chart" uri="{C3380CC4-5D6E-409C-BE32-E72D297353CC}">
              <c16:uniqueId val="{00000001-63A0-324A-AA75-9BA98082BBD0}"/>
            </c:ext>
          </c:extLst>
        </c:ser>
        <c:ser>
          <c:idx val="2"/>
          <c:order val="2"/>
          <c:tx>
            <c:strRef>
              <c:f>Real!$N$2</c:f>
              <c:strCache>
                <c:ptCount val="1"/>
                <c:pt idx="0">
                  <c:v>Median Licensed</c:v>
                </c:pt>
              </c:strCache>
            </c:strRef>
          </c:tx>
          <c:spPr>
            <a:ln w="28575" cap="rnd">
              <a:solidFill>
                <a:schemeClr val="accent1">
                  <a:lumMod val="75000"/>
                </a:schemeClr>
              </a:solidFill>
              <a:round/>
            </a:ln>
            <a:effectLst/>
          </c:spPr>
          <c:marker>
            <c:symbol val="none"/>
          </c:marker>
          <c:cat>
            <c:strRef>
              <c:f>Real!$K$3:$K$52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Real!$N$3:$N$52</c:f>
              <c:numCache>
                <c:formatCode>_(* #,##0.00_);_(* \(#,##0.00\);_(* "-"??_);_(@_)</c:formatCode>
                <c:ptCount val="50"/>
                <c:pt idx="0">
                  <c:v>3021.9681599999999</c:v>
                </c:pt>
                <c:pt idx="1">
                  <c:v>2984.6123250000001</c:v>
                </c:pt>
                <c:pt idx="2">
                  <c:v>2951.849565</c:v>
                </c:pt>
                <c:pt idx="3">
                  <c:v>2896.8781049999998</c:v>
                </c:pt>
                <c:pt idx="4">
                  <c:v>2833.7901150000002</c:v>
                </c:pt>
                <c:pt idx="5">
                  <c:v>2794.071195</c:v>
                </c:pt>
                <c:pt idx="6">
                  <c:v>2778.6572849999998</c:v>
                </c:pt>
                <c:pt idx="7">
                  <c:v>3010.8928410000003</c:v>
                </c:pt>
                <c:pt idx="8">
                  <c:v>3217.9359600000003</c:v>
                </c:pt>
                <c:pt idx="9">
                  <c:v>3155.3005860000003</c:v>
                </c:pt>
                <c:pt idx="10">
                  <c:v>3130.56396</c:v>
                </c:pt>
                <c:pt idx="11">
                  <c:v>3187.7102406000004</c:v>
                </c:pt>
                <c:pt idx="12">
                  <c:v>3323.8742000000002</c:v>
                </c:pt>
                <c:pt idx="13">
                  <c:v>3233.6075000000001</c:v>
                </c:pt>
                <c:pt idx="14">
                  <c:v>3179.6232599999998</c:v>
                </c:pt>
                <c:pt idx="15">
                  <c:v>3109.2664800000002</c:v>
                </c:pt>
                <c:pt idx="16">
                  <c:v>3015.82926</c:v>
                </c:pt>
                <c:pt idx="17">
                  <c:v>2959.9442599999998</c:v>
                </c:pt>
                <c:pt idx="18">
                  <c:v>2920.0069399999998</c:v>
                </c:pt>
                <c:pt idx="19">
                  <c:v>2899.3747199999998</c:v>
                </c:pt>
                <c:pt idx="20">
                  <c:v>3158.4582479999999</c:v>
                </c:pt>
                <c:pt idx="21">
                  <c:v>2856.44436</c:v>
                </c:pt>
                <c:pt idx="22">
                  <c:v>2846.8274200000001</c:v>
                </c:pt>
                <c:pt idx="23">
                  <c:v>2823.0278599999997</c:v>
                </c:pt>
                <c:pt idx="24">
                  <c:v>3219.78863</c:v>
                </c:pt>
                <c:pt idx="25">
                  <c:v>2769.3547600000002</c:v>
                </c:pt>
                <c:pt idx="26">
                  <c:v>2788.8623352</c:v>
                </c:pt>
                <c:pt idx="27">
                  <c:v>3123.9686979999997</c:v>
                </c:pt>
                <c:pt idx="28">
                  <c:v>3364.698175</c:v>
                </c:pt>
                <c:pt idx="29">
                  <c:v>2920.7559919999999</c:v>
                </c:pt>
                <c:pt idx="30">
                  <c:v>2781.4812059999999</c:v>
                </c:pt>
                <c:pt idx="31">
                  <c:v>3284.0529499999998</c:v>
                </c:pt>
                <c:pt idx="32">
                  <c:v>3239.1270749999999</c:v>
                </c:pt>
                <c:pt idx="33">
                  <c:v>2989.4953110000001</c:v>
                </c:pt>
                <c:pt idx="34">
                  <c:v>2836.4248000000002</c:v>
                </c:pt>
                <c:pt idx="35">
                  <c:v>3145.9261500000002</c:v>
                </c:pt>
                <c:pt idx="36">
                  <c:v>3072.6563000000001</c:v>
                </c:pt>
                <c:pt idx="37">
                  <c:v>2891.4112319999999</c:v>
                </c:pt>
                <c:pt idx="38">
                  <c:v>2819.9449200000004</c:v>
                </c:pt>
                <c:pt idx="39">
                  <c:v>2847.4374000000003</c:v>
                </c:pt>
                <c:pt idx="40">
                  <c:v>2774.529575</c:v>
                </c:pt>
                <c:pt idx="41">
                  <c:v>2691.9906000000001</c:v>
                </c:pt>
                <c:pt idx="42">
                  <c:v>2706.1473000000001</c:v>
                </c:pt>
                <c:pt idx="43">
                  <c:v>3223.8934800000002</c:v>
                </c:pt>
                <c:pt idx="44">
                  <c:v>3164.4164699999997</c:v>
                </c:pt>
                <c:pt idx="45">
                  <c:v>3119.3551500000003</c:v>
                </c:pt>
                <c:pt idx="46">
                  <c:v>3106.6346400000002</c:v>
                </c:pt>
                <c:pt idx="47">
                  <c:v>3082.5478499999999</c:v>
                </c:pt>
                <c:pt idx="48">
                  <c:v>3035.06178</c:v>
                </c:pt>
                <c:pt idx="49">
                  <c:v>3000</c:v>
                </c:pt>
              </c:numCache>
            </c:numRef>
          </c:val>
          <c:smooth val="0"/>
          <c:extLst>
            <c:ext xmlns:c16="http://schemas.microsoft.com/office/drawing/2014/chart" uri="{C3380CC4-5D6E-409C-BE32-E72D297353CC}">
              <c16:uniqueId val="{00000002-63A0-324A-AA75-9BA98082BBD0}"/>
            </c:ext>
          </c:extLst>
        </c:ser>
        <c:ser>
          <c:idx val="3"/>
          <c:order val="3"/>
          <c:tx>
            <c:strRef>
              <c:f>Real!$O$2</c:f>
              <c:strCache>
                <c:ptCount val="1"/>
                <c:pt idx="0">
                  <c:v>Average Licensed</c:v>
                </c:pt>
              </c:strCache>
            </c:strRef>
          </c:tx>
          <c:spPr>
            <a:ln w="28575" cap="rnd">
              <a:solidFill>
                <a:schemeClr val="accent4"/>
              </a:solidFill>
              <a:round/>
            </a:ln>
            <a:effectLst/>
          </c:spPr>
          <c:marker>
            <c:symbol val="none"/>
          </c:marker>
          <c:cat>
            <c:strRef>
              <c:f>Real!$K$3:$K$52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Real!$O$3:$O$52</c:f>
              <c:numCache>
                <c:formatCode>_(* #,##0.00_);_(* \(#,##0.00\);_(* "-"??_);_(@_)</c:formatCode>
                <c:ptCount val="50"/>
                <c:pt idx="0">
                  <c:v>5403.1279716720001</c:v>
                </c:pt>
                <c:pt idx="1">
                  <c:v>5122.1319799185003</c:v>
                </c:pt>
                <c:pt idx="2">
                  <c:v>5034.3774652077891</c:v>
                </c:pt>
                <c:pt idx="3">
                  <c:v>5029.5732846654892</c:v>
                </c:pt>
                <c:pt idx="4">
                  <c:v>5176.6903251521908</c:v>
                </c:pt>
                <c:pt idx="5">
                  <c:v>4993.1710070225699</c:v>
                </c:pt>
                <c:pt idx="6">
                  <c:v>5099.1399178381607</c:v>
                </c:pt>
                <c:pt idx="7">
                  <c:v>5186.6023283609402</c:v>
                </c:pt>
                <c:pt idx="8">
                  <c:v>5393.8309587218</c:v>
                </c:pt>
                <c:pt idx="9">
                  <c:v>5413.5684977926703</c:v>
                </c:pt>
                <c:pt idx="10">
                  <c:v>5363.1273872761994</c:v>
                </c:pt>
                <c:pt idx="11">
                  <c:v>5217.6818259136999</c:v>
                </c:pt>
                <c:pt idx="12">
                  <c:v>5332.7257121910998</c:v>
                </c:pt>
                <c:pt idx="13">
                  <c:v>5186.7646349350007</c:v>
                </c:pt>
                <c:pt idx="14">
                  <c:v>5083.5880273345201</c:v>
                </c:pt>
                <c:pt idx="15">
                  <c:v>5009.8009520002797</c:v>
                </c:pt>
                <c:pt idx="16">
                  <c:v>5385.3949599599691</c:v>
                </c:pt>
                <c:pt idx="17">
                  <c:v>4932.1018414413193</c:v>
                </c:pt>
                <c:pt idx="18">
                  <c:v>5006.2482383836305</c:v>
                </c:pt>
                <c:pt idx="19">
                  <c:v>5191.2188102332793</c:v>
                </c:pt>
                <c:pt idx="20">
                  <c:v>5513.4836791649996</c:v>
                </c:pt>
                <c:pt idx="21">
                  <c:v>5010.6947158699195</c:v>
                </c:pt>
                <c:pt idx="22">
                  <c:v>5017.5803004024301</c:v>
                </c:pt>
                <c:pt idx="23">
                  <c:v>5319.7800405387097</c:v>
                </c:pt>
                <c:pt idx="24">
                  <c:v>5538.9393843244998</c:v>
                </c:pt>
                <c:pt idx="25">
                  <c:v>5275.3051113573601</c:v>
                </c:pt>
                <c:pt idx="26">
                  <c:v>5361.5741685281992</c:v>
                </c:pt>
                <c:pt idx="27">
                  <c:v>5420.1807683382003</c:v>
                </c:pt>
                <c:pt idx="28">
                  <c:v>5610.5386493843298</c:v>
                </c:pt>
                <c:pt idx="29">
                  <c:v>5125.6970883297199</c:v>
                </c:pt>
                <c:pt idx="30">
                  <c:v>5137.2461173028205</c:v>
                </c:pt>
                <c:pt idx="31">
                  <c:v>5292.0385222938403</c:v>
                </c:pt>
                <c:pt idx="32">
                  <c:v>5500.4186946940199</c:v>
                </c:pt>
                <c:pt idx="33">
                  <c:v>5037.1462249277401</c:v>
                </c:pt>
                <c:pt idx="34">
                  <c:v>5088.7614016280004</c:v>
                </c:pt>
                <c:pt idx="35">
                  <c:v>5111.1698570890203</c:v>
                </c:pt>
                <c:pt idx="36">
                  <c:v>5482.5799660906405</c:v>
                </c:pt>
                <c:pt idx="37">
                  <c:v>4922.9950726573998</c:v>
                </c:pt>
                <c:pt idx="38">
                  <c:v>4739.7328721327003</c:v>
                </c:pt>
                <c:pt idx="39">
                  <c:v>4619.9888220242401</c:v>
                </c:pt>
                <c:pt idx="40">
                  <c:v>4839.2279427793201</c:v>
                </c:pt>
                <c:pt idx="41">
                  <c:v>4649.5361725644007</c:v>
                </c:pt>
                <c:pt idx="42">
                  <c:v>4791.2392069446005</c:v>
                </c:pt>
                <c:pt idx="43">
                  <c:v>5107.6810674959206</c:v>
                </c:pt>
                <c:pt idx="44">
                  <c:v>5316.0487911106193</c:v>
                </c:pt>
                <c:pt idx="45">
                  <c:v>4877.4705028672506</c:v>
                </c:pt>
                <c:pt idx="46">
                  <c:v>4995.8071242957603</c:v>
                </c:pt>
                <c:pt idx="47">
                  <c:v>5047.748140555299</c:v>
                </c:pt>
                <c:pt idx="48">
                  <c:v>5262.9549497325597</c:v>
                </c:pt>
                <c:pt idx="49">
                  <c:v>5118.0069999999996</c:v>
                </c:pt>
              </c:numCache>
            </c:numRef>
          </c:val>
          <c:smooth val="0"/>
          <c:extLst>
            <c:ext xmlns:c16="http://schemas.microsoft.com/office/drawing/2014/chart" uri="{C3380CC4-5D6E-409C-BE32-E72D297353CC}">
              <c16:uniqueId val="{00000003-63A0-324A-AA75-9BA98082BBD0}"/>
            </c:ext>
          </c:extLst>
        </c:ser>
        <c:dLbls>
          <c:showLegendKey val="0"/>
          <c:showVal val="0"/>
          <c:showCatName val="0"/>
          <c:showSerName val="0"/>
          <c:showPercent val="0"/>
          <c:showBubbleSize val="0"/>
        </c:dLbls>
        <c:smooth val="0"/>
        <c:axId val="1736164128"/>
        <c:axId val="1757270608"/>
      </c:lineChart>
      <c:catAx>
        <c:axId val="173616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757270608"/>
        <c:crosses val="autoZero"/>
        <c:auto val="1"/>
        <c:lblAlgn val="ctr"/>
        <c:lblOffset val="100"/>
        <c:noMultiLvlLbl val="0"/>
      </c:catAx>
      <c:valAx>
        <c:axId val="1757270608"/>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16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Real!$Q$2</c:f>
              <c:strCache>
                <c:ptCount val="1"/>
                <c:pt idx="0">
                  <c:v>Median</c:v>
                </c:pt>
              </c:strCache>
            </c:strRef>
          </c:tx>
          <c:spPr>
            <a:ln w="28575" cap="rnd">
              <a:solidFill>
                <a:schemeClr val="accent1"/>
              </a:solidFill>
              <a:round/>
            </a:ln>
            <a:effectLst/>
          </c:spPr>
          <c:marker>
            <c:symbol val="none"/>
          </c:marker>
          <c:cat>
            <c:strRef>
              <c:f>Real!$P$3:$P$52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Real!$Q$3:$Q$52</c:f>
              <c:numCache>
                <c:formatCode>_(* #,##0.00_);_(* \(#,##0.00\);_(* "-"??_);_(@_)</c:formatCode>
                <c:ptCount val="50"/>
                <c:pt idx="0">
                  <c:v>1.8726591760299627</c:v>
                </c:pt>
                <c:pt idx="1">
                  <c:v>1.875</c:v>
                </c:pt>
                <c:pt idx="2">
                  <c:v>1.8292682926829269</c:v>
                </c:pt>
                <c:pt idx="3">
                  <c:v>1.7045454545454544</c:v>
                </c:pt>
                <c:pt idx="4">
                  <c:v>1.6666666666666667</c:v>
                </c:pt>
                <c:pt idx="5">
                  <c:v>1.6666666666666665</c:v>
                </c:pt>
                <c:pt idx="6">
                  <c:v>1.6304347826086956</c:v>
                </c:pt>
                <c:pt idx="7">
                  <c:v>1.6500000000000001</c:v>
                </c:pt>
                <c:pt idx="8">
                  <c:v>1.8</c:v>
                </c:pt>
                <c:pt idx="9">
                  <c:v>1.8</c:v>
                </c:pt>
                <c:pt idx="10">
                  <c:v>1.8</c:v>
                </c:pt>
                <c:pt idx="11">
                  <c:v>1.86</c:v>
                </c:pt>
                <c:pt idx="12">
                  <c:v>1.8181818181818181</c:v>
                </c:pt>
                <c:pt idx="13">
                  <c:v>1.8181818181818181</c:v>
                </c:pt>
                <c:pt idx="14">
                  <c:v>1.8181818181818181</c:v>
                </c:pt>
                <c:pt idx="15">
                  <c:v>1.6666666666666667</c:v>
                </c:pt>
                <c:pt idx="16">
                  <c:v>1.6666666666666667</c:v>
                </c:pt>
                <c:pt idx="17">
                  <c:v>1.6666666666666667</c:v>
                </c:pt>
                <c:pt idx="18">
                  <c:v>1.6666666666666665</c:v>
                </c:pt>
                <c:pt idx="19">
                  <c:v>1.6666666666666665</c:v>
                </c:pt>
                <c:pt idx="20">
                  <c:v>1.6923076923076923</c:v>
                </c:pt>
                <c:pt idx="21">
                  <c:v>1.6666666666666667</c:v>
                </c:pt>
                <c:pt idx="22">
                  <c:v>1.6666666666666667</c:v>
                </c:pt>
                <c:pt idx="23">
                  <c:v>1.5384615384615383</c:v>
                </c:pt>
                <c:pt idx="24">
                  <c:v>1.642857142857143</c:v>
                </c:pt>
                <c:pt idx="25">
                  <c:v>1.5748031496062993</c:v>
                </c:pt>
                <c:pt idx="26">
                  <c:v>1.5692307692307694</c:v>
                </c:pt>
                <c:pt idx="27">
                  <c:v>1.7037037037037035</c:v>
                </c:pt>
                <c:pt idx="28">
                  <c:v>1.6666666666666667</c:v>
                </c:pt>
                <c:pt idx="29">
                  <c:v>1.6923076923076923</c:v>
                </c:pt>
                <c:pt idx="30">
                  <c:v>1.6153846153846154</c:v>
                </c:pt>
                <c:pt idx="31">
                  <c:v>1.7605633802816902</c:v>
                </c:pt>
                <c:pt idx="32">
                  <c:v>1.6666666666666665</c:v>
                </c:pt>
                <c:pt idx="33">
                  <c:v>1.6428571428571428</c:v>
                </c:pt>
                <c:pt idx="34">
                  <c:v>1.5714285714285714</c:v>
                </c:pt>
                <c:pt idx="35">
                  <c:v>1.6666666666666667</c:v>
                </c:pt>
                <c:pt idx="36">
                  <c:v>1.6666666666666665</c:v>
                </c:pt>
                <c:pt idx="37">
                  <c:v>1.5999999999999999</c:v>
                </c:pt>
                <c:pt idx="38">
                  <c:v>1.6</c:v>
                </c:pt>
                <c:pt idx="39">
                  <c:v>1.6666666666666665</c:v>
                </c:pt>
                <c:pt idx="40">
                  <c:v>1.5625000000000002</c:v>
                </c:pt>
                <c:pt idx="41">
                  <c:v>1.6666666666666667</c:v>
                </c:pt>
                <c:pt idx="42">
                  <c:v>1.5624999999999998</c:v>
                </c:pt>
                <c:pt idx="43">
                  <c:v>1.8181818181818183</c:v>
                </c:pt>
                <c:pt idx="44">
                  <c:v>1.6666666666666665</c:v>
                </c:pt>
                <c:pt idx="45">
                  <c:v>1.7647058823529411</c:v>
                </c:pt>
                <c:pt idx="46">
                  <c:v>1.6666666666666667</c:v>
                </c:pt>
                <c:pt idx="47">
                  <c:v>1.6666666666666667</c:v>
                </c:pt>
                <c:pt idx="48">
                  <c:v>1.5000000000000002</c:v>
                </c:pt>
                <c:pt idx="49">
                  <c:v>1.5789473684210527</c:v>
                </c:pt>
              </c:numCache>
            </c:numRef>
          </c:val>
          <c:smooth val="0"/>
          <c:extLst>
            <c:ext xmlns:c16="http://schemas.microsoft.com/office/drawing/2014/chart" uri="{C3380CC4-5D6E-409C-BE32-E72D297353CC}">
              <c16:uniqueId val="{00000000-6AD1-3742-B3FE-325E48AA4E8A}"/>
            </c:ext>
          </c:extLst>
        </c:ser>
        <c:ser>
          <c:idx val="1"/>
          <c:order val="1"/>
          <c:tx>
            <c:strRef>
              <c:f>Real!$R$2</c:f>
              <c:strCache>
                <c:ptCount val="1"/>
                <c:pt idx="0">
                  <c:v>Average</c:v>
                </c:pt>
              </c:strCache>
            </c:strRef>
          </c:tx>
          <c:spPr>
            <a:ln w="28575" cap="rnd">
              <a:solidFill>
                <a:schemeClr val="accent2"/>
              </a:solidFill>
              <a:round/>
            </a:ln>
            <a:effectLst/>
          </c:spPr>
          <c:marker>
            <c:symbol val="none"/>
          </c:marker>
          <c:cat>
            <c:strRef>
              <c:f>Real!$P$3:$P$52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Real!$R$3:$R$52</c:f>
              <c:numCache>
                <c:formatCode>_(* #,##0.00_);_(* \(#,##0.00\);_(* "-"??_);_(@_)</c:formatCode>
                <c:ptCount val="50"/>
                <c:pt idx="0">
                  <c:v>2.0024676885859138</c:v>
                </c:pt>
                <c:pt idx="1">
                  <c:v>1.9946195859777611</c:v>
                </c:pt>
                <c:pt idx="2">
                  <c:v>1.9527768639074481</c:v>
                </c:pt>
                <c:pt idx="3">
                  <c:v>1.9281022573313293</c:v>
                </c:pt>
                <c:pt idx="4">
                  <c:v>1.9019187441956673</c:v>
                </c:pt>
                <c:pt idx="5">
                  <c:v>1.878921035366421</c:v>
                </c:pt>
                <c:pt idx="6">
                  <c:v>1.890984132479848</c:v>
                </c:pt>
                <c:pt idx="7">
                  <c:v>1.9310673516834862</c:v>
                </c:pt>
                <c:pt idx="8">
                  <c:v>1.9305891936060791</c:v>
                </c:pt>
                <c:pt idx="9">
                  <c:v>2.0160729848383463</c:v>
                </c:pt>
                <c:pt idx="10">
                  <c:v>1.9851145586092926</c:v>
                </c:pt>
                <c:pt idx="11">
                  <c:v>1.9177051057629986</c:v>
                </c:pt>
                <c:pt idx="12">
                  <c:v>1.9192894287604418</c:v>
                </c:pt>
                <c:pt idx="13">
                  <c:v>1.926400092235578</c:v>
                </c:pt>
                <c:pt idx="14">
                  <c:v>1.9160374458538536</c:v>
                </c:pt>
                <c:pt idx="15">
                  <c:v>1.8200089913328521</c:v>
                </c:pt>
                <c:pt idx="16">
                  <c:v>1.8464694228275635</c:v>
                </c:pt>
                <c:pt idx="17">
                  <c:v>1.860507857249728</c:v>
                </c:pt>
                <c:pt idx="18">
                  <c:v>1.8780614980657595</c:v>
                </c:pt>
                <c:pt idx="19">
                  <c:v>1.8742312006276531</c:v>
                </c:pt>
                <c:pt idx="20">
                  <c:v>1.8578690001286837</c:v>
                </c:pt>
                <c:pt idx="21">
                  <c:v>1.8557904453090079</c:v>
                </c:pt>
                <c:pt idx="22">
                  <c:v>1.8477611110994629</c:v>
                </c:pt>
                <c:pt idx="23">
                  <c:v>1.9029746483595329</c:v>
                </c:pt>
                <c:pt idx="24">
                  <c:v>1.8566375468600205</c:v>
                </c:pt>
                <c:pt idx="25">
                  <c:v>1.9323054138221363</c:v>
                </c:pt>
                <c:pt idx="26">
                  <c:v>1.96318106323102</c:v>
                </c:pt>
                <c:pt idx="27">
                  <c:v>1.9223222960907285</c:v>
                </c:pt>
                <c:pt idx="28">
                  <c:v>1.8742897248282255</c:v>
                </c:pt>
                <c:pt idx="29">
                  <c:v>1.8670414457283648</c:v>
                </c:pt>
                <c:pt idx="30">
                  <c:v>1.8582416450471557</c:v>
                </c:pt>
                <c:pt idx="31">
                  <c:v>1.8494896741186369</c:v>
                </c:pt>
                <c:pt idx="32">
                  <c:v>1.7929313981995907</c:v>
                </c:pt>
                <c:pt idx="33">
                  <c:v>1.732736049161036</c:v>
                </c:pt>
                <c:pt idx="34">
                  <c:v>1.7803044449796979</c:v>
                </c:pt>
                <c:pt idx="35">
                  <c:v>1.7967167762814491</c:v>
                </c:pt>
                <c:pt idx="36">
                  <c:v>1.8529767047720325</c:v>
                </c:pt>
                <c:pt idx="37">
                  <c:v>1.8016320174523934</c:v>
                </c:pt>
                <c:pt idx="38">
                  <c:v>1.8083023611203881</c:v>
                </c:pt>
                <c:pt idx="39">
                  <c:v>1.7767322209344394</c:v>
                </c:pt>
                <c:pt idx="40">
                  <c:v>1.7284623224179425</c:v>
                </c:pt>
                <c:pt idx="41">
                  <c:v>1.7724268944996067</c:v>
                </c:pt>
                <c:pt idx="42">
                  <c:v>1.7622974480010862</c:v>
                </c:pt>
                <c:pt idx="43">
                  <c:v>1.8187315155056425</c:v>
                </c:pt>
                <c:pt idx="44">
                  <c:v>1.792013124784658</c:v>
                </c:pt>
                <c:pt idx="45">
                  <c:v>1.7536354276716442</c:v>
                </c:pt>
                <c:pt idx="46">
                  <c:v>1.7687154364955413</c:v>
                </c:pt>
                <c:pt idx="47">
                  <c:v>1.7228094785533177</c:v>
                </c:pt>
                <c:pt idx="48">
                  <c:v>1.6858337821625857</c:v>
                </c:pt>
                <c:pt idx="49">
                  <c:v>1.7472520419572062</c:v>
                </c:pt>
              </c:numCache>
            </c:numRef>
          </c:val>
          <c:smooth val="0"/>
          <c:extLst>
            <c:ext xmlns:c16="http://schemas.microsoft.com/office/drawing/2014/chart" uri="{C3380CC4-5D6E-409C-BE32-E72D297353CC}">
              <c16:uniqueId val="{00000001-6AD1-3742-B3FE-325E48AA4E8A}"/>
            </c:ext>
          </c:extLst>
        </c:ser>
        <c:dLbls>
          <c:showLegendKey val="0"/>
          <c:showVal val="0"/>
          <c:showCatName val="0"/>
          <c:showSerName val="0"/>
          <c:showPercent val="0"/>
          <c:showBubbleSize val="0"/>
        </c:dLbls>
        <c:smooth val="0"/>
        <c:axId val="1709125056"/>
        <c:axId val="1708307280"/>
      </c:lineChart>
      <c:catAx>
        <c:axId val="17091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8307280"/>
        <c:crosses val="autoZero"/>
        <c:auto val="1"/>
        <c:lblAlgn val="ctr"/>
        <c:lblOffset val="100"/>
        <c:noMultiLvlLbl val="0"/>
      </c:catAx>
      <c:valAx>
        <c:axId val="1708307280"/>
        <c:scaling>
          <c:orientation val="minMax"/>
          <c:min val="1.25"/>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12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83701493774175E-2"/>
          <c:y val="8.6553944509765945E-2"/>
          <c:w val="0.87013257214064299"/>
          <c:h val="0.70430176953134038"/>
        </c:manualLayout>
      </c:layout>
      <c:lineChart>
        <c:grouping val="standard"/>
        <c:varyColors val="0"/>
        <c:ser>
          <c:idx val="0"/>
          <c:order val="0"/>
          <c:tx>
            <c:strRef>
              <c:f>Demographics!$F$2</c:f>
              <c:strCache>
                <c:ptCount val="1"/>
                <c:pt idx="0">
                  <c:v>Unlicensed</c:v>
                </c:pt>
              </c:strCache>
            </c:strRef>
          </c:tx>
          <c:spPr>
            <a:ln w="28575" cap="rnd">
              <a:solidFill>
                <a:schemeClr val="accent2"/>
              </a:solidFill>
              <a:round/>
            </a:ln>
            <a:effectLst/>
          </c:spPr>
          <c:marker>
            <c:symbol val="none"/>
          </c:marker>
          <c:cat>
            <c:strRef>
              <c:f>Demographics!$E$3:$E$52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Demographics!$F$3:$F$52</c:f>
              <c:numCache>
                <c:formatCode>0.00%</c:formatCode>
                <c:ptCount val="50"/>
                <c:pt idx="0">
                  <c:v>0.77200869999999999</c:v>
                </c:pt>
                <c:pt idx="1">
                  <c:v>0.77904640000000003</c:v>
                </c:pt>
                <c:pt idx="2">
                  <c:v>0.77735330000000002</c:v>
                </c:pt>
                <c:pt idx="3">
                  <c:v>0.7754278</c:v>
                </c:pt>
                <c:pt idx="4">
                  <c:v>0.77459129999999998</c:v>
                </c:pt>
                <c:pt idx="5">
                  <c:v>0.77458640000000001</c:v>
                </c:pt>
                <c:pt idx="6">
                  <c:v>0.77026170000000005</c:v>
                </c:pt>
                <c:pt idx="7">
                  <c:v>0.76911589999999996</c:v>
                </c:pt>
                <c:pt idx="8">
                  <c:v>0.76576520000000003</c:v>
                </c:pt>
                <c:pt idx="9">
                  <c:v>0.76547989999999999</c:v>
                </c:pt>
                <c:pt idx="10">
                  <c:v>0.76623350000000001</c:v>
                </c:pt>
                <c:pt idx="11">
                  <c:v>0.76512829999999998</c:v>
                </c:pt>
                <c:pt idx="12">
                  <c:v>0.76570240000000001</c:v>
                </c:pt>
                <c:pt idx="13">
                  <c:v>0.7664514</c:v>
                </c:pt>
                <c:pt idx="14">
                  <c:v>0.76428090000000004</c:v>
                </c:pt>
                <c:pt idx="15">
                  <c:v>0.76104099999999997</c:v>
                </c:pt>
                <c:pt idx="16">
                  <c:v>0.75943959999999999</c:v>
                </c:pt>
                <c:pt idx="17">
                  <c:v>0.76181600000000005</c:v>
                </c:pt>
                <c:pt idx="18">
                  <c:v>0.7608663</c:v>
                </c:pt>
                <c:pt idx="19">
                  <c:v>0.76290999999999998</c:v>
                </c:pt>
                <c:pt idx="20">
                  <c:v>0.76439699999999999</c:v>
                </c:pt>
                <c:pt idx="21">
                  <c:v>0.76501010000000003</c:v>
                </c:pt>
                <c:pt idx="22">
                  <c:v>0.76431459999999996</c:v>
                </c:pt>
                <c:pt idx="23">
                  <c:v>0.7647834</c:v>
                </c:pt>
                <c:pt idx="24">
                  <c:v>0.76689850000000004</c:v>
                </c:pt>
                <c:pt idx="25">
                  <c:v>0.76776619999999995</c:v>
                </c:pt>
                <c:pt idx="26">
                  <c:v>0.76510239999999996</c:v>
                </c:pt>
                <c:pt idx="27">
                  <c:v>0.76552909999999996</c:v>
                </c:pt>
                <c:pt idx="28">
                  <c:v>0.76431389999999999</c:v>
                </c:pt>
                <c:pt idx="29">
                  <c:v>0.76547270000000001</c:v>
                </c:pt>
                <c:pt idx="30">
                  <c:v>0.76369880000000001</c:v>
                </c:pt>
                <c:pt idx="31">
                  <c:v>0.76621269999999997</c:v>
                </c:pt>
                <c:pt idx="32">
                  <c:v>0.76520750000000004</c:v>
                </c:pt>
                <c:pt idx="33">
                  <c:v>0.76254509999999998</c:v>
                </c:pt>
                <c:pt idx="34">
                  <c:v>0.76794269999999998</c:v>
                </c:pt>
                <c:pt idx="35">
                  <c:v>0.77508350000000004</c:v>
                </c:pt>
                <c:pt idx="36">
                  <c:v>0.77260269999999998</c:v>
                </c:pt>
                <c:pt idx="37">
                  <c:v>0.76810690000000004</c:v>
                </c:pt>
                <c:pt idx="38">
                  <c:v>0.76183109999999998</c:v>
                </c:pt>
                <c:pt idx="39">
                  <c:v>0.76206949999999996</c:v>
                </c:pt>
                <c:pt idx="40">
                  <c:v>0.76255150000000005</c:v>
                </c:pt>
                <c:pt idx="41">
                  <c:v>0.76497820000000005</c:v>
                </c:pt>
                <c:pt idx="42">
                  <c:v>0.76457039999999998</c:v>
                </c:pt>
                <c:pt idx="43">
                  <c:v>0.76685570000000003</c:v>
                </c:pt>
                <c:pt idx="44">
                  <c:v>0.77002959999999998</c:v>
                </c:pt>
                <c:pt idx="45">
                  <c:v>0.7706887</c:v>
                </c:pt>
                <c:pt idx="46">
                  <c:v>0.76757710000000001</c:v>
                </c:pt>
                <c:pt idx="47">
                  <c:v>0.76902040000000005</c:v>
                </c:pt>
                <c:pt idx="48">
                  <c:v>0.76800650000000004</c:v>
                </c:pt>
                <c:pt idx="49">
                  <c:v>0.76686019999999999</c:v>
                </c:pt>
              </c:numCache>
            </c:numRef>
          </c:val>
          <c:smooth val="0"/>
          <c:extLst>
            <c:ext xmlns:c16="http://schemas.microsoft.com/office/drawing/2014/chart" uri="{C3380CC4-5D6E-409C-BE32-E72D297353CC}">
              <c16:uniqueId val="{00000000-A9E3-014B-AE76-7F0AA0C4E7C8}"/>
            </c:ext>
          </c:extLst>
        </c:ser>
        <c:ser>
          <c:idx val="1"/>
          <c:order val="1"/>
          <c:tx>
            <c:strRef>
              <c:f>Demographics!$G$2</c:f>
              <c:strCache>
                <c:ptCount val="1"/>
                <c:pt idx="0">
                  <c:v>Licensed</c:v>
                </c:pt>
              </c:strCache>
            </c:strRef>
          </c:tx>
          <c:spPr>
            <a:ln w="28575" cap="rnd">
              <a:solidFill>
                <a:schemeClr val="accent1"/>
              </a:solidFill>
              <a:round/>
            </a:ln>
            <a:effectLst/>
          </c:spPr>
          <c:marker>
            <c:symbol val="none"/>
          </c:marker>
          <c:cat>
            <c:strRef>
              <c:f>Demographics!$E$3:$E$52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Demographics!$G$3:$G$52</c:f>
              <c:numCache>
                <c:formatCode>0.00%</c:formatCode>
                <c:ptCount val="50"/>
                <c:pt idx="0">
                  <c:v>0.8973662</c:v>
                </c:pt>
                <c:pt idx="1">
                  <c:v>0.89807550000000003</c:v>
                </c:pt>
                <c:pt idx="2">
                  <c:v>0.89691949999999998</c:v>
                </c:pt>
                <c:pt idx="3">
                  <c:v>0.89776979999999995</c:v>
                </c:pt>
                <c:pt idx="4">
                  <c:v>0.90353309999999998</c:v>
                </c:pt>
                <c:pt idx="5">
                  <c:v>0.89421430000000002</c:v>
                </c:pt>
                <c:pt idx="6">
                  <c:v>0.89777390000000001</c:v>
                </c:pt>
                <c:pt idx="7">
                  <c:v>0.90094600000000002</c:v>
                </c:pt>
                <c:pt idx="8">
                  <c:v>0.89931830000000001</c:v>
                </c:pt>
                <c:pt idx="9">
                  <c:v>0.89536269999999996</c:v>
                </c:pt>
                <c:pt idx="10">
                  <c:v>0.89568230000000004</c:v>
                </c:pt>
                <c:pt idx="11">
                  <c:v>0.89762529999999996</c:v>
                </c:pt>
                <c:pt idx="12">
                  <c:v>0.89936930000000004</c:v>
                </c:pt>
                <c:pt idx="13">
                  <c:v>0.89382980000000001</c:v>
                </c:pt>
                <c:pt idx="14">
                  <c:v>0.89581770000000005</c:v>
                </c:pt>
                <c:pt idx="15">
                  <c:v>0.89791469999999995</c:v>
                </c:pt>
                <c:pt idx="16">
                  <c:v>0.89365609999999995</c:v>
                </c:pt>
                <c:pt idx="17">
                  <c:v>0.89927889999999999</c:v>
                </c:pt>
                <c:pt idx="18">
                  <c:v>0.90169460000000001</c:v>
                </c:pt>
                <c:pt idx="19">
                  <c:v>0.90015970000000001</c:v>
                </c:pt>
                <c:pt idx="20">
                  <c:v>0.9035088</c:v>
                </c:pt>
                <c:pt idx="21">
                  <c:v>0.89901050000000005</c:v>
                </c:pt>
                <c:pt idx="22">
                  <c:v>0.89981880000000003</c:v>
                </c:pt>
                <c:pt idx="23">
                  <c:v>0.90378590000000003</c:v>
                </c:pt>
                <c:pt idx="24">
                  <c:v>0.90407269999999995</c:v>
                </c:pt>
                <c:pt idx="25">
                  <c:v>0.90060569999999995</c:v>
                </c:pt>
                <c:pt idx="26">
                  <c:v>0.90597349999999999</c:v>
                </c:pt>
                <c:pt idx="27">
                  <c:v>0.90942619999999996</c:v>
                </c:pt>
                <c:pt idx="28">
                  <c:v>0.90979900000000002</c:v>
                </c:pt>
                <c:pt idx="29">
                  <c:v>0.90437849999999997</c:v>
                </c:pt>
                <c:pt idx="30">
                  <c:v>0.90667629999999999</c:v>
                </c:pt>
                <c:pt idx="31">
                  <c:v>0.90680939999999999</c:v>
                </c:pt>
                <c:pt idx="32">
                  <c:v>0.91130310000000003</c:v>
                </c:pt>
                <c:pt idx="33">
                  <c:v>0.91956400000000005</c:v>
                </c:pt>
                <c:pt idx="34">
                  <c:v>0.91506790000000005</c:v>
                </c:pt>
                <c:pt idx="35">
                  <c:v>0.92080759999999995</c:v>
                </c:pt>
                <c:pt idx="36">
                  <c:v>0.92615069999999999</c:v>
                </c:pt>
                <c:pt idx="37">
                  <c:v>0.91897209999999996</c:v>
                </c:pt>
                <c:pt idx="38">
                  <c:v>0.90505550000000001</c:v>
                </c:pt>
                <c:pt idx="39">
                  <c:v>0.9100568</c:v>
                </c:pt>
                <c:pt idx="40">
                  <c:v>0.91612570000000004</c:v>
                </c:pt>
                <c:pt idx="41">
                  <c:v>0.91081749999999995</c:v>
                </c:pt>
                <c:pt idx="42">
                  <c:v>0.91439420000000005</c:v>
                </c:pt>
                <c:pt idx="43">
                  <c:v>0.91737120000000005</c:v>
                </c:pt>
                <c:pt idx="44">
                  <c:v>0.92300740000000003</c:v>
                </c:pt>
                <c:pt idx="45">
                  <c:v>0.92117099999999996</c:v>
                </c:pt>
                <c:pt idx="46">
                  <c:v>0.92109220000000003</c:v>
                </c:pt>
                <c:pt idx="47">
                  <c:v>0.9216396</c:v>
                </c:pt>
                <c:pt idx="48">
                  <c:v>0.9226164</c:v>
                </c:pt>
                <c:pt idx="49">
                  <c:v>0.91691230000000001</c:v>
                </c:pt>
              </c:numCache>
            </c:numRef>
          </c:val>
          <c:smooth val="0"/>
          <c:extLst>
            <c:ext xmlns:c16="http://schemas.microsoft.com/office/drawing/2014/chart" uri="{C3380CC4-5D6E-409C-BE32-E72D297353CC}">
              <c16:uniqueId val="{00000001-A9E3-014B-AE76-7F0AA0C4E7C8}"/>
            </c:ext>
          </c:extLst>
        </c:ser>
        <c:dLbls>
          <c:showLegendKey val="0"/>
          <c:showVal val="0"/>
          <c:showCatName val="0"/>
          <c:showSerName val="0"/>
          <c:showPercent val="0"/>
          <c:showBubbleSize val="0"/>
        </c:dLbls>
        <c:smooth val="0"/>
        <c:axId val="708349120"/>
        <c:axId val="266935807"/>
      </c:lineChart>
      <c:catAx>
        <c:axId val="70834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935807"/>
        <c:crosses val="autoZero"/>
        <c:auto val="1"/>
        <c:lblAlgn val="ctr"/>
        <c:lblOffset val="100"/>
        <c:noMultiLvlLbl val="0"/>
      </c:catAx>
      <c:valAx>
        <c:axId val="266935807"/>
        <c:scaling>
          <c:orientation val="minMax"/>
          <c:max val="0.95"/>
          <c:min val="0.6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34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Demographics!$J$2</c:f>
              <c:strCache>
                <c:ptCount val="1"/>
                <c:pt idx="0">
                  <c:v>Unlicensed</c:v>
                </c:pt>
              </c:strCache>
            </c:strRef>
          </c:tx>
          <c:spPr>
            <a:ln w="28575" cap="rnd">
              <a:solidFill>
                <a:schemeClr val="accent2"/>
              </a:solidFill>
              <a:round/>
            </a:ln>
            <a:effectLst/>
          </c:spPr>
          <c:marker>
            <c:symbol val="none"/>
          </c:marker>
          <c:cat>
            <c:strRef>
              <c:f>Demographics!$I$3:$I$52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Demographics!$J$3:$J$52</c:f>
              <c:numCache>
                <c:formatCode>0.00%</c:formatCode>
                <c:ptCount val="50"/>
                <c:pt idx="0">
                  <c:v>0.39641130000000002</c:v>
                </c:pt>
                <c:pt idx="1">
                  <c:v>0.40320159999999999</c:v>
                </c:pt>
                <c:pt idx="2">
                  <c:v>0.40355170000000001</c:v>
                </c:pt>
                <c:pt idx="3">
                  <c:v>0.40300209999999997</c:v>
                </c:pt>
                <c:pt idx="4">
                  <c:v>0.39843309999999998</c:v>
                </c:pt>
                <c:pt idx="5">
                  <c:v>0.40206839999999999</c:v>
                </c:pt>
                <c:pt idx="6">
                  <c:v>0.40133049999999998</c:v>
                </c:pt>
                <c:pt idx="7">
                  <c:v>0.40282299999999999</c:v>
                </c:pt>
                <c:pt idx="8">
                  <c:v>0.39864050000000001</c:v>
                </c:pt>
                <c:pt idx="9">
                  <c:v>0.40191670000000002</c:v>
                </c:pt>
                <c:pt idx="10">
                  <c:v>0.40116679999999999</c:v>
                </c:pt>
                <c:pt idx="11">
                  <c:v>0.40234799999999998</c:v>
                </c:pt>
                <c:pt idx="12">
                  <c:v>0.3986807</c:v>
                </c:pt>
                <c:pt idx="13">
                  <c:v>0.40520630000000002</c:v>
                </c:pt>
                <c:pt idx="14">
                  <c:v>0.40476590000000001</c:v>
                </c:pt>
                <c:pt idx="15">
                  <c:v>0.39962110000000001</c:v>
                </c:pt>
                <c:pt idx="16">
                  <c:v>0.39652870000000001</c:v>
                </c:pt>
                <c:pt idx="17">
                  <c:v>0.40215580000000001</c:v>
                </c:pt>
                <c:pt idx="18">
                  <c:v>0.40033530000000001</c:v>
                </c:pt>
                <c:pt idx="19">
                  <c:v>0.40296209999999999</c:v>
                </c:pt>
                <c:pt idx="20">
                  <c:v>0.40005180000000001</c:v>
                </c:pt>
                <c:pt idx="21">
                  <c:v>0.40893940000000001</c:v>
                </c:pt>
                <c:pt idx="22">
                  <c:v>0.40836220000000001</c:v>
                </c:pt>
                <c:pt idx="23">
                  <c:v>0.41296640000000001</c:v>
                </c:pt>
                <c:pt idx="24">
                  <c:v>0.40875660000000003</c:v>
                </c:pt>
                <c:pt idx="25">
                  <c:v>0.41523749999999998</c:v>
                </c:pt>
                <c:pt idx="26">
                  <c:v>0.40806700000000001</c:v>
                </c:pt>
                <c:pt idx="27">
                  <c:v>0.40914</c:v>
                </c:pt>
                <c:pt idx="28">
                  <c:v>0.40524640000000001</c:v>
                </c:pt>
                <c:pt idx="29">
                  <c:v>0.4123001</c:v>
                </c:pt>
                <c:pt idx="30">
                  <c:v>0.41030090000000002</c:v>
                </c:pt>
                <c:pt idx="31">
                  <c:v>0.41065439999999998</c:v>
                </c:pt>
                <c:pt idx="32">
                  <c:v>0.402555</c:v>
                </c:pt>
                <c:pt idx="33">
                  <c:v>0.3843762</c:v>
                </c:pt>
                <c:pt idx="34">
                  <c:v>0.39548329999999998</c:v>
                </c:pt>
                <c:pt idx="35">
                  <c:v>0.40296769999999998</c:v>
                </c:pt>
                <c:pt idx="36">
                  <c:v>0.40000409999999997</c:v>
                </c:pt>
                <c:pt idx="37">
                  <c:v>0.40400449999999999</c:v>
                </c:pt>
                <c:pt idx="38">
                  <c:v>0.40224169999999998</c:v>
                </c:pt>
                <c:pt idx="39">
                  <c:v>0.40421030000000002</c:v>
                </c:pt>
                <c:pt idx="40">
                  <c:v>0.40278439999999999</c:v>
                </c:pt>
                <c:pt idx="41">
                  <c:v>0.4114121</c:v>
                </c:pt>
                <c:pt idx="42">
                  <c:v>0.41115679999999999</c:v>
                </c:pt>
                <c:pt idx="43">
                  <c:v>0.41215390000000002</c:v>
                </c:pt>
                <c:pt idx="44">
                  <c:v>0.40889490000000001</c:v>
                </c:pt>
                <c:pt idx="45">
                  <c:v>0.41362700000000002</c:v>
                </c:pt>
                <c:pt idx="46">
                  <c:v>0.41316190000000003</c:v>
                </c:pt>
                <c:pt idx="47">
                  <c:v>0.4154892</c:v>
                </c:pt>
                <c:pt idx="48">
                  <c:v>0.40911969999999998</c:v>
                </c:pt>
                <c:pt idx="49">
                  <c:v>0.41539310000000002</c:v>
                </c:pt>
              </c:numCache>
            </c:numRef>
          </c:val>
          <c:smooth val="0"/>
          <c:extLst>
            <c:ext xmlns:c16="http://schemas.microsoft.com/office/drawing/2014/chart" uri="{C3380CC4-5D6E-409C-BE32-E72D297353CC}">
              <c16:uniqueId val="{00000000-329A-8240-AAFF-90A323E6372B}"/>
            </c:ext>
          </c:extLst>
        </c:ser>
        <c:ser>
          <c:idx val="1"/>
          <c:order val="1"/>
          <c:tx>
            <c:strRef>
              <c:f>Demographics!$K$2</c:f>
              <c:strCache>
                <c:ptCount val="1"/>
                <c:pt idx="0">
                  <c:v>Licensed</c:v>
                </c:pt>
              </c:strCache>
            </c:strRef>
          </c:tx>
          <c:spPr>
            <a:ln w="28575" cap="rnd">
              <a:solidFill>
                <a:schemeClr val="accent1"/>
              </a:solidFill>
              <a:round/>
            </a:ln>
            <a:effectLst/>
          </c:spPr>
          <c:marker>
            <c:symbol val="none"/>
          </c:marker>
          <c:cat>
            <c:strRef>
              <c:f>Demographics!$I$3:$I$52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Demographics!$K$3:$K$52</c:f>
              <c:numCache>
                <c:formatCode>0.00%</c:formatCode>
                <c:ptCount val="50"/>
                <c:pt idx="0">
                  <c:v>0.39349889999999998</c:v>
                </c:pt>
                <c:pt idx="1">
                  <c:v>0.40015729999999999</c:v>
                </c:pt>
                <c:pt idx="2">
                  <c:v>0.40071909999999999</c:v>
                </c:pt>
                <c:pt idx="3">
                  <c:v>0.40000999999999998</c:v>
                </c:pt>
                <c:pt idx="4">
                  <c:v>0.39606000000000002</c:v>
                </c:pt>
                <c:pt idx="5">
                  <c:v>0.39897830000000001</c:v>
                </c:pt>
                <c:pt idx="6">
                  <c:v>0.39886490000000002</c:v>
                </c:pt>
                <c:pt idx="7">
                  <c:v>0.39952310000000002</c:v>
                </c:pt>
                <c:pt idx="8">
                  <c:v>0.39602090000000001</c:v>
                </c:pt>
                <c:pt idx="9">
                  <c:v>0.39873920000000002</c:v>
                </c:pt>
                <c:pt idx="10">
                  <c:v>0.39804079999999997</c:v>
                </c:pt>
                <c:pt idx="11">
                  <c:v>0.3999566</c:v>
                </c:pt>
                <c:pt idx="12">
                  <c:v>0.39547670000000001</c:v>
                </c:pt>
                <c:pt idx="13">
                  <c:v>0.40262429999999999</c:v>
                </c:pt>
                <c:pt idx="14">
                  <c:v>0.40182639999999997</c:v>
                </c:pt>
                <c:pt idx="15">
                  <c:v>0.40093220000000002</c:v>
                </c:pt>
                <c:pt idx="16">
                  <c:v>0.39682820000000002</c:v>
                </c:pt>
                <c:pt idx="17">
                  <c:v>0.40261350000000001</c:v>
                </c:pt>
                <c:pt idx="18">
                  <c:v>0.40101110000000001</c:v>
                </c:pt>
                <c:pt idx="19">
                  <c:v>0.40332200000000001</c:v>
                </c:pt>
                <c:pt idx="20">
                  <c:v>0.40087469999999997</c:v>
                </c:pt>
                <c:pt idx="21">
                  <c:v>0.40866560000000002</c:v>
                </c:pt>
                <c:pt idx="22">
                  <c:v>0.40878209999999998</c:v>
                </c:pt>
                <c:pt idx="23">
                  <c:v>0.41050910000000002</c:v>
                </c:pt>
                <c:pt idx="24">
                  <c:v>0.40623490000000001</c:v>
                </c:pt>
                <c:pt idx="25">
                  <c:v>0.41269450000000002</c:v>
                </c:pt>
                <c:pt idx="26">
                  <c:v>0.41092070000000003</c:v>
                </c:pt>
                <c:pt idx="27">
                  <c:v>0.41167930000000003</c:v>
                </c:pt>
                <c:pt idx="28">
                  <c:v>0.40832780000000002</c:v>
                </c:pt>
                <c:pt idx="29">
                  <c:v>0.41433959999999997</c:v>
                </c:pt>
                <c:pt idx="30">
                  <c:v>0.4125355</c:v>
                </c:pt>
                <c:pt idx="31">
                  <c:v>0.41389799999999999</c:v>
                </c:pt>
                <c:pt idx="32">
                  <c:v>0.40672039999999998</c:v>
                </c:pt>
                <c:pt idx="33">
                  <c:v>0.39155279999999998</c:v>
                </c:pt>
                <c:pt idx="34">
                  <c:v>0.40141359999999998</c:v>
                </c:pt>
                <c:pt idx="35">
                  <c:v>0.40849380000000002</c:v>
                </c:pt>
                <c:pt idx="36">
                  <c:v>0.40509070000000003</c:v>
                </c:pt>
                <c:pt idx="37">
                  <c:v>0.40880680000000003</c:v>
                </c:pt>
                <c:pt idx="38">
                  <c:v>0.40626909999999999</c:v>
                </c:pt>
                <c:pt idx="39">
                  <c:v>0.40893879999999999</c:v>
                </c:pt>
                <c:pt idx="40">
                  <c:v>0.40864339999999999</c:v>
                </c:pt>
                <c:pt idx="41">
                  <c:v>0.41650619999999999</c:v>
                </c:pt>
                <c:pt idx="42">
                  <c:v>0.4163674</c:v>
                </c:pt>
                <c:pt idx="43">
                  <c:v>0.41744789999999998</c:v>
                </c:pt>
                <c:pt idx="44">
                  <c:v>0.41457260000000001</c:v>
                </c:pt>
                <c:pt idx="45">
                  <c:v>0.41957870000000003</c:v>
                </c:pt>
                <c:pt idx="46">
                  <c:v>0.41883559999999997</c:v>
                </c:pt>
                <c:pt idx="47">
                  <c:v>0.42142960000000002</c:v>
                </c:pt>
                <c:pt idx="48">
                  <c:v>0.41783819999999999</c:v>
                </c:pt>
                <c:pt idx="49">
                  <c:v>0.42327819999999999</c:v>
                </c:pt>
              </c:numCache>
            </c:numRef>
          </c:val>
          <c:smooth val="0"/>
          <c:extLst>
            <c:ext xmlns:c16="http://schemas.microsoft.com/office/drawing/2014/chart" uri="{C3380CC4-5D6E-409C-BE32-E72D297353CC}">
              <c16:uniqueId val="{00000001-329A-8240-AAFF-90A323E6372B}"/>
            </c:ext>
          </c:extLst>
        </c:ser>
        <c:dLbls>
          <c:showLegendKey val="0"/>
          <c:showVal val="0"/>
          <c:showCatName val="0"/>
          <c:showSerName val="0"/>
          <c:showPercent val="0"/>
          <c:showBubbleSize val="0"/>
        </c:dLbls>
        <c:smooth val="0"/>
        <c:axId val="266757711"/>
        <c:axId val="1970159872"/>
      </c:lineChart>
      <c:catAx>
        <c:axId val="26675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159872"/>
        <c:crosses val="autoZero"/>
        <c:auto val="1"/>
        <c:lblAlgn val="ctr"/>
        <c:lblOffset val="100"/>
        <c:noMultiLvlLbl val="0"/>
      </c:catAx>
      <c:valAx>
        <c:axId val="1970159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7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Informality!$B$2</c:f>
              <c:strCache>
                <c:ptCount val="1"/>
                <c:pt idx="0">
                  <c:v>Unlicensed – Definition 1</c:v>
                </c:pt>
              </c:strCache>
            </c:strRef>
          </c:tx>
          <c:spPr>
            <a:ln w="28575" cap="rnd">
              <a:solidFill>
                <a:schemeClr val="accent2">
                  <a:lumMod val="50000"/>
                </a:schemeClr>
              </a:solidFill>
              <a:round/>
            </a:ln>
            <a:effectLst/>
          </c:spPr>
          <c:marker>
            <c:symbol val="none"/>
          </c:marker>
          <c:cat>
            <c:strRef>
              <c:f>Informality!$A$3:$A$52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Informality!$B$3:$B$52</c:f>
              <c:numCache>
                <c:formatCode>0.00%</c:formatCode>
                <c:ptCount val="50"/>
                <c:pt idx="0">
                  <c:v>0.41314099999999998</c:v>
                </c:pt>
                <c:pt idx="1">
                  <c:v>0.404916</c:v>
                </c:pt>
                <c:pt idx="2">
                  <c:v>0.40283150000000001</c:v>
                </c:pt>
                <c:pt idx="3">
                  <c:v>0.4069699</c:v>
                </c:pt>
                <c:pt idx="4">
                  <c:v>0.40642400000000001</c:v>
                </c:pt>
                <c:pt idx="5">
                  <c:v>0.39843430000000002</c:v>
                </c:pt>
                <c:pt idx="6">
                  <c:v>0.39774199999999998</c:v>
                </c:pt>
                <c:pt idx="7">
                  <c:v>0.39846280000000001</c:v>
                </c:pt>
                <c:pt idx="8">
                  <c:v>0.39561059999999998</c:v>
                </c:pt>
                <c:pt idx="9">
                  <c:v>0.38865309999999997</c:v>
                </c:pt>
                <c:pt idx="10">
                  <c:v>0.38763110000000001</c:v>
                </c:pt>
                <c:pt idx="11">
                  <c:v>0.38913629999999999</c:v>
                </c:pt>
                <c:pt idx="12">
                  <c:v>0.38834659999999999</c:v>
                </c:pt>
                <c:pt idx="13">
                  <c:v>0.38357180000000002</c:v>
                </c:pt>
                <c:pt idx="14">
                  <c:v>0.38859399999999999</c:v>
                </c:pt>
                <c:pt idx="15">
                  <c:v>0.38875500000000002</c:v>
                </c:pt>
                <c:pt idx="16">
                  <c:v>0.3895113</c:v>
                </c:pt>
                <c:pt idx="17">
                  <c:v>0.38664870000000001</c:v>
                </c:pt>
                <c:pt idx="18">
                  <c:v>0.38663989999999998</c:v>
                </c:pt>
                <c:pt idx="19">
                  <c:v>0.38760169999999999</c:v>
                </c:pt>
                <c:pt idx="20">
                  <c:v>0.3885247</c:v>
                </c:pt>
                <c:pt idx="21">
                  <c:v>0.38891900000000001</c:v>
                </c:pt>
                <c:pt idx="22">
                  <c:v>0.39240940000000002</c:v>
                </c:pt>
                <c:pt idx="23">
                  <c:v>0.39474140000000002</c:v>
                </c:pt>
                <c:pt idx="24">
                  <c:v>0.39054240000000001</c:v>
                </c:pt>
                <c:pt idx="25">
                  <c:v>0.38912839999999999</c:v>
                </c:pt>
                <c:pt idx="26">
                  <c:v>0.39038489999999998</c:v>
                </c:pt>
                <c:pt idx="27">
                  <c:v>0.39079370000000002</c:v>
                </c:pt>
                <c:pt idx="28">
                  <c:v>0.39220450000000001</c:v>
                </c:pt>
                <c:pt idx="29">
                  <c:v>0.3947484</c:v>
                </c:pt>
                <c:pt idx="30">
                  <c:v>0.3981439</c:v>
                </c:pt>
                <c:pt idx="31">
                  <c:v>0.39608729999999998</c:v>
                </c:pt>
                <c:pt idx="32">
                  <c:v>0.39398309999999997</c:v>
                </c:pt>
                <c:pt idx="33">
                  <c:v>0.34979090000000002</c:v>
                </c:pt>
                <c:pt idx="34">
                  <c:v>0.36781150000000001</c:v>
                </c:pt>
                <c:pt idx="35">
                  <c:v>0.3781852</c:v>
                </c:pt>
                <c:pt idx="36">
                  <c:v>0.3841215</c:v>
                </c:pt>
                <c:pt idx="37">
                  <c:v>0.38454460000000001</c:v>
                </c:pt>
                <c:pt idx="38">
                  <c:v>0.4006304</c:v>
                </c:pt>
                <c:pt idx="39">
                  <c:v>0.40377069999999998</c:v>
                </c:pt>
                <c:pt idx="40">
                  <c:v>0.40055069999999998</c:v>
                </c:pt>
                <c:pt idx="41">
                  <c:v>0.39734940000000002</c:v>
                </c:pt>
                <c:pt idx="42">
                  <c:v>0.39492169999999999</c:v>
                </c:pt>
                <c:pt idx="43">
                  <c:v>0.38680290000000001</c:v>
                </c:pt>
                <c:pt idx="44">
                  <c:v>0.38710450000000002</c:v>
                </c:pt>
                <c:pt idx="45">
                  <c:v>0.38241049999999999</c:v>
                </c:pt>
                <c:pt idx="46">
                  <c:v>0.38486189999999998</c:v>
                </c:pt>
                <c:pt idx="47">
                  <c:v>0.38478849999999998</c:v>
                </c:pt>
                <c:pt idx="48">
                  <c:v>0.38700659999999998</c:v>
                </c:pt>
                <c:pt idx="49">
                  <c:v>0.38466539999999999</c:v>
                </c:pt>
              </c:numCache>
            </c:numRef>
          </c:val>
          <c:smooth val="0"/>
          <c:extLst>
            <c:ext xmlns:c16="http://schemas.microsoft.com/office/drawing/2014/chart" uri="{C3380CC4-5D6E-409C-BE32-E72D297353CC}">
              <c16:uniqueId val="{00000000-DF77-F543-A38D-82ED9C7FE0AA}"/>
            </c:ext>
          </c:extLst>
        </c:ser>
        <c:ser>
          <c:idx val="1"/>
          <c:order val="1"/>
          <c:tx>
            <c:strRef>
              <c:f>Informality!$C$2</c:f>
              <c:strCache>
                <c:ptCount val="1"/>
                <c:pt idx="0">
                  <c:v>Unlicensed – Definition 2</c:v>
                </c:pt>
              </c:strCache>
            </c:strRef>
          </c:tx>
          <c:spPr>
            <a:ln w="28575" cap="rnd">
              <a:solidFill>
                <a:schemeClr val="accent2"/>
              </a:solidFill>
              <a:round/>
            </a:ln>
            <a:effectLst/>
          </c:spPr>
          <c:marker>
            <c:symbol val="none"/>
          </c:marker>
          <c:cat>
            <c:strRef>
              <c:f>Informality!$A$3:$A$52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Informality!$C$3:$C$52</c:f>
              <c:numCache>
                <c:formatCode>General</c:formatCode>
                <c:ptCount val="50"/>
                <c:pt idx="15" formatCode="0.00%">
                  <c:v>0.4204986</c:v>
                </c:pt>
                <c:pt idx="16" formatCode="0.00%">
                  <c:v>0.42272470000000001</c:v>
                </c:pt>
                <c:pt idx="17" formatCode="0.00%">
                  <c:v>0.42007749999999999</c:v>
                </c:pt>
                <c:pt idx="18" formatCode="0.00%">
                  <c:v>0.42153220000000002</c:v>
                </c:pt>
                <c:pt idx="19" formatCode="0.00%">
                  <c:v>0.42323379999999999</c:v>
                </c:pt>
                <c:pt idx="20" formatCode="0.00%">
                  <c:v>0.42501309999999998</c:v>
                </c:pt>
                <c:pt idx="21" formatCode="0.00%">
                  <c:v>0.42298079999999999</c:v>
                </c:pt>
                <c:pt idx="22" formatCode="0.00%">
                  <c:v>0.42711470000000001</c:v>
                </c:pt>
                <c:pt idx="23" formatCode="0.00%">
                  <c:v>0.42824849999999998</c:v>
                </c:pt>
                <c:pt idx="24" formatCode="0.00%">
                  <c:v>0.42558499999999999</c:v>
                </c:pt>
                <c:pt idx="25" formatCode="0.00%">
                  <c:v>0.42051480000000002</c:v>
                </c:pt>
                <c:pt idx="26" formatCode="0.00%">
                  <c:v>0.42232550000000002</c:v>
                </c:pt>
                <c:pt idx="27" formatCode="0.00%">
                  <c:v>0.42175570000000001</c:v>
                </c:pt>
                <c:pt idx="28" formatCode="0.00%">
                  <c:v>0.4237937</c:v>
                </c:pt>
                <c:pt idx="29" formatCode="0.00%">
                  <c:v>0.42192580000000002</c:v>
                </c:pt>
                <c:pt idx="30" formatCode="0.00%">
                  <c:v>0.42365700000000001</c:v>
                </c:pt>
                <c:pt idx="31" formatCode="0.00%">
                  <c:v>0.4215025</c:v>
                </c:pt>
                <c:pt idx="32" formatCode="0.00%">
                  <c:v>0.4191011</c:v>
                </c:pt>
                <c:pt idx="33" formatCode="0.00%">
                  <c:v>0.3777701</c:v>
                </c:pt>
                <c:pt idx="34" formatCode="0.00%">
                  <c:v>0.39440570000000003</c:v>
                </c:pt>
                <c:pt idx="35" formatCode="0.00%">
                  <c:v>0.40310360000000001</c:v>
                </c:pt>
                <c:pt idx="36" formatCode="0.00%">
                  <c:v>0.40993980000000002</c:v>
                </c:pt>
                <c:pt idx="37" formatCode="0.00%">
                  <c:v>0.41224749999999999</c:v>
                </c:pt>
                <c:pt idx="38" formatCode="0.00%">
                  <c:v>0.4250313</c:v>
                </c:pt>
                <c:pt idx="39" formatCode="0.00%">
                  <c:v>0.426678</c:v>
                </c:pt>
                <c:pt idx="40" formatCode="0.00%">
                  <c:v>0.42357410000000001</c:v>
                </c:pt>
                <c:pt idx="41" formatCode="0.00%">
                  <c:v>0.41809590000000002</c:v>
                </c:pt>
                <c:pt idx="42" formatCode="0.00%">
                  <c:v>0.4135953</c:v>
                </c:pt>
                <c:pt idx="43" formatCode="0.00%">
                  <c:v>0.40801159999999997</c:v>
                </c:pt>
                <c:pt idx="44" formatCode="0.00%">
                  <c:v>0.4103929</c:v>
                </c:pt>
                <c:pt idx="45" formatCode="0.00%">
                  <c:v>0.40648879999999998</c:v>
                </c:pt>
                <c:pt idx="46" formatCode="0.00%">
                  <c:v>0.40872340000000001</c:v>
                </c:pt>
                <c:pt idx="47" formatCode="0.00%">
                  <c:v>0.40909699999999999</c:v>
                </c:pt>
                <c:pt idx="48" formatCode="0.00%">
                  <c:v>0.41304629999999998</c:v>
                </c:pt>
                <c:pt idx="49" formatCode="0.00%">
                  <c:v>0.40928209999999998</c:v>
                </c:pt>
              </c:numCache>
            </c:numRef>
          </c:val>
          <c:smooth val="0"/>
          <c:extLst>
            <c:ext xmlns:c16="http://schemas.microsoft.com/office/drawing/2014/chart" uri="{C3380CC4-5D6E-409C-BE32-E72D297353CC}">
              <c16:uniqueId val="{00000001-DF77-F543-A38D-82ED9C7FE0AA}"/>
            </c:ext>
          </c:extLst>
        </c:ser>
        <c:ser>
          <c:idx val="2"/>
          <c:order val="2"/>
          <c:tx>
            <c:strRef>
              <c:f>Informality!$D$2</c:f>
              <c:strCache>
                <c:ptCount val="1"/>
                <c:pt idx="0">
                  <c:v>Licensed – Definition 1</c:v>
                </c:pt>
              </c:strCache>
            </c:strRef>
          </c:tx>
          <c:spPr>
            <a:ln w="28575" cap="rnd">
              <a:solidFill>
                <a:schemeClr val="tx2"/>
              </a:solidFill>
              <a:round/>
            </a:ln>
            <a:effectLst/>
          </c:spPr>
          <c:marker>
            <c:symbol val="none"/>
          </c:marker>
          <c:cat>
            <c:strRef>
              <c:f>Informality!$A$3:$A$52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Informality!$D$3:$D$52</c:f>
              <c:numCache>
                <c:formatCode>0.00%</c:formatCode>
                <c:ptCount val="50"/>
                <c:pt idx="0">
                  <c:v>0.30216929999999997</c:v>
                </c:pt>
                <c:pt idx="1">
                  <c:v>0.29753930000000001</c:v>
                </c:pt>
                <c:pt idx="2">
                  <c:v>0.30200450000000001</c:v>
                </c:pt>
                <c:pt idx="3">
                  <c:v>0.30145189999999999</c:v>
                </c:pt>
                <c:pt idx="4">
                  <c:v>0.29061569999999998</c:v>
                </c:pt>
                <c:pt idx="5">
                  <c:v>0.28557510000000003</c:v>
                </c:pt>
                <c:pt idx="6">
                  <c:v>0.28229710000000002</c:v>
                </c:pt>
                <c:pt idx="7">
                  <c:v>0.28184710000000002</c:v>
                </c:pt>
                <c:pt idx="8">
                  <c:v>0.2719937</c:v>
                </c:pt>
                <c:pt idx="9">
                  <c:v>0.26854479999999997</c:v>
                </c:pt>
                <c:pt idx="10">
                  <c:v>0.27162219999999998</c:v>
                </c:pt>
                <c:pt idx="11">
                  <c:v>0.26873920000000001</c:v>
                </c:pt>
                <c:pt idx="12">
                  <c:v>0.2586659</c:v>
                </c:pt>
                <c:pt idx="13">
                  <c:v>0.26488970000000001</c:v>
                </c:pt>
                <c:pt idx="14">
                  <c:v>0.27014830000000001</c:v>
                </c:pt>
                <c:pt idx="15">
                  <c:v>0.25977919999999999</c:v>
                </c:pt>
                <c:pt idx="16">
                  <c:v>0.26753640000000001</c:v>
                </c:pt>
                <c:pt idx="17">
                  <c:v>0.27318490000000001</c:v>
                </c:pt>
                <c:pt idx="18">
                  <c:v>0.27336919999999998</c:v>
                </c:pt>
                <c:pt idx="19">
                  <c:v>0.27866000000000002</c:v>
                </c:pt>
                <c:pt idx="20">
                  <c:v>0.28206940000000003</c:v>
                </c:pt>
                <c:pt idx="21">
                  <c:v>0.29159350000000001</c:v>
                </c:pt>
                <c:pt idx="22">
                  <c:v>0.29256910000000003</c:v>
                </c:pt>
                <c:pt idx="23">
                  <c:v>0.3041085</c:v>
                </c:pt>
                <c:pt idx="24">
                  <c:v>0.31317020000000001</c:v>
                </c:pt>
                <c:pt idx="25">
                  <c:v>0.3206254</c:v>
                </c:pt>
                <c:pt idx="26">
                  <c:v>0.3258607</c:v>
                </c:pt>
                <c:pt idx="27">
                  <c:v>0.33020359999999999</c:v>
                </c:pt>
                <c:pt idx="28">
                  <c:v>0.33407959999999998</c:v>
                </c:pt>
                <c:pt idx="29">
                  <c:v>0.34322419999999998</c:v>
                </c:pt>
                <c:pt idx="30">
                  <c:v>0.34691480000000002</c:v>
                </c:pt>
                <c:pt idx="31">
                  <c:v>0.3428216</c:v>
                </c:pt>
                <c:pt idx="32">
                  <c:v>0.33951330000000002</c:v>
                </c:pt>
                <c:pt idx="33">
                  <c:v>0.29088960000000003</c:v>
                </c:pt>
                <c:pt idx="34">
                  <c:v>0.30437589999999998</c:v>
                </c:pt>
                <c:pt idx="35">
                  <c:v>0.31647170000000002</c:v>
                </c:pt>
                <c:pt idx="36">
                  <c:v>0.32715949999999999</c:v>
                </c:pt>
                <c:pt idx="37">
                  <c:v>0.33057150000000002</c:v>
                </c:pt>
                <c:pt idx="38">
                  <c:v>0.34390759999999998</c:v>
                </c:pt>
                <c:pt idx="39">
                  <c:v>0.34607569999999999</c:v>
                </c:pt>
                <c:pt idx="40">
                  <c:v>0.3403272</c:v>
                </c:pt>
                <c:pt idx="41">
                  <c:v>0.35211540000000002</c:v>
                </c:pt>
                <c:pt idx="42">
                  <c:v>0.349831</c:v>
                </c:pt>
                <c:pt idx="43">
                  <c:v>0.34125830000000001</c:v>
                </c:pt>
                <c:pt idx="44">
                  <c:v>0.3478695</c:v>
                </c:pt>
                <c:pt idx="45">
                  <c:v>0.34532439999999998</c:v>
                </c:pt>
                <c:pt idx="46">
                  <c:v>0.3444818</c:v>
                </c:pt>
                <c:pt idx="47">
                  <c:v>0.3488214</c:v>
                </c:pt>
                <c:pt idx="48">
                  <c:v>0.35303770000000001</c:v>
                </c:pt>
                <c:pt idx="49">
                  <c:v>0.34764410000000001</c:v>
                </c:pt>
              </c:numCache>
            </c:numRef>
          </c:val>
          <c:smooth val="0"/>
          <c:extLst>
            <c:ext xmlns:c16="http://schemas.microsoft.com/office/drawing/2014/chart" uri="{C3380CC4-5D6E-409C-BE32-E72D297353CC}">
              <c16:uniqueId val="{00000002-DF77-F543-A38D-82ED9C7FE0AA}"/>
            </c:ext>
          </c:extLst>
        </c:ser>
        <c:ser>
          <c:idx val="3"/>
          <c:order val="3"/>
          <c:tx>
            <c:strRef>
              <c:f>Informality!$E$2</c:f>
              <c:strCache>
                <c:ptCount val="1"/>
                <c:pt idx="0">
                  <c:v>Licensed – Definition 2</c:v>
                </c:pt>
              </c:strCache>
            </c:strRef>
          </c:tx>
          <c:spPr>
            <a:ln w="28575" cap="rnd">
              <a:solidFill>
                <a:schemeClr val="accent4"/>
              </a:solidFill>
              <a:round/>
            </a:ln>
            <a:effectLst/>
          </c:spPr>
          <c:marker>
            <c:symbol val="none"/>
          </c:marker>
          <c:cat>
            <c:strRef>
              <c:f>Informality!$A$3:$A$52</c:f>
              <c:strCache>
                <c:ptCount val="50"/>
                <c:pt idx="0">
                  <c:v>2012Q1</c:v>
                </c:pt>
                <c:pt idx="1">
                  <c:v>2012Q2</c:v>
                </c:pt>
                <c:pt idx="2">
                  <c:v>2012Q3</c:v>
                </c:pt>
                <c:pt idx="3">
                  <c:v>2012Q4</c:v>
                </c:pt>
                <c:pt idx="4">
                  <c:v>2013Q1</c:v>
                </c:pt>
                <c:pt idx="5">
                  <c:v>2013Q2</c:v>
                </c:pt>
                <c:pt idx="6">
                  <c:v>2013Q3</c:v>
                </c:pt>
                <c:pt idx="7">
                  <c:v>2013Q4</c:v>
                </c:pt>
                <c:pt idx="8">
                  <c:v>2014Q1</c:v>
                </c:pt>
                <c:pt idx="9">
                  <c:v>2014Q2</c:v>
                </c:pt>
                <c:pt idx="10">
                  <c:v>2014Q3</c:v>
                </c:pt>
                <c:pt idx="11">
                  <c:v>2014Q4</c:v>
                </c:pt>
                <c:pt idx="12">
                  <c:v>2015Q1</c:v>
                </c:pt>
                <c:pt idx="13">
                  <c:v>2015Q2</c:v>
                </c:pt>
                <c:pt idx="14">
                  <c:v>2015Q3</c:v>
                </c:pt>
                <c:pt idx="15">
                  <c:v>2015Q4</c:v>
                </c:pt>
                <c:pt idx="16">
                  <c:v>2016Q1</c:v>
                </c:pt>
                <c:pt idx="17">
                  <c:v>2016Q2</c:v>
                </c:pt>
                <c:pt idx="18">
                  <c:v>2016Q3</c:v>
                </c:pt>
                <c:pt idx="19">
                  <c:v>2016Q4</c:v>
                </c:pt>
                <c:pt idx="20">
                  <c:v>2017Q1</c:v>
                </c:pt>
                <c:pt idx="21">
                  <c:v>2017Q2</c:v>
                </c:pt>
                <c:pt idx="22">
                  <c:v>2017Q3</c:v>
                </c:pt>
                <c:pt idx="23">
                  <c:v>2017Q4</c:v>
                </c:pt>
                <c:pt idx="24">
                  <c:v>2018Q1</c:v>
                </c:pt>
                <c:pt idx="25">
                  <c:v>2018Q2</c:v>
                </c:pt>
                <c:pt idx="26">
                  <c:v>2018Q3</c:v>
                </c:pt>
                <c:pt idx="27">
                  <c:v>2018Q4</c:v>
                </c:pt>
                <c:pt idx="28">
                  <c:v>2019Q1</c:v>
                </c:pt>
                <c:pt idx="29">
                  <c:v>2019Q2</c:v>
                </c:pt>
                <c:pt idx="30">
                  <c:v>2019Q3</c:v>
                </c:pt>
                <c:pt idx="31">
                  <c:v>2019Q4</c:v>
                </c:pt>
                <c:pt idx="32">
                  <c:v>2020Q1</c:v>
                </c:pt>
                <c:pt idx="33">
                  <c:v>2020Q2</c:v>
                </c:pt>
                <c:pt idx="34">
                  <c:v>2020Q3</c:v>
                </c:pt>
                <c:pt idx="35">
                  <c:v>2020Q4</c:v>
                </c:pt>
                <c:pt idx="36">
                  <c:v>2021Q1</c:v>
                </c:pt>
                <c:pt idx="37">
                  <c:v>2021Q2</c:v>
                </c:pt>
                <c:pt idx="38">
                  <c:v>2021Q3</c:v>
                </c:pt>
                <c:pt idx="39">
                  <c:v>2021Q4</c:v>
                </c:pt>
                <c:pt idx="40">
                  <c:v>2022Q1</c:v>
                </c:pt>
                <c:pt idx="41">
                  <c:v>2022Q2</c:v>
                </c:pt>
                <c:pt idx="42">
                  <c:v>2022Q3</c:v>
                </c:pt>
                <c:pt idx="43">
                  <c:v>2022Q4</c:v>
                </c:pt>
                <c:pt idx="44">
                  <c:v>2023Q1</c:v>
                </c:pt>
                <c:pt idx="45">
                  <c:v>2023Q2</c:v>
                </c:pt>
                <c:pt idx="46">
                  <c:v>2023Q3</c:v>
                </c:pt>
                <c:pt idx="47">
                  <c:v>2023Q4</c:v>
                </c:pt>
                <c:pt idx="48">
                  <c:v>2024Q1</c:v>
                </c:pt>
                <c:pt idx="49">
                  <c:v>2024Q2</c:v>
                </c:pt>
              </c:strCache>
            </c:strRef>
          </c:cat>
          <c:val>
            <c:numRef>
              <c:f>Informality!$E$3:$E$52</c:f>
              <c:numCache>
                <c:formatCode>General</c:formatCode>
                <c:ptCount val="50"/>
                <c:pt idx="15" formatCode="0.00%">
                  <c:v>0.31720500000000001</c:v>
                </c:pt>
                <c:pt idx="16" formatCode="0.00%">
                  <c:v>0.32555469999999997</c:v>
                </c:pt>
                <c:pt idx="17" formatCode="0.00%">
                  <c:v>0.33150420000000003</c:v>
                </c:pt>
                <c:pt idx="18" formatCode="0.00%">
                  <c:v>0.3362792</c:v>
                </c:pt>
                <c:pt idx="19" formatCode="0.00%">
                  <c:v>0.34091339999999998</c:v>
                </c:pt>
                <c:pt idx="20" formatCode="0.00%">
                  <c:v>0.34597250000000002</c:v>
                </c:pt>
                <c:pt idx="21" formatCode="0.00%">
                  <c:v>0.35198370000000001</c:v>
                </c:pt>
                <c:pt idx="22" formatCode="0.00%">
                  <c:v>0.3562302</c:v>
                </c:pt>
                <c:pt idx="23" formatCode="0.00%">
                  <c:v>0.36616379999999998</c:v>
                </c:pt>
                <c:pt idx="24" formatCode="0.00%">
                  <c:v>0.37486180000000002</c:v>
                </c:pt>
                <c:pt idx="25" formatCode="0.00%">
                  <c:v>0.38358609999999999</c:v>
                </c:pt>
                <c:pt idx="26" formatCode="0.00%">
                  <c:v>0.38224910000000001</c:v>
                </c:pt>
                <c:pt idx="27" formatCode="0.00%">
                  <c:v>0.38667839999999998</c:v>
                </c:pt>
                <c:pt idx="28" formatCode="0.00%">
                  <c:v>0.39195930000000001</c:v>
                </c:pt>
                <c:pt idx="29" formatCode="0.00%">
                  <c:v>0.39632709999999999</c:v>
                </c:pt>
                <c:pt idx="30" formatCode="0.00%">
                  <c:v>0.39904240000000002</c:v>
                </c:pt>
                <c:pt idx="31" formatCode="0.00%">
                  <c:v>0.39384570000000002</c:v>
                </c:pt>
                <c:pt idx="32" formatCode="0.00%">
                  <c:v>0.38502049999999999</c:v>
                </c:pt>
                <c:pt idx="33" formatCode="0.00%">
                  <c:v>0.3327193</c:v>
                </c:pt>
                <c:pt idx="34" formatCode="0.00%">
                  <c:v>0.35151250000000001</c:v>
                </c:pt>
                <c:pt idx="35" formatCode="0.00%">
                  <c:v>0.36154360000000002</c:v>
                </c:pt>
                <c:pt idx="36" formatCode="0.00%">
                  <c:v>0.37310840000000001</c:v>
                </c:pt>
                <c:pt idx="37" formatCode="0.00%">
                  <c:v>0.37979220000000002</c:v>
                </c:pt>
                <c:pt idx="38" formatCode="0.00%">
                  <c:v>0.39339760000000001</c:v>
                </c:pt>
                <c:pt idx="39" formatCode="0.00%">
                  <c:v>0.39320870000000002</c:v>
                </c:pt>
                <c:pt idx="40" formatCode="0.00%">
                  <c:v>0.38696439999999999</c:v>
                </c:pt>
                <c:pt idx="41" formatCode="0.00%">
                  <c:v>0.39369510000000002</c:v>
                </c:pt>
                <c:pt idx="42" formatCode="0.00%">
                  <c:v>0.38816610000000001</c:v>
                </c:pt>
                <c:pt idx="43" formatCode="0.00%">
                  <c:v>0.3790462</c:v>
                </c:pt>
                <c:pt idx="44" formatCode="0.00%">
                  <c:v>0.3887198</c:v>
                </c:pt>
                <c:pt idx="45" formatCode="0.00%">
                  <c:v>0.3861154</c:v>
                </c:pt>
                <c:pt idx="46" formatCode="0.00%">
                  <c:v>0.38888400000000001</c:v>
                </c:pt>
                <c:pt idx="47" formatCode="0.00%">
                  <c:v>0.39275209999999999</c:v>
                </c:pt>
                <c:pt idx="48" formatCode="0.00%">
                  <c:v>0.394235</c:v>
                </c:pt>
                <c:pt idx="49" formatCode="0.00%">
                  <c:v>0.38822679999999998</c:v>
                </c:pt>
              </c:numCache>
            </c:numRef>
          </c:val>
          <c:smooth val="0"/>
          <c:extLst>
            <c:ext xmlns:c16="http://schemas.microsoft.com/office/drawing/2014/chart" uri="{C3380CC4-5D6E-409C-BE32-E72D297353CC}">
              <c16:uniqueId val="{00000003-DF77-F543-A38D-82ED9C7FE0AA}"/>
            </c:ext>
          </c:extLst>
        </c:ser>
        <c:dLbls>
          <c:showLegendKey val="0"/>
          <c:showVal val="0"/>
          <c:showCatName val="0"/>
          <c:showSerName val="0"/>
          <c:showPercent val="0"/>
          <c:showBubbleSize val="0"/>
        </c:dLbls>
        <c:smooth val="0"/>
        <c:axId val="1468030128"/>
        <c:axId val="2001046976"/>
      </c:lineChart>
      <c:catAx>
        <c:axId val="146803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1046976"/>
        <c:crosses val="autoZero"/>
        <c:auto val="1"/>
        <c:lblAlgn val="ctr"/>
        <c:lblOffset val="100"/>
        <c:noMultiLvlLbl val="0"/>
      </c:catAx>
      <c:valAx>
        <c:axId val="2001046976"/>
        <c:scaling>
          <c:orientation val="minMax"/>
          <c:max val="0.55000000000000004"/>
          <c:min val="0.1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03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DF45-4588-5343-B3BF-D076434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5844</Words>
  <Characters>33316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7</cp:revision>
  <cp:lastPrinted>2024-11-04T20:31:00Z</cp:lastPrinted>
  <dcterms:created xsi:type="dcterms:W3CDTF">2024-11-04T20:31:00Z</dcterms:created>
  <dcterms:modified xsi:type="dcterms:W3CDTF">2024-12-02T20:37:00Z</dcterms:modified>
</cp:coreProperties>
</file>