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4E5B38"/>
          <w:sz w:val="48"/>
          <w:szCs w:val="48"/>
        </w:rPr>
        <w:t xml:space="preserve">AI Marketing Agency — Luméa</w:t>
      </w:r>
    </w:p>
    <w:p>
      <w:pPr>
        <w:spacing w:after="60"/>
      </w:pPr>
      <w:r>
        <w:rPr>
          <w:i/>
          <w:iCs/>
          <w:color w:val="5C6355"/>
          <w:sz w:val="28"/>
          <w:szCs w:val="28"/>
        </w:rPr>
        <w:t xml:space="preserve">Documentation détaillée du projet</w:t>
      </w:r>
    </w:p>
    <w:p>
      <w:pPr>
        <w:spacing w:after="500"/>
      </w:pPr>
      <w:r>
        <w:rPr>
          <w:color w:val="5C6355"/>
          <w:sz w:val="20"/>
          <w:szCs w:val="20"/>
        </w:rPr>
        <w:t xml:space="preserve">Master 2 Data Marketing &amp; Commercial Development — 2025-2026</w:t>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Contexte et objectifs du projet</w:t>
      </w:r>
    </w:p>
    <w:p>
      <w:pPr>
        <w:spacing w:after="160"/>
      </w:pPr>
      <w:r>
        <w:t xml:space="preserve">Ce projet s'inscrit dans le cadre du module M2 "AI Marketing Agency", dont l'objectif est de concevoir un écosystème marketing complet piloté par l'intelligence artificielle, au service d'une entreprise cliente fictive. Le brief impose la démonstration de plusieurs compétences techniques : LLM et prompt engineering, RAG (Retrieval-Augmented Generation), agents IA autonomes, automatisation via n8n, et développement rapide d'interface ("vibe coding").</w:t>
      </w:r>
    </w:p>
    <w:p>
      <w:pPr>
        <w:spacing w:after="160"/>
      </w:pPr>
      <w:r>
        <w:t xml:space="preserve">Les livrables attendus se répartissent en cinq catégories : un chatbot de service client basé sur du RAG, un agent de création de contenu, un workflow d'automatisation n8n, une landing page avec formulaire de capture de leads, et une documentation complète accompagnée d'une présentation orale de 15 minutes.</w:t>
      </w:r>
    </w:p>
    <w:p>
      <w:pPr>
        <w:pStyle w:val="Heading1"/>
        <w:spacing w:after="200" w:before="400"/>
      </w:pPr>
      <w:r>
        <w:t xml:space="preserve">2. Le client fictif : Luméa</w:t>
      </w:r>
    </w:p>
    <w:p>
      <w:pPr>
        <w:spacing w:after="160"/>
      </w:pPr>
      <w:r>
        <w:rPr>
          <w:b/>
          <w:bCs/>
        </w:rPr>
        <w:t xml:space="preserve">Positionnement — </w:t>
      </w:r>
      <w:r>
        <w:t xml:space="preserve">Luméa est une marque fictive de skincare bio vendue en direct au consommateur (DTC), proposant une gamme de 8 produits (nettoyant, sérum, crème jour, baume nuit, démaquillant, contour des yeux, masque, huile sèche).</w:t>
      </w:r>
    </w:p>
    <w:p>
      <w:pPr>
        <w:spacing w:after="160"/>
      </w:pPr>
      <w:r>
        <w:rPr>
          <w:b/>
          <w:bCs/>
        </w:rPr>
        <w:t xml:space="preserve">Cible — </w:t>
      </w:r>
      <w:r>
        <w:t xml:space="preserve">hommes et femmes de 25 à 40 ans, sensibles aux enjeux de la clean beauty, panier moyen autour de 45€.</w:t>
      </w:r>
    </w:p>
    <w:p>
      <w:pPr>
        <w:spacing w:after="160"/>
      </w:pPr>
      <w:r>
        <w:rPr>
          <w:b/>
          <w:bCs/>
        </w:rPr>
        <w:t xml:space="preserve">Problématique business — </w:t>
      </w:r>
      <w:r>
        <w:t xml:space="preserve">la marque souhaite scaler son acquisition client et son support client sans recruter d'équipe supplémentaire, tout en professionnalisant sa présence sur les réseaux sociaux.</w:t>
      </w:r>
    </w:p>
    <w:p>
      <w:pPr>
        <w:spacing w:after="160"/>
      </w:pPr>
      <w:r>
        <w:t xml:space="preserve">Ce choix de secteur a été motivé par sa richesse visuelle (utile pour l'agent de contenu Instagram) et par la cohérence naturelle entre le concept de "transparence des ingrédients" propre à la clean beauty et l'exigence de non-hallucination d'un chatbot RAG.</w:t>
      </w:r>
    </w:p>
    <w:p>
      <w:pPr>
        <w:pStyle w:val="Heading1"/>
        <w:spacing w:after="200" w:before="400"/>
      </w:pPr>
      <w:r>
        <w:t xml:space="preserve">3. Architecture technique globale</w:t>
      </w:r>
    </w:p>
    <w:p>
      <w:pPr>
        <w:spacing w:after="160"/>
      </w:pPr>
      <w:r>
        <w:t xml:space="preserve">Le flux global du projet s'articule ainsi : un visiteur arrive sur la landing page, qui donne accès à deux points d'entrée — un chatbot RAG pour les questions produit, et un formulaire de capture de leads. Ce formulaire déclenche un workflow n8n qui gère à la fois le scoring/nurturing des leads et, indépendamment, un agent autonome génère régulièrement du contenu Instagram.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4E5B38" w:val="clear"/>
          </w:tcPr>
          <w:p>
            <w:r>
              <w:rPr>
                <w:b/>
                <w:bCs/>
                <w:color w:val="FFFFFF"/>
              </w:rPr>
              <w:t xml:space="preserve">Brique</w:t>
            </w:r>
          </w:p>
        </w:tc>
        <w:tc>
          <w:tcPr>
            <w:tcW w:type="dxa" w:w="3200"/>
            <w:shd w:fill="4E5B38" w:val="clear"/>
          </w:tcPr>
          <w:p>
            <w:r>
              <w:rPr>
                <w:b/>
                <w:bCs/>
                <w:color w:val="FFFFFF"/>
              </w:rPr>
              <w:t xml:space="preserve">Outil retenu</w:t>
            </w:r>
          </w:p>
        </w:tc>
        <w:tc>
          <w:tcPr>
            <w:tcW w:type="dxa" w:w="3800"/>
            <w:shd w:fill="4E5B38" w:val="clear"/>
          </w:tcPr>
          <w:p>
            <w:r>
              <w:rPr>
                <w:b/>
                <w:bCs/>
                <w:color w:val="FFFFFF"/>
              </w:rPr>
              <w:t xml:space="preserve">Rôle</w:t>
            </w:r>
          </w:p>
        </w:tc>
      </w:tr>
      <w:tr>
        <w:tc>
          <w:tcPr>
            <w:tcW w:type="dxa" w:w="2000"/>
            <w:shd w:fill="F2F5EE" w:val="clear"/>
          </w:tcPr>
          <w:p>
            <w:r>
              <w:rPr>
                <w:b w:val="false"/>
                <w:bCs w:val="false"/>
              </w:rPr>
              <w:t xml:space="preserve">LLM</w:t>
            </w:r>
          </w:p>
        </w:tc>
        <w:tc>
          <w:tcPr>
            <w:tcW w:type="dxa" w:w="3200"/>
            <w:shd w:fill="F2F5EE" w:val="clear"/>
          </w:tcPr>
          <w:p>
            <w:r>
              <w:rPr>
                <w:b w:val="false"/>
                <w:bCs w:val="false"/>
              </w:rPr>
              <w:t xml:space="preserve">Claude (API Anthropic)</w:t>
            </w:r>
          </w:p>
        </w:tc>
        <w:tc>
          <w:tcPr>
            <w:tcW w:type="dxa" w:w="3800"/>
            <w:shd w:fill="F2F5EE" w:val="clear"/>
          </w:tcPr>
          <w:p>
            <w:r>
              <w:rPr>
                <w:b w:val="false"/>
                <w:bCs w:val="false"/>
              </w:rPr>
              <w:t xml:space="preserve">Génération des réponses du chatbot et du contenu Instagram</w:t>
            </w:r>
          </w:p>
        </w:tc>
      </w:tr>
      <w:tr>
        <w:tc>
          <w:tcPr>
            <w:tcW w:type="dxa" w:w="2000"/>
          </w:tcPr>
          <w:p>
            <w:r>
              <w:rPr>
                <w:b w:val="false"/>
                <w:bCs w:val="false"/>
              </w:rPr>
              <w:t xml:space="preserve">Vector store</w:t>
            </w:r>
          </w:p>
        </w:tc>
        <w:tc>
          <w:tcPr>
            <w:tcW w:type="dxa" w:w="3200"/>
          </w:tcPr>
          <w:p>
            <w:r>
              <w:rPr>
                <w:b w:val="false"/>
                <w:bCs w:val="false"/>
              </w:rPr>
              <w:t xml:space="preserve">Chroma (exécuté en local)</w:t>
            </w:r>
          </w:p>
        </w:tc>
        <w:tc>
          <w:tcPr>
            <w:tcW w:type="dxa" w:w="3800"/>
          </w:tcPr>
          <w:p>
            <w:r>
              <w:rPr>
                <w:b w:val="false"/>
                <w:bCs w:val="false"/>
              </w:rPr>
              <w:t xml:space="preserve">Stockage des embeddings de la base de connaissances</w:t>
            </w:r>
          </w:p>
        </w:tc>
      </w:tr>
      <w:tr>
        <w:tc>
          <w:tcPr>
            <w:tcW w:type="dxa" w:w="2000"/>
            <w:shd w:fill="F2F5EE" w:val="clear"/>
          </w:tcPr>
          <w:p>
            <w:r>
              <w:rPr>
                <w:b w:val="false"/>
                <w:bCs w:val="false"/>
              </w:rPr>
              <w:t xml:space="preserve">Embeddings</w:t>
            </w:r>
          </w:p>
        </w:tc>
        <w:tc>
          <w:tcPr>
            <w:tcW w:type="dxa" w:w="3200"/>
            <w:shd w:fill="F2F5EE" w:val="clear"/>
          </w:tcPr>
          <w:p>
            <w:r>
              <w:rPr>
                <w:b w:val="false"/>
                <w:bCs w:val="false"/>
              </w:rPr>
              <w:t xml:space="preserve">Modèle local multilingue (Xenova/transformers)</w:t>
            </w:r>
          </w:p>
        </w:tc>
        <w:tc>
          <w:tcPr>
            <w:tcW w:type="dxa" w:w="3800"/>
            <w:shd w:fill="F2F5EE" w:val="clear"/>
          </w:tcPr>
          <w:p>
            <w:r>
              <w:rPr>
                <w:b w:val="false"/>
                <w:bCs w:val="false"/>
              </w:rPr>
              <w:t xml:space="preserve">Vectorisation gratuite, sans dépendance à une API tierce</w:t>
            </w:r>
          </w:p>
        </w:tc>
      </w:tr>
      <w:tr>
        <w:tc>
          <w:tcPr>
            <w:tcW w:type="dxa" w:w="2000"/>
          </w:tcPr>
          <w:p>
            <w:r>
              <w:rPr>
                <w:b w:val="false"/>
                <w:bCs w:val="false"/>
              </w:rPr>
              <w:t xml:space="preserve">Orchestration</w:t>
            </w:r>
          </w:p>
        </w:tc>
        <w:tc>
          <w:tcPr>
            <w:tcW w:type="dxa" w:w="3200"/>
          </w:tcPr>
          <w:p>
            <w:r>
              <w:rPr>
                <w:b w:val="false"/>
                <w:bCs w:val="false"/>
              </w:rPr>
              <w:t xml:space="preserve">n8n Cloud</w:t>
            </w:r>
          </w:p>
        </w:tc>
        <w:tc>
          <w:tcPr>
            <w:tcW w:type="dxa" w:w="3800"/>
          </w:tcPr>
          <w:p>
            <w:r>
              <w:rPr>
                <w:b w:val="false"/>
                <w:bCs w:val="false"/>
              </w:rPr>
              <w:t xml:space="preserve">Nurturing email et agent de contenu Instagram</w:t>
            </w:r>
          </w:p>
        </w:tc>
      </w:tr>
      <w:tr>
        <w:tc>
          <w:tcPr>
            <w:tcW w:type="dxa" w:w="2000"/>
            <w:shd w:fill="F2F5EE" w:val="clear"/>
          </w:tcPr>
          <w:p>
            <w:r>
              <w:rPr>
                <w:b w:val="false"/>
                <w:bCs w:val="false"/>
              </w:rPr>
              <w:t xml:space="preserve">Base de données</w:t>
            </w:r>
          </w:p>
        </w:tc>
        <w:tc>
          <w:tcPr>
            <w:tcW w:type="dxa" w:w="3200"/>
            <w:shd w:fill="F2F5EE" w:val="clear"/>
          </w:tcPr>
          <w:p>
            <w:r>
              <w:rPr>
                <w:b w:val="false"/>
                <w:bCs w:val="false"/>
              </w:rPr>
              <w:t xml:space="preserve">Airtable</w:t>
            </w:r>
          </w:p>
        </w:tc>
        <w:tc>
          <w:tcPr>
            <w:tcW w:type="dxa" w:w="3800"/>
            <w:shd w:fill="F2F5EE" w:val="clear"/>
          </w:tcPr>
          <w:p>
            <w:r>
              <w:rPr>
                <w:b w:val="false"/>
                <w:bCs w:val="false"/>
              </w:rPr>
              <w:t xml:space="preserve">Leads et file d'attente de contenu à valider</w:t>
            </w:r>
          </w:p>
        </w:tc>
      </w:tr>
      <w:tr>
        <w:tc>
          <w:tcPr>
            <w:tcW w:type="dxa" w:w="2000"/>
          </w:tcPr>
          <w:p>
            <w:r>
              <w:rPr>
                <w:b w:val="false"/>
                <w:bCs w:val="false"/>
              </w:rPr>
              <w:t xml:space="preserve">Landing page</w:t>
            </w:r>
          </w:p>
        </w:tc>
        <w:tc>
          <w:tcPr>
            <w:tcW w:type="dxa" w:w="3200"/>
          </w:tcPr>
          <w:p>
            <w:r>
              <w:rPr>
                <w:b w:val="false"/>
                <w:bCs w:val="false"/>
              </w:rPr>
              <w:t xml:space="preserve">HTML / CSS / JS (vibe coding)</w:t>
            </w:r>
          </w:p>
        </w:tc>
        <w:tc>
          <w:tcPr>
            <w:tcW w:type="dxa" w:w="3800"/>
          </w:tcPr>
          <w:p>
            <w:r>
              <w:rPr>
                <w:b w:val="false"/>
                <w:bCs w:val="false"/>
              </w:rPr>
              <w:t xml:space="preserve">Vitrine, chatbot intégré, formulaire de capture</w:t>
            </w:r>
          </w:p>
        </w:tc>
      </w:tr>
      <w:tr>
        <w:tc>
          <w:tcPr>
            <w:tcW w:type="dxa" w:w="2000"/>
            <w:shd w:fill="F2F5EE" w:val="clear"/>
          </w:tcPr>
          <w:p>
            <w:r>
              <w:rPr>
                <w:b w:val="false"/>
                <w:bCs w:val="false"/>
              </w:rPr>
              <w:t xml:space="preserve">Hébergement</w:t>
            </w:r>
          </w:p>
        </w:tc>
        <w:tc>
          <w:tcPr>
            <w:tcW w:type="dxa" w:w="3200"/>
            <w:shd w:fill="F2F5EE" w:val="clear"/>
          </w:tcPr>
          <w:p>
            <w:r>
              <w:rPr>
                <w:b w:val="false"/>
                <w:bCs w:val="false"/>
              </w:rPr>
              <w:t xml:space="preserve">Netlify</w:t>
            </w:r>
          </w:p>
        </w:tc>
        <w:tc>
          <w:tcPr>
            <w:tcW w:type="dxa" w:w="3800"/>
            <w:shd w:fill="F2F5EE" w:val="clear"/>
          </w:tcPr>
          <w:p>
            <w:r>
              <w:rPr>
                <w:b w:val="false"/>
                <w:bCs w:val="false"/>
              </w:rPr>
              <w:t xml:space="preserve">Déploiement public de la landing page</w:t>
            </w:r>
          </w:p>
        </w:tc>
      </w:tr>
      <w:tr>
        <w:tc>
          <w:tcPr>
            <w:tcW w:type="dxa" w:w="2000"/>
          </w:tcPr>
          <w:p>
            <w:r>
              <w:rPr>
                <w:b w:val="false"/>
                <w:bCs w:val="false"/>
              </w:rPr>
              <w:t xml:space="preserve">Versionning</w:t>
            </w:r>
          </w:p>
        </w:tc>
        <w:tc>
          <w:tcPr>
            <w:tcW w:type="dxa" w:w="3200"/>
          </w:tcPr>
          <w:p>
            <w:r>
              <w:rPr>
                <w:b w:val="false"/>
                <w:bCs w:val="false"/>
              </w:rPr>
              <w:t xml:space="preserve">GitHub</w:t>
            </w:r>
          </w:p>
        </w:tc>
        <w:tc>
          <w:tcPr>
            <w:tcW w:type="dxa" w:w="3800"/>
          </w:tcPr>
          <w:p>
            <w:r>
              <w:rPr>
                <w:b w:val="false"/>
                <w:bCs w:val="false"/>
              </w:rPr>
              <w:t xml:space="preserve">Archivage et partage du code source</w:t>
            </w:r>
          </w:p>
        </w:tc>
      </w:tr>
    </w:tbl>
    <w:p>
      <w:pPr>
        <w:pStyle w:val="Heading1"/>
        <w:spacing w:after="200" w:before="400"/>
      </w:pPr>
      <w:r>
        <w:t xml:space="preserve">4. Livrable 1 — Chatbot service client (RAG)</w:t>
      </w:r>
    </w:p>
    <w:p>
      <w:pPr>
        <w:pStyle w:val="Heading2"/>
        <w:spacing w:after="150" w:before="300"/>
      </w:pPr>
      <w:r>
        <w:t xml:space="preserve">4.1 Constitution de la base de connaissances</w:t>
      </w:r>
    </w:p>
    <w:p>
      <w:pPr>
        <w:spacing w:after="160"/>
      </w:pPr>
      <w:r>
        <w:t xml:space="preserve">La base de connaissances comprend 8 fiches produits (nom, catégorie, ingrédients clés, usage, prix, contre-indications) et 3 documents complémentaires : routine matin/soir, livraison et retours, engagement et valeurs de la marque. Chaque document est rédigé en phrases autonomes et explicites, condition nécessaire pour qu'un système de recherche vectorielle retrouve la bonne information sans ambiguïté de contexte.</w:t>
      </w:r>
    </w:p>
    <w:p>
      <w:pPr>
        <w:pStyle w:val="Heading2"/>
        <w:spacing w:after="150" w:before="300"/>
      </w:pPr>
      <w:r>
        <w:t xml:space="preserve">4.2 Découpage, vectorisation et stockage</w:t>
      </w:r>
    </w:p>
    <w:p>
      <w:pPr>
        <w:spacing w:after="160"/>
      </w:pPr>
      <w:r>
        <w:t xml:space="preserve">Les documents sont découpés en chunks de 500 caractères (chevauchement de 50 caractères) via un RecursiveCharacterTextSplitter, produisant 16 chunks au total à partir des 11 documents sources. Chaque chunk est vectorisé et stocké dans Chroma, une base de données vectorielle exécutée en local.</w:t>
      </w:r>
    </w:p>
    <w:p>
      <w:pPr>
        <w:spacing w:after="200" w:before="100"/>
        <w:ind w:left="200"/>
      </w:pPr>
      <w:r>
        <w:rPr>
          <w:b/>
          <w:bCs/>
          <w:color w:val="4E5B38"/>
        </w:rPr>
        <w:t xml:space="preserve">Choix technique — </w:t>
      </w:r>
      <w:r>
        <w:t xml:space="preserve">Le projet utilise un modèle d'embeddings local et gratuit plutôt que l'API OpenAI, afin de ne dépendre que d'une seule clé API (Anthropic) pour l'ensemble du projet.</w:t>
      </w:r>
    </w:p>
    <w:p>
      <w:pPr>
        <w:pStyle w:val="Heading2"/>
        <w:spacing w:after="150" w:before="300"/>
      </w:pPr>
      <w:r>
        <w:t xml:space="preserve">4.3 Difficulté rencontrée et résolue : qualité de la recherche</w:t>
      </w:r>
    </w:p>
    <w:p>
      <w:pPr>
        <w:spacing w:after="160"/>
      </w:pPr>
      <w:r>
        <w:t xml:space="preserve">Un premier test avec un modèle d'embeddings anglophone (all-MiniLM-L6-v2) donnait des réponses imprécises : le chatbot ne retrouvait pas systématiquement les fiches produits pertinentes pour une question en français, malgré une base documentaire correcte. Le remplacement par un modèle multilingue (paraphrase-multilingual-MiniLM-L12-v2), combiné à une augmentation du nombre de chunks récupérés par requête (passé de 4 à 10 sur un total de 16), a résolu le problème. Cette expérience illustre un point clé du RAG : la qualité globale dépend autant de l'étape de recherche (retrieval) que de la génération elle-même.</w:t>
      </w:r>
    </w:p>
    <w:p>
      <w:pPr>
        <w:pStyle w:val="Heading2"/>
        <w:spacing w:after="150" w:before="300"/>
      </w:pPr>
      <w:r>
        <w:t xml:space="preserve">4.4 Génération de la réponse</w:t>
      </w:r>
    </w:p>
    <w:p>
      <w:pPr>
        <w:spacing w:after="160"/>
      </w:pPr>
      <w:r>
        <w:t xml:space="preserve">Les chunks les plus pertinents sont transmis à Claude avec un prompt système strict imposant de répondre uniquement à partir du contexte fourni, de citer plusieurs produits si pertinent, et de reconnaître explicitement une absence d'information plutôt que d'inventer une réponse.</w:t>
      </w:r>
    </w:p>
    <w:p>
      <w:pPr>
        <w:pStyle w:val="Heading2"/>
        <w:spacing w:after="150" w:before="300"/>
      </w:pPr>
      <w:r>
        <w:t xml:space="preserve">4.5 Résultats des tests</w:t>
      </w:r>
    </w:p>
    <w:p>
      <w:pPr>
        <w:spacing w:after="160"/>
      </w:pPr>
      <w:r>
        <w:t xml:space="preserve">Le chatbot a été testé sur des questions couvrant les produits, la routine, la livraison, l'engagement de la marque, ainsi qu'un cas volontairement hors base de connaissances ("Livrez-vous au Canada ?") pour vérifier l'absence d'hallucination. L'ensemble des tests a donné des réponses précises et correctement sourcées.</w:t>
      </w:r>
    </w:p>
    <w:p>
      <w:pPr>
        <w:pStyle w:val="Heading1"/>
        <w:spacing w:after="200" w:before="400"/>
      </w:pPr>
      <w:r>
        <w:t xml:space="preserve">5. Livrable 2 — Agent de création de contenu Instagram</w:t>
      </w:r>
    </w:p>
    <w:p>
      <w:pPr>
        <w:spacing w:after="160"/>
      </w:pPr>
      <w:r>
        <w:t xml:space="preserve">Deux implémentations ont été réalisées pour ce livrable : un script Node.js autonome, et un workflow n8n automatisé, tous deux s'appuyant sur le même prompt système.</w:t>
      </w:r>
    </w:p>
    <w:p>
      <w:pPr>
        <w:pStyle w:val="Heading2"/>
        <w:spacing w:after="150" w:before="300"/>
      </w:pPr>
      <w:r>
        <w:t xml:space="preserve">5.1 Prompt système et structure du contenu généré</w:t>
      </w:r>
    </w:p>
    <w:p>
      <w:pPr>
        <w:spacing w:after="160"/>
      </w:pPr>
      <w:r>
        <w:t xml:space="preserve">Le prompt impose un ton chaleureux et jamais commercial, un call-to-action doux, et une contrainte stricte de factualité (les informations produit utilisées doivent provenir du contexte fourni). Chaque génération produit une structure JSON : accroche, corps de texte, CTA, hashtags, et un prompt de génération d'image (texte uniquement, l'image elle-même n'étant pas générée automatiquement).</w:t>
      </w:r>
    </w:p>
    <w:p>
      <w:pPr>
        <w:pStyle w:val="Heading2"/>
        <w:spacing w:after="150" w:before="300"/>
      </w:pPr>
      <w:r>
        <w:t xml:space="preserve">5.2 Version workflow n8n</w:t>
      </w:r>
    </w:p>
    <w:p>
      <w:pPr>
        <w:spacing w:after="160"/>
      </w:pPr>
      <w:r>
        <w:t xml:space="preserve">Le workflow se déclenche automatiquement tous les 2 jours, sélectionne un produit dans la rotation des 8 références de la gamme, appelle l'API Claude, puis enregistre le résultat dans une table Airtable dédiée ("Posts Instagram") avec le statut "À valider".</w:t>
      </w:r>
    </w:p>
    <w:p>
      <w:pPr>
        <w:spacing w:after="200" w:before="100"/>
        <w:ind w:left="200"/>
      </w:pPr>
      <w:r>
        <w:rPr>
          <w:b/>
          <w:bCs/>
          <w:color w:val="4E5B38"/>
        </w:rPr>
        <w:t xml:space="preserve">Choix assumé — </w:t>
      </w:r>
      <w:r>
        <w:t xml:space="preserve">La publication n'est pas automatisée : chaque post généré doit être relu et validé par un humain avant diffusion réelle sur Instagram — bonne pratique en marketing automation et garde-fou contre un contenu inapproprié.</w:t>
      </w:r>
    </w:p>
    <w:p>
      <w:pPr>
        <w:pStyle w:val="Heading2"/>
        <w:spacing w:after="150" w:before="300"/>
      </w:pPr>
      <w:r>
        <w:t xml:space="preserve">5.3 Difficulté rencontrée et résolue</w:t>
      </w:r>
    </w:p>
    <w:p>
      <w:pPr>
        <w:spacing w:after="160"/>
      </w:pPr>
      <w:r>
        <w:t xml:space="preserve">La réponse de Claude étant parfois encadrée par des balises Markdown (```json), le nœud de parsing du workflow échouait initialement. Une étape de nettoyage du texte brut avant le parsing JSON a résolu le problème.</w:t>
      </w:r>
    </w:p>
    <w:p>
      <w:pPr>
        <w:pStyle w:val="Heading1"/>
        <w:spacing w:after="200" w:before="400"/>
      </w:pPr>
      <w:r>
        <w:t xml:space="preserve">6. Livrable 3 — Workflow n8n de nurturing email</w:t>
      </w:r>
    </w:p>
    <w:p>
      <w:pPr>
        <w:pStyle w:val="Heading2"/>
        <w:spacing w:after="150" w:before="300"/>
      </w:pPr>
      <w:r>
        <w:t xml:space="preserve">6.1 Séquence de 5 emails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4E5B38" w:val="clear"/>
          </w:tcPr>
          <w:p>
            <w:r>
              <w:rPr>
                <w:b/>
                <w:bCs/>
                <w:color w:val="FFFFFF"/>
              </w:rPr>
              <w:t xml:space="preserve">Délai</w:t>
            </w:r>
          </w:p>
        </w:tc>
        <w:tc>
          <w:tcPr>
            <w:tcW w:type="dxa" w:w="6800"/>
            <w:shd w:fill="4E5B38" w:val="clear"/>
          </w:tcPr>
          <w:p>
            <w:r>
              <w:rPr>
                <w:b/>
                <w:bCs/>
                <w:color w:val="FFFFFF"/>
              </w:rPr>
              <w:t xml:space="preserve">Contenu</w:t>
            </w:r>
          </w:p>
        </w:tc>
      </w:tr>
      <w:tr>
        <w:tc>
          <w:tcPr>
            <w:tcW w:type="dxa" w:w="2200"/>
            <w:shd w:fill="F2F5EE" w:val="clear"/>
          </w:tcPr>
          <w:p>
            <w:r>
              <w:rPr>
                <w:b w:val="false"/>
                <w:bCs w:val="false"/>
              </w:rPr>
              <w:t xml:space="preserve">J0 (immédiat)</w:t>
            </w:r>
          </w:p>
        </w:tc>
        <w:tc>
          <w:tcPr>
            <w:tcW w:type="dxa" w:w="6800"/>
            <w:shd w:fill="F2F5EE" w:val="clear"/>
          </w:tcPr>
          <w:p>
            <w:r>
              <w:rPr>
                <w:b w:val="false"/>
                <w:bCs w:val="false"/>
              </w:rPr>
              <w:t xml:space="preserve">Email de bienvenue et guide de routine offert</w:t>
            </w:r>
          </w:p>
        </w:tc>
      </w:tr>
      <w:tr>
        <w:tc>
          <w:tcPr>
            <w:tcW w:type="dxa" w:w="2200"/>
          </w:tcPr>
          <w:p>
            <w:r>
              <w:rPr>
                <w:b w:val="false"/>
                <w:bCs w:val="false"/>
              </w:rPr>
              <w:t xml:space="preserve">J+2</w:t>
            </w:r>
          </w:p>
        </w:tc>
        <w:tc>
          <w:tcPr>
            <w:tcW w:type="dxa" w:w="6800"/>
          </w:tcPr>
          <w:p>
            <w:r>
              <w:rPr>
                <w:b w:val="false"/>
                <w:bCs w:val="false"/>
              </w:rPr>
              <w:t xml:space="preserve">Email centré sur le produit consulté par le lead</w:t>
            </w:r>
          </w:p>
        </w:tc>
      </w:tr>
      <w:tr>
        <w:tc>
          <w:tcPr>
            <w:tcW w:type="dxa" w:w="2200"/>
            <w:shd w:fill="F2F5EE" w:val="clear"/>
          </w:tcPr>
          <w:p>
            <w:r>
              <w:rPr>
                <w:b w:val="false"/>
                <w:bCs w:val="false"/>
              </w:rPr>
              <w:t xml:space="preserve">J+5</w:t>
            </w:r>
          </w:p>
        </w:tc>
        <w:tc>
          <w:tcPr>
            <w:tcW w:type="dxa" w:w="6800"/>
            <w:shd w:fill="F2F5EE" w:val="clear"/>
          </w:tcPr>
          <w:p>
            <w:r>
              <w:rPr>
                <w:b w:val="false"/>
                <w:bCs w:val="false"/>
              </w:rPr>
              <w:t xml:space="preserve">Email de preuve sociale (témoignages clients)</w:t>
            </w:r>
          </w:p>
        </w:tc>
      </w:tr>
      <w:tr>
        <w:tc>
          <w:tcPr>
            <w:tcW w:type="dxa" w:w="2200"/>
          </w:tcPr>
          <w:p>
            <w:r>
              <w:rPr>
                <w:b w:val="false"/>
                <w:bCs w:val="false"/>
              </w:rPr>
              <w:t xml:space="preserve">J+9</w:t>
            </w:r>
          </w:p>
        </w:tc>
        <w:tc>
          <w:tcPr>
            <w:tcW w:type="dxa" w:w="6800"/>
          </w:tcPr>
          <w:p>
            <w:r>
              <w:rPr>
                <w:b w:val="false"/>
                <w:bCs w:val="false"/>
              </w:rPr>
              <w:t xml:space="preserve">Email avec code promotionnel (-10%)</w:t>
            </w:r>
          </w:p>
        </w:tc>
      </w:tr>
      <w:tr>
        <w:tc>
          <w:tcPr>
            <w:tcW w:type="dxa" w:w="2200"/>
            <w:shd w:fill="F2F5EE" w:val="clear"/>
          </w:tcPr>
          <w:p>
            <w:r>
              <w:rPr>
                <w:b w:val="false"/>
                <w:bCs w:val="false"/>
              </w:rPr>
              <w:t xml:space="preserve">J+14</w:t>
            </w:r>
          </w:p>
        </w:tc>
        <w:tc>
          <w:tcPr>
            <w:tcW w:type="dxa" w:w="6800"/>
            <w:shd w:fill="F2F5EE" w:val="clear"/>
          </w:tcPr>
          <w:p>
            <w:r>
              <w:rPr>
                <w:b w:val="false"/>
                <w:bCs w:val="false"/>
              </w:rPr>
              <w:t xml:space="preserve">Dernière relance avant expiration du code</w:t>
            </w:r>
          </w:p>
        </w:tc>
      </w:tr>
    </w:tbl>
    <w:p>
      <w:pPr>
        <w:pStyle w:val="Heading2"/>
        <w:spacing w:after="150" w:before="300"/>
      </w:pPr>
      <w:r>
        <w:t xml:space="preserve">6.2 Logique de sortie à la conversion</w:t>
      </w:r>
    </w:p>
    <w:p>
      <w:pPr>
        <w:spacing w:after="160"/>
      </w:pPr>
      <w:r>
        <w:t xml:space="preserve">Avant chaque email (à l'exception du premier), le workflow interroge Airtable pour vérifier si le lead a déjà effectué un achat. Si c'est le cas, la séquence s'arrête immédiatement plutôt que de continuer à solliciter un client déjà converti — logique qui dépasse le simple enchaînement mécanique d'emails et illustre une réflexion marketing sur la pertinence des relances.</w:t>
      </w:r>
    </w:p>
    <w:p>
      <w:pPr>
        <w:pStyle w:val="Heading2"/>
        <w:spacing w:after="150" w:before="300"/>
      </w:pPr>
      <w:r>
        <w:t xml:space="preserve">6.3 Difficultés techniques rencontrées et résolues</w:t>
      </w:r>
    </w:p>
    <w:p>
      <w:pPr>
        <w:spacing w:after="160"/>
      </w:pPr>
      <w:r>
        <w:rPr>
          <w:b/>
          <w:bCs/>
        </w:rPr>
        <w:t xml:space="preserve">Structure des données du webhook — </w:t>
      </w:r>
      <w:r>
        <w:t xml:space="preserve">les données reçues par un webhook n8n sont systématiquement encapsulées dans un champ `body` (ex. `$json.body.email` et non `$json.email`), source d'erreurs récurrentes lors de la configuration initiale des nœuds.</w:t>
      </w:r>
    </w:p>
    <w:p>
      <w:pPr>
        <w:spacing w:after="160"/>
      </w:pPr>
      <w:r>
        <w:rPr>
          <w:b/>
          <w:bCs/>
        </w:rPr>
        <w:t xml:space="preserve">Structure des données inter-nœuds — </w:t>
      </w:r>
      <w:r>
        <w:t xml:space="preserve">après passage dans un nœud Airtable, les données changent de forme (`$json.fields.NomDuChamp`), différente de la structure reçue directement du webhook. Chaque nœud du workflow doit donc référencer la structure exacte du nœud qui le précède immédiatement.</w:t>
      </w:r>
    </w:p>
    <w:p>
      <w:pPr>
        <w:spacing w:after="160"/>
      </w:pPr>
      <w:r>
        <w:rPr>
          <w:b/>
          <w:bCs/>
        </w:rPr>
        <w:t xml:space="preserve">Opération Airtable — </w:t>
      </w:r>
      <w:r>
        <w:t xml:space="preserve">l'opération "Create or Update" nécessite un champ de correspondance ("Columns to match on") non requis avec l'opération "Create" simple, plus adaptée ici puisque chaque soumission de formulaire correspond à un nouveau lead.</w:t>
      </w:r>
    </w:p>
    <w:p>
      <w:pPr>
        <w:spacing w:after="200" w:before="100"/>
        <w:ind w:left="200"/>
      </w:pPr>
      <w:r>
        <w:rPr>
          <w:b/>
          <w:bCs/>
          <w:color w:val="4E5B38"/>
        </w:rPr>
        <w:t xml:space="preserve">Test de bout en bout — </w:t>
      </w:r>
      <w:r>
        <w:t xml:space="preserve">Le parcours complet (formulaire de la landing page → Airtable → réception de l'email de bienvenue) a été validé avec succès, l'email arrivant toutefois initialement dans le dossier spam (voir section Limites).</w:t>
      </w:r>
    </w:p>
    <w:p>
      <w:pPr>
        <w:pStyle w:val="Heading1"/>
        <w:spacing w:after="200" w:before="400"/>
      </w:pPr>
      <w:r>
        <w:t xml:space="preserve">7. Livrable 4 — Landing page (vibe coding)</w:t>
      </w:r>
    </w:p>
    <w:p>
      <w:pPr>
        <w:spacing w:after="160"/>
      </w:pPr>
      <w:r>
        <w:t xml:space="preserve">La landing page reprend l'identité visuelle de la marque (palette de verts et de argile, typographie serif pour les titres) et intègre un hero mettant en scène une étiquette produit stylisée, cohérente avec l'ethos de transparence de la marque. Elle présente la gamme de produits, une frise interactive de routine matin/soir, un chatbot RAG intégré, et un formulaire de capture de leads (prénom, email, produit d'intérêt) connecté en direct au webhook du workflow n8n de nurturing.</w:t>
      </w:r>
    </w:p>
    <w:p>
      <w:pPr>
        <w:spacing w:after="160"/>
      </w:pPr>
      <w:r>
        <w:t xml:space="preserve">Le déploiement a été réalisé via Netlify, permettant un hébergement public immédiat sans configuration serveur, conformément à l'exigence du brief d'utiliser une plateforme de déploiement (Vercel / Netlify / GitHub Pages).</w:t>
      </w:r>
    </w:p>
    <w:p>
      <w:pPr>
        <w:pStyle w:val="Heading1"/>
        <w:spacing w:after="200" w:before="400"/>
      </w:pPr>
      <w:r>
        <w:t xml:space="preserve">8. Déploiement et versionning</w:t>
      </w:r>
    </w:p>
    <w:p>
      <w:pPr>
        <w:pStyle w:val="Heading2"/>
        <w:spacing w:after="150" w:before="300"/>
      </w:pPr>
      <w:r>
        <w:t xml:space="preserve">8.1 Hébergement de la landing page</w:t>
      </w:r>
    </w:p>
    <w:p>
      <w:pPr>
        <w:spacing w:after="160"/>
      </w:pPr>
      <w:r>
        <w:t xml:space="preserve">La landing page (HTML / CSS / JS) a été déployée sur Netlify, générant une URL publique utilisable directement pour la démonstration en soutenance.</w:t>
      </w:r>
    </w:p>
    <w:p>
      <w:pPr>
        <w:pStyle w:val="Heading2"/>
        <w:spacing w:after="150" w:before="300"/>
      </w:pPr>
      <w:r>
        <w:t xml:space="preserve">8.2 Archivage sur GitHub</w:t>
      </w:r>
    </w:p>
    <w:p>
      <w:pPr>
        <w:spacing w:after="160"/>
      </w:pPr>
      <w:r>
        <w:t xml:space="preserve">L'ensemble du projet (base de connaissances du RAG, scripts de l'agent Instagram, workflows n8n exportés au format JSON, landing page, documentation) a été archivé dans un dépôt GitHub, à l'exclusion des fichiers sensibles (clés API) grâce à un fichier .gitignore.</w:t>
      </w:r>
    </w:p>
    <w:p>
      <w:pPr>
        <w:pStyle w:val="Heading1"/>
        <w:spacing w:after="200" w:before="400"/>
      </w:pPr>
      <w:r>
        <w:t xml:space="preserve">9. Limites actuelles et pistes d'amélioration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4E5B38" w:val="clear"/>
          </w:tcPr>
          <w:p>
            <w:r>
              <w:rPr>
                <w:b/>
                <w:bCs/>
                <w:color w:val="FFFFFF"/>
              </w:rPr>
              <w:t xml:space="preserve">Limite constatée</w:t>
            </w:r>
          </w:p>
        </w:tc>
        <w:tc>
          <w:tcPr>
            <w:tcW w:type="dxa" w:w="4500"/>
            <w:shd w:fill="4E5B38" w:val="clear"/>
          </w:tcPr>
          <w:p>
            <w:r>
              <w:rPr>
                <w:b/>
                <w:bCs/>
                <w:color w:val="FFFFFF"/>
              </w:rPr>
              <w:t xml:space="preserve">Piste d'amélioration</w:t>
            </w:r>
          </w:p>
        </w:tc>
      </w:tr>
      <w:tr>
        <w:tc>
          <w:tcPr>
            <w:tcW w:type="dxa" w:w="4500"/>
            <w:shd w:fill="F2F5EE" w:val="clear"/>
          </w:tcPr>
          <w:p>
            <w:r>
              <w:rPr>
                <w:b w:val="false"/>
                <w:bCs w:val="false"/>
              </w:rPr>
              <w:t xml:space="preserve">Les emails automatisés arrivent parfois dans le dossier spam, le domaine d'envoi étant récent et sans réputation établie.</w:t>
            </w:r>
          </w:p>
        </w:tc>
        <w:tc>
          <w:tcPr>
            <w:tcW w:type="dxa" w:w="4500"/>
            <w:shd w:fill="F2F5EE" w:val="clear"/>
          </w:tcPr>
          <w:p>
            <w:r>
              <w:rPr>
                <w:b w:val="false"/>
                <w:bCs w:val="false"/>
              </w:rPr>
              <w:t xml:space="preserve">Authentifier le domaine d'envoi avec les enregistrements SPF, DKIM et DMARC avant un déploiement réel.</w:t>
            </w:r>
          </w:p>
        </w:tc>
      </w:tr>
      <w:tr>
        <w:tc>
          <w:tcPr>
            <w:tcW w:type="dxa" w:w="4500"/>
          </w:tcPr>
          <w:p>
            <w:r>
              <w:rPr>
                <w:b w:val="false"/>
                <w:bCs w:val="false"/>
              </w:rPr>
              <w:t xml:space="preserve">L'agent Instagram génère le contenu mais ne publie pas automatiquement sur la plateforme.</w:t>
            </w:r>
          </w:p>
        </w:tc>
        <w:tc>
          <w:tcPr>
            <w:tcW w:type="dxa" w:w="4500"/>
          </w:tcPr>
          <w:p>
            <w:r>
              <w:rPr>
                <w:b w:val="false"/>
                <w:bCs w:val="false"/>
              </w:rPr>
              <w:t xml:space="preserve">Choix assumé de garder un humain dans la boucle ; une intégration réelle nécessiterait un compte Instagram Business validé par Meta.</w:t>
            </w:r>
          </w:p>
        </w:tc>
      </w:tr>
      <w:tr>
        <w:tc>
          <w:tcPr>
            <w:tcW w:type="dxa" w:w="4500"/>
            <w:shd w:fill="F2F5EE" w:val="clear"/>
          </w:tcPr>
          <w:p>
            <w:r>
              <w:rPr>
                <w:b w:val="false"/>
                <w:bCs w:val="false"/>
              </w:rPr>
              <w:t xml:space="preserve">Seul le prompt de génération d'image est produit, pas l'image elle-même.</w:t>
            </w:r>
          </w:p>
        </w:tc>
        <w:tc>
          <w:tcPr>
            <w:tcW w:type="dxa" w:w="4500"/>
            <w:shd w:fill="F2F5EE" w:val="clear"/>
          </w:tcPr>
          <w:p>
            <w:r>
              <w:rPr>
                <w:b w:val="false"/>
                <w:bCs w:val="false"/>
              </w:rPr>
              <w:t xml:space="preserve">Connecter une API de génération d'image (Stability AI, Replicate) en aval du prompt généré.</w:t>
            </w:r>
          </w:p>
        </w:tc>
      </w:tr>
    </w:tbl>
    <w:p>
      <w:pPr>
        <w:pStyle w:val="Heading1"/>
        <w:spacing w:after="200" w:before="400"/>
      </w:pPr>
      <w:r>
        <w:t xml:space="preserve">10. Conclusion</w:t>
      </w:r>
    </w:p>
    <w:p>
      <w:pPr>
        <w:spacing w:after="160"/>
      </w:pPr>
      <w:r>
        <w:t xml:space="preserve">Ce projet a permis de mettre en œuvre un écosystème marketing complet et fonctionnel, articulant plusieurs briques d'intelligence artificielle : un chatbot RAG fiable et sans hallucination, un agent de génération de contenu respectueux de la marque, une automatisation marketing dotée d'une logique métier réelle (sortie à la conversion), et une landing page connectée de bout en bout. Les difficultés techniques rencontrées en cours de développement, documentées dans ce rapport, ont permis d'approfondir la compréhension du fonctionnement réel de ces outils au-delà de leur seule configuration de surface.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2026-07-15T14:35:03.574Z</dcterms:created>
  <dcterms:modified xsi:type="dcterms:W3CDTF">2026-07-15T14:35:03.598Z</dcterms:modified>
</cp:coreProperties>
</file>

<file path=docProps/custom.xml><?xml version="1.0" encoding="utf-8"?>
<Properties xmlns="http://schemas.openxmlformats.org/officeDocument/2006/custom-properties" xmlns:vt="http://schemas.openxmlformats.org/officeDocument/2006/docPropsVTypes"/>
</file>