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4E79"/>
          <w:sz w:val="36"/>
          <w:szCs w:val="36"/>
        </w:rPr>
        <w:t xml:space="preserve">DATA PROCESSING ADDENDUM</w:t>
      </w:r>
    </w:p>
    <w:p>
      <w:pPr>
        <w:pBdr>
          <w:bottom w:val="single" w:color="1F4E79" w:sz="6" w:space="6"/>
        </w:pBdr>
        <w:spacing w:after="240"/>
        <w:jc w:val="center"/>
      </w:pPr>
      <w:r>
        <w:rPr>
          <w:color w:val="555555"/>
          <w:sz w:val="22"/>
          <w:szCs w:val="22"/>
        </w:rPr>
        <w:t xml:space="preserve">SBTech Consulting</w:t>
      </w:r>
    </w:p>
    <w:p>
      <w:pPr>
        <w:spacing w:after="160" w:line="276"/>
      </w:pPr>
      <w:r>
        <w:t xml:space="preserve">This Data Processing Addendum (“DPA”) supplements and forms part of the Master Services Agreement (the “Agreement”) between </w:t>
      </w:r>
      <w:r>
        <w:rPr>
          <w:b/>
          <w:bCs/>
        </w:rPr>
        <w:t xml:space="preserve">Joseph P. Nompleggi, doing business as SBTech Consulting</w:t>
      </w:r>
      <w:r>
        <w:t xml:space="preserve"> (“Consultant” or “Processor”) and </w:t>
      </w:r>
      <w:r>
        <w:rPr>
          <w:b/>
          <w:bCs/>
        </w:rPr>
        <w:t xml:space="preserve">________________________________</w:t>
      </w:r>
      <w:r>
        <w:t xml:space="preserve"> (“Client” or “Controller”). It governs Consultant’s Processing of Personal Data on Client’s behalf in connection with the Services. In the event of a conflict between this DPA and the Agreement regarding the Processing of Personal Data, this DPA controls.</w:t>
      </w:r>
    </w:p>
    <w:p>
      <w:pPr>
        <w:pStyle w:val="Heading1"/>
      </w:pPr>
      <w:r>
        <w:t xml:space="preserve">1.  Definitions</w:t>
      </w:r>
    </w:p>
    <w:p>
      <w:pPr>
        <w:spacing w:after="140" w:line="276"/>
        <w:ind w:left="360" w:hanging="360"/>
      </w:pPr>
      <w:r>
        <w:rPr>
          <w:b/>
          <w:bCs/>
        </w:rPr>
        <w:t xml:space="preserve">1.1  </w:t>
      </w:r>
      <w:r>
        <w:t xml:space="preserve">“Personal Data” means information relating to an identified or identifiable natural person that Consultant Processes on behalf of Client in performing the Services.</w:t>
      </w:r>
    </w:p>
    <w:p>
      <w:pPr>
        <w:spacing w:after="140" w:line="276"/>
        <w:ind w:left="360" w:hanging="360"/>
      </w:pPr>
      <w:r>
        <w:rPr>
          <w:b/>
          <w:bCs/>
        </w:rPr>
        <w:t xml:space="preserve">1.2  </w:t>
      </w:r>
      <w:r>
        <w:t xml:space="preserve">“Processing” means any operation performed on Personal Data, such as collection, storage, access, use, transmission, or deletion.</w:t>
      </w:r>
    </w:p>
    <w:p>
      <w:pPr>
        <w:spacing w:after="140" w:line="276"/>
        <w:ind w:left="360" w:hanging="360"/>
      </w:pPr>
      <w:r>
        <w:rPr>
          <w:b/>
          <w:bCs/>
        </w:rPr>
        <w:t xml:space="preserve">1.3  </w:t>
      </w:r>
      <w:r>
        <w:t xml:space="preserve">“Sub-processor” means a third party engaged by Consultant that Processes Personal Data on Client’s behalf.</w:t>
      </w:r>
    </w:p>
    <w:p>
      <w:pPr>
        <w:spacing w:after="140" w:line="276"/>
        <w:ind w:left="360" w:hanging="360"/>
      </w:pPr>
      <w:r>
        <w:rPr>
          <w:b/>
          <w:bCs/>
        </w:rPr>
        <w:t xml:space="preserve">1.4  </w:t>
      </w:r>
      <w:r>
        <w:t xml:space="preserve">“Security Incident” means a breach of security leading to the accidental or unlawful destruction, loss, alteration, unauthorized disclosure of, or access to Personal Data Processed by Consultant.</w:t>
      </w:r>
    </w:p>
    <w:p>
      <w:pPr>
        <w:spacing w:after="140" w:line="276"/>
        <w:ind w:left="360" w:hanging="360"/>
      </w:pPr>
      <w:r>
        <w:rPr>
          <w:b/>
          <w:bCs/>
        </w:rPr>
        <w:t xml:space="preserve">1.5  </w:t>
      </w:r>
      <w:r>
        <w:t xml:space="preserve">“Applicable Data Protection Laws” means all privacy and data protection laws applicable to the Processing, including applicable U.S. state privacy laws and, where applicable, sector-specific laws such as HIPAA.</w:t>
      </w:r>
    </w:p>
    <w:p>
      <w:pPr>
        <w:pStyle w:val="Heading1"/>
      </w:pPr>
      <w:r>
        <w:t xml:space="preserve">2.  Roles and Scope</w:t>
      </w:r>
    </w:p>
    <w:p>
      <w:pPr>
        <w:spacing w:after="140" w:line="276"/>
        <w:ind w:left="360" w:hanging="360"/>
      </w:pPr>
      <w:r>
        <w:rPr>
          <w:b/>
          <w:bCs/>
        </w:rPr>
        <w:t xml:space="preserve">2.1  </w:t>
      </w:r>
      <w:r>
        <w:t xml:space="preserve">As between the Parties, Client is the controller (or business) and determines the purposes and means of Processing. Consultant acts as the processor (or service provider) and Processes Personal Data only on Client’s documented instructions, including as set out in the Agreement and each applicable SOW.</w:t>
      </w:r>
    </w:p>
    <w:p>
      <w:pPr>
        <w:spacing w:after="140" w:line="276"/>
        <w:ind w:left="360" w:hanging="360"/>
      </w:pPr>
      <w:r>
        <w:rPr>
          <w:b/>
          <w:bCs/>
        </w:rPr>
        <w:t xml:space="preserve">2.2  </w:t>
      </w:r>
      <w:r>
        <w:t xml:space="preserve">The subject matter, nature, purpose, and duration of Processing, the categories of data subjects, and the types of Personal Data are described in Annex A. The scope of Consultant’s access to Client systems and data is defined per SOW.</w:t>
      </w:r>
    </w:p>
    <w:p>
      <w:pPr>
        <w:spacing w:after="140" w:line="276"/>
        <w:ind w:left="360" w:hanging="360"/>
      </w:pPr>
      <w:r>
        <w:rPr>
          <w:b/>
          <w:bCs/>
        </w:rPr>
        <w:t xml:space="preserve">2.3  </w:t>
      </w:r>
      <w:r>
        <w:t xml:space="preserve">Many Services are performed within Client-owned tenants, accounts, and systems using credentials provided by Client; in such cases Personal Data primarily remains under Client’s control, and Consultant Processes it only as necessary to perform the Services.</w:t>
      </w:r>
    </w:p>
    <w:p>
      <w:pPr>
        <w:pStyle w:val="Heading1"/>
      </w:pPr>
      <w:r>
        <w:t xml:space="preserve">3.  Consultant Obligations</w:t>
      </w:r>
    </w:p>
    <w:p>
      <w:pPr>
        <w:spacing w:after="160" w:line="276"/>
      </w:pPr>
      <w:r>
        <w:t xml:space="preserve">Consultant will:</w:t>
      </w:r>
    </w:p>
    <w:p>
      <w:pPr>
        <w:pStyle w:val="ListParagraph"/>
        <w:numPr>
          <w:ilvl w:val="0"/>
          <w:numId w:val="2"/>
        </w:numPr>
        <w:spacing w:after="80" w:line="276"/>
      </w:pPr>
      <w:r>
        <w:t xml:space="preserve">Process Personal Data only on Client’s documented instructions, unless required by law (in which case Consultant will notify Client unless legally prohibited);</w:t>
      </w:r>
    </w:p>
    <w:p>
      <w:pPr>
        <w:pStyle w:val="ListParagraph"/>
        <w:numPr>
          <w:ilvl w:val="0"/>
          <w:numId w:val="2"/>
        </w:numPr>
        <w:spacing w:after="80" w:line="276"/>
      </w:pPr>
      <w:r>
        <w:t xml:space="preserve">Not sell Personal Data and not Process it for any purpose other than performing the Services;</w:t>
      </w:r>
    </w:p>
    <w:p>
      <w:pPr>
        <w:pStyle w:val="ListParagraph"/>
        <w:numPr>
          <w:ilvl w:val="0"/>
          <w:numId w:val="2"/>
        </w:numPr>
        <w:spacing w:after="80" w:line="276"/>
      </w:pPr>
      <w:r>
        <w:t xml:space="preserve">Ensure that personnel authorized to Process Personal Data are bound by appropriate confidentiality obligations;</w:t>
      </w:r>
    </w:p>
    <w:p>
      <w:pPr>
        <w:pStyle w:val="ListParagraph"/>
        <w:numPr>
          <w:ilvl w:val="0"/>
          <w:numId w:val="2"/>
        </w:numPr>
        <w:spacing w:after="80" w:line="276"/>
      </w:pPr>
      <w:r>
        <w:t xml:space="preserve">Implement and maintain the technical and organizational security measures described in Annex C;</w:t>
      </w:r>
    </w:p>
    <w:p>
      <w:pPr>
        <w:pStyle w:val="ListParagraph"/>
        <w:numPr>
          <w:ilvl w:val="0"/>
          <w:numId w:val="2"/>
        </w:numPr>
        <w:spacing w:after="80" w:line="276"/>
      </w:pPr>
      <w:r>
        <w:t xml:space="preserve">Assist Client, taking into account the nature of the Processing, in responding to data subject requests and in meeting Client’s security, breach-notification, and assessment obligations; and</w:t>
      </w:r>
    </w:p>
    <w:p>
      <w:pPr>
        <w:pStyle w:val="ListParagraph"/>
        <w:numPr>
          <w:ilvl w:val="0"/>
          <w:numId w:val="2"/>
        </w:numPr>
        <w:spacing w:after="80" w:line="276"/>
      </w:pPr>
      <w:r>
        <w:t xml:space="preserve">Make available information reasonably necessary to demonstrate compliance with this DPA.</w:t>
      </w:r>
    </w:p>
    <w:p>
      <w:pPr>
        <w:pStyle w:val="Heading1"/>
      </w:pPr>
      <w:r>
        <w:t xml:space="preserve">4.  Sub-processors</w:t>
      </w:r>
    </w:p>
    <w:p>
      <w:pPr>
        <w:spacing w:after="140" w:line="276"/>
        <w:ind w:left="360" w:hanging="360"/>
      </w:pPr>
      <w:r>
        <w:rPr>
          <w:b/>
          <w:bCs/>
        </w:rPr>
        <w:t xml:space="preserve">4.1  </w:t>
      </w:r>
      <w:r>
        <w:t xml:space="preserve">Client provides general authorization for Consultant to engage the Sub-processors listed in Annex B, and others reasonably necessary to perform the Services. Where a Sub-processor is engaged, Consultant will impose data protection obligations substantially similar to those in this DPA.</w:t>
      </w:r>
    </w:p>
    <w:p>
      <w:pPr>
        <w:spacing w:after="140" w:line="276"/>
        <w:ind w:left="360" w:hanging="360"/>
      </w:pPr>
      <w:r>
        <w:rPr>
          <w:b/>
          <w:bCs/>
        </w:rPr>
        <w:t xml:space="preserve">4.2  </w:t>
      </w:r>
      <w:r>
        <w:t xml:space="preserve">Consultant will inform Client of any intended addition or replacement of a Sub-processor that materially affects the Processing, giving Client a reasonable opportunity to object on reasonable data-protection grounds.</w:t>
      </w:r>
    </w:p>
    <w:p>
      <w:pPr>
        <w:spacing w:after="140" w:line="276"/>
        <w:ind w:left="360" w:hanging="360"/>
      </w:pPr>
      <w:r>
        <w:rPr>
          <w:b/>
          <w:bCs/>
        </w:rPr>
        <w:t xml:space="preserve">4.3  </w:t>
      </w:r>
      <w:r>
        <w:t xml:space="preserve">Consultant remains responsible for its Sub-processors’ performance of the applicable data protection obligations.</w:t>
      </w:r>
    </w:p>
    <w:p>
      <w:pPr>
        <w:pStyle w:val="Heading1"/>
      </w:pPr>
      <w:r>
        <w:t xml:space="preserve">5.  Artificial Intelligence Processing</w:t>
      </w:r>
    </w:p>
    <w:p>
      <w:pPr>
        <w:spacing w:after="140" w:line="276"/>
        <w:ind w:left="360" w:hanging="360"/>
      </w:pPr>
      <w:r>
        <w:rPr>
          <w:b/>
          <w:bCs/>
        </w:rPr>
        <w:t xml:space="preserve">5.1  </w:t>
      </w:r>
      <w:r>
        <w:t xml:space="preserve">Where the Services involve AI tools or automation, the specific AI providers, the categories of Personal Data (if any) transmitted to them, and the applicable safeguards will be identified in the applicable SOW before such Processing begins.</w:t>
      </w:r>
    </w:p>
    <w:p>
      <w:pPr>
        <w:spacing w:after="140" w:line="276"/>
        <w:ind w:left="360" w:hanging="360"/>
      </w:pPr>
      <w:r>
        <w:rPr>
          <w:b/>
          <w:bCs/>
        </w:rPr>
        <w:t xml:space="preserve">5.2  </w:t>
      </w:r>
      <w:r>
        <w:t xml:space="preserve">Consultant will not transmit Client Personal Data to a third-party AI provider for the provider’s own model-training purposes unless Client has expressly approved that use in writing in the applicable SOW.</w:t>
      </w:r>
    </w:p>
    <w:p>
      <w:pPr>
        <w:spacing w:after="140" w:line="276"/>
        <w:ind w:left="360" w:hanging="360"/>
      </w:pPr>
      <w:r>
        <w:rPr>
          <w:b/>
          <w:bCs/>
        </w:rPr>
        <w:t xml:space="preserve">5.3  </w:t>
      </w:r>
      <w:r>
        <w:t xml:space="preserve">Where reasonably available, Consultant will prefer AI service configurations and account tiers that restrict provider use of Client data to providing the service (for example, settings that disable training on submitted data).</w:t>
      </w:r>
    </w:p>
    <w:p>
      <w:pPr>
        <w:pStyle w:val="Heading1"/>
      </w:pPr>
      <w:r>
        <w:t xml:space="preserve">6.  Security Incidents</w:t>
      </w:r>
    </w:p>
    <w:p>
      <w:pPr>
        <w:spacing w:after="140" w:line="276"/>
        <w:ind w:left="360" w:hanging="360"/>
      </w:pPr>
      <w:r>
        <w:rPr>
          <w:b/>
          <w:bCs/>
        </w:rPr>
        <w:t xml:space="preserve">6.1  </w:t>
      </w:r>
      <w:r>
        <w:t xml:space="preserve">Consultant will notify Client without undue delay after becoming aware of a Security Incident affecting Personal Data Processed on Client’s behalf, and will provide information reasonably available to Consultant to help Client meet its obligations.</w:t>
      </w:r>
    </w:p>
    <w:p>
      <w:pPr>
        <w:spacing w:after="140" w:line="276"/>
        <w:ind w:left="360" w:hanging="360"/>
      </w:pPr>
      <w:r>
        <w:rPr>
          <w:b/>
          <w:bCs/>
        </w:rPr>
        <w:t xml:space="preserve">6.2  </w:t>
      </w:r>
      <w:r>
        <w:t xml:space="preserve">Consultant will take reasonable steps to mitigate and remediate the Security Incident. Notification is not an acknowledgment of fault or liability.</w:t>
      </w:r>
    </w:p>
    <w:p>
      <w:pPr>
        <w:pStyle w:val="Heading1"/>
      </w:pPr>
      <w:r>
        <w:t xml:space="preserve">7.  Data Subject Requests</w:t>
      </w:r>
    </w:p>
    <w:p>
      <w:pPr>
        <w:spacing w:after="160" w:line="276"/>
      </w:pPr>
      <w:r>
        <w:t xml:space="preserve">Taking into account the nature of the Processing, Consultant will provide reasonable assistance to enable Client to respond to requests from individuals to exercise their rights under Applicable Data Protection Laws. If Consultant receives such a request directly, it will, where permitted, redirect the individual to Client.</w:t>
      </w:r>
    </w:p>
    <w:p>
      <w:pPr>
        <w:pStyle w:val="Heading1"/>
      </w:pPr>
      <w:r>
        <w:t xml:space="preserve">8.  Return and Deletion</w:t>
      </w:r>
    </w:p>
    <w:p>
      <w:pPr>
        <w:spacing w:after="140" w:line="276"/>
        <w:ind w:left="360" w:hanging="360"/>
      </w:pPr>
      <w:r>
        <w:rPr>
          <w:b/>
          <w:bCs/>
        </w:rPr>
        <w:t xml:space="preserve">8.1  </w:t>
      </w:r>
      <w:r>
        <w:t xml:space="preserve">Upon termination of the applicable Services, or earlier on Client’s written request, Consultant will return or securely delete Personal Data in Consultant’s possession or control, at Client’s election, except to the extent retention is required by law.</w:t>
      </w:r>
    </w:p>
    <w:p>
      <w:pPr>
        <w:spacing w:after="140" w:line="276"/>
        <w:ind w:left="360" w:hanging="360"/>
      </w:pPr>
      <w:r>
        <w:rPr>
          <w:b/>
          <w:bCs/>
        </w:rPr>
        <w:t xml:space="preserve">8.2  </w:t>
      </w:r>
      <w:r>
        <w:t xml:space="preserve">Personal Data residing within Client’s own tenants, accounts, and systems remains under Client’s control, and Client is responsible for its retention and deletion in those environments.</w:t>
      </w:r>
    </w:p>
    <w:p>
      <w:pPr>
        <w:spacing w:after="140" w:line="276"/>
        <w:ind w:left="360" w:hanging="360"/>
      </w:pPr>
      <w:r>
        <w:rPr>
          <w:b/>
          <w:bCs/>
        </w:rPr>
        <w:t xml:space="preserve">8.3  </w:t>
      </w:r>
      <w:r>
        <w:t xml:space="preserve">Transition and offboarding, including any associated fees, are governed by the Agreement.</w:t>
      </w:r>
    </w:p>
    <w:p>
      <w:pPr>
        <w:pStyle w:val="Heading1"/>
      </w:pPr>
      <w:r>
        <w:t xml:space="preserve">9.  HIPAA</w:t>
      </w:r>
    </w:p>
    <w:p>
      <w:pPr>
        <w:spacing w:after="160" w:line="276"/>
      </w:pPr>
      <w:r>
        <w:t xml:space="preserve">If Consultant Processes protected health information on Client’s behalf such that Consultant is a “business associate” under HIPAA, the Parties will execute a separate Business Associate Agreement, which will govern such Processing and control over this DPA to the extent of any conflict regarding protected health information.</w:t>
      </w:r>
    </w:p>
    <w:p>
      <w:pPr>
        <w:pStyle w:val="Heading1"/>
      </w:pPr>
      <w:r>
        <w:t xml:space="preserve">10.  Liability</w:t>
      </w:r>
    </w:p>
    <w:p>
      <w:pPr>
        <w:spacing w:after="160" w:line="276"/>
      </w:pPr>
      <w:r>
        <w:t xml:space="preserve">Each Party’s liability arising out of or related to this DPA is subject to the limitations of liability set out in the Agreement.</w:t>
      </w:r>
    </w:p>
    <w:p>
      <w:pPr>
        <w:pStyle w:val="Heading1"/>
      </w:pPr>
      <w:r>
        <w:t xml:space="preserve">11.  Term</w:t>
      </w:r>
    </w:p>
    <w:p>
      <w:pPr>
        <w:spacing w:after="160" w:line="276"/>
      </w:pPr>
      <w:r>
        <w:t xml:space="preserve">This DPA takes effect on the same date as the Agreement (or the date of last signature below, if later) and remains in effect for as long as Consultant Processes Personal Data on Client’s behalf.</w:t>
      </w:r>
    </w:p>
    <w:p>
      <w:pPr>
        <w:spacing w:after="120" w:before="320"/>
      </w:pPr>
      <w:r>
        <w:t xml:space="preserve">Agreed and accepted by the Parties:</w:t>
      </w:r>
    </w:p>
    <w:tbl>
      <w:tblPr>
        <w:tblW w:type="dxa" w:w="9360"/>
        <w:tblBorders>
          <w:top w:val="none"/>
          <w:left w:val="none"/>
          <w:bottom w:val="none"/>
          <w:right w:val="none"/>
          <w:insideH w:val="none"/>
          <w:insideV w:val="none"/>
        </w:tblBorders>
      </w:tblPr>
      <w:tblGrid>
        <w:gridCol w:w="4680"/>
        <w:gridCol w:w="4680"/>
      </w:tblGrid>
      <w:tr>
        <w:tc>
          <w:tcPr>
            <w:tcW w:type="dxa" w:w="4680"/>
            <w:tcMar>
              <w:top w:type="dxa" w:w="200"/>
              <w:left w:type="dxa" w:w="0"/>
              <w:bottom w:type="dxa" w:w="80"/>
              <w:right w:type="dxa" w:w="200"/>
            </w:tcMar>
          </w:tcPr>
          <w:p>
            <w:r>
              <w:rPr>
                <w:b/>
                <w:bCs/>
                <w:color w:val="1F4E79"/>
              </w:rPr>
              <w:t xml:space="preserve">CONSULTANT (PROCESSOR)</w:t>
            </w:r>
          </w:p>
        </w:tc>
        <w:tc>
          <w:tcPr>
            <w:tcW w:type="dxa" w:w="4680"/>
            <w:tcMar>
              <w:top w:type="dxa" w:w="200"/>
              <w:left w:type="dxa" w:w="200"/>
              <w:bottom w:type="dxa" w:w="80"/>
              <w:right w:type="dxa" w:w="0"/>
            </w:tcMar>
          </w:tcPr>
          <w:p>
            <w:r>
              <w:rPr>
                <w:b/>
                <w:bCs/>
                <w:color w:val="1F4E79"/>
              </w:rPr>
              <w:t xml:space="preserve">CLIENT (CONTROLLER)</w:t>
            </w:r>
          </w:p>
        </w:tc>
      </w:tr>
      <w:tr>
        <w:tc>
          <w:tcPr>
            <w:tcW w:type="dxa" w:w="4680"/>
            <w:tcMar>
              <w:top w:type="dxa" w:w="360"/>
              <w:left w:type="dxa" w:w="0"/>
              <w:bottom w:type="dxa" w:w="40"/>
              <w:right w:type="dxa" w:w="200"/>
            </w:tcMar>
          </w:tcPr>
          <w:p>
            <w:pPr>
              <w:pBdr>
                <w:bottom w:val="single" w:color="999999" w:sz="6" w:space="2"/>
              </w:pBdr>
            </w:pPr>
            <w:r>
              <w:t xml:space="preserve"> </w:t>
            </w:r>
          </w:p>
        </w:tc>
        <w:tc>
          <w:tcPr>
            <w:tcW w:type="dxa" w:w="4680"/>
            <w:tcMar>
              <w:top w:type="dxa" w:w="360"/>
              <w:left w:type="dxa" w:w="200"/>
              <w:bottom w:type="dxa" w:w="40"/>
              <w:right w:type="dxa" w:w="0"/>
            </w:tcMar>
          </w:tcPr>
          <w:p>
            <w:pPr>
              <w:pBdr>
                <w:bottom w:val="single" w:color="999999" w:sz="6" w:space="2"/>
              </w:pBdr>
            </w:pPr>
            <w:r>
              <w:t xml:space="preserve"> </w:t>
            </w:r>
          </w:p>
        </w:tc>
      </w:tr>
      <w:tr>
        <w:tc>
          <w:tcPr>
            <w:tcW w:type="dxa" w:w="4680"/>
            <w:tcMar>
              <w:top w:type="dxa" w:w="60"/>
              <w:left w:type="dxa" w:w="0"/>
              <w:bottom w:type="dxa" w:w="40"/>
              <w:right w:type="dxa" w:w="200"/>
            </w:tcMar>
          </w:tcPr>
          <w:p>
            <w:r>
              <w:rPr>
                <w:color w:val="555555"/>
                <w:sz w:val="18"/>
                <w:szCs w:val="18"/>
              </w:rPr>
              <w:t xml:space="preserve">Joseph P. Nompleggi, Owner</w:t>
            </w:r>
          </w:p>
          <w:p>
            <w:r>
              <w:rPr>
                <w:color w:val="555555"/>
                <w:sz w:val="18"/>
                <w:szCs w:val="18"/>
              </w:rPr>
              <w:t xml:space="preserve">d/b/a SBTech Consulting</w:t>
            </w:r>
          </w:p>
          <w:p>
            <w:r>
              <w:rPr>
                <w:color w:val="555555"/>
                <w:sz w:val="18"/>
                <w:szCs w:val="18"/>
              </w:rPr>
              <w:t xml:space="preserve">Date: ____________________</w:t>
            </w:r>
          </w:p>
        </w:tc>
        <w:tc>
          <w:tcPr>
            <w:tcW w:type="dxa" w:w="4680"/>
            <w:tcMar>
              <w:top w:type="dxa" w:w="60"/>
              <w:left w:type="dxa" w:w="200"/>
              <w:bottom w:type="dxa" w:w="40"/>
              <w:right w:type="dxa" w:w="0"/>
            </w:tcMar>
          </w:tcPr>
          <w:p>
            <w:r>
              <w:rPr>
                <w:color w:val="555555"/>
                <w:sz w:val="18"/>
                <w:szCs w:val="18"/>
              </w:rPr>
              <w:t xml:space="preserve">Name: ____________________________</w:t>
            </w:r>
          </w:p>
          <w:p>
            <w:r>
              <w:rPr>
                <w:color w:val="555555"/>
                <w:sz w:val="18"/>
                <w:szCs w:val="18"/>
              </w:rPr>
              <w:t xml:space="preserve">Title: _____________________________</w:t>
            </w:r>
          </w:p>
          <w:p>
            <w:r>
              <w:rPr>
                <w:color w:val="555555"/>
                <w:sz w:val="18"/>
                <w:szCs w:val="18"/>
              </w:rPr>
              <w:t xml:space="preserve">Date: ____________________</w:t>
            </w:r>
          </w:p>
        </w:tc>
      </w:tr>
    </w:tbl>
    <w:p>
      <w:pPr>
        <w:pStyle w:val="Heading1"/>
        <w:pageBreakBefore/>
      </w:pPr>
      <w:r>
        <w:t xml:space="preserve">Annex A — Details of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F4E79" w:val="clear"/>
            <w:tcMar>
              <w:top w:type="dxa" w:w="80"/>
              <w:left w:type="dxa" w:w="120"/>
              <w:bottom w:type="dxa" w:w="80"/>
              <w:right w:type="dxa" w:w="120"/>
            </w:tcMar>
          </w:tcPr>
          <w:p>
            <w:r>
              <w:rPr>
                <w:b/>
                <w:bCs/>
                <w:color w:val="FFFFFF"/>
                <w:sz w:val="19"/>
                <w:szCs w:val="19"/>
              </w:rPr>
              <w:t xml:space="preserve">Item</w:t>
            </w:r>
          </w:p>
        </w:tc>
        <w:tc>
          <w:tcPr>
            <w:tcW w:type="dxa" w:w="6240"/>
            <w:shd w:fill="1F4E79" w:val="clear"/>
            <w:tcMar>
              <w:top w:type="dxa" w:w="80"/>
              <w:left w:type="dxa" w:w="120"/>
              <w:bottom w:type="dxa" w:w="80"/>
              <w:right w:type="dxa" w:w="120"/>
            </w:tcMar>
          </w:tcPr>
          <w:p>
            <w:r>
              <w:rPr>
                <w:b/>
                <w:bCs/>
                <w:color w:val="FFFFFF"/>
                <w:sz w:val="19"/>
                <w:szCs w:val="19"/>
              </w:rPr>
              <w:t xml:space="preserve">Description</w:t>
            </w:r>
          </w:p>
        </w:tc>
      </w:tr>
      <w:tr>
        <w:tc>
          <w:tcPr>
            <w:tcW w:type="dxa" w:w="3120"/>
            <w:tcMar>
              <w:top w:type="dxa" w:w="80"/>
              <w:left w:type="dxa" w:w="120"/>
              <w:bottom w:type="dxa" w:w="80"/>
              <w:right w:type="dxa" w:w="120"/>
            </w:tcMar>
          </w:tcPr>
          <w:p>
            <w:r>
              <w:rPr>
                <w:sz w:val="19"/>
                <w:szCs w:val="19"/>
              </w:rPr>
              <w:t xml:space="preserve">Subject matter</w:t>
            </w:r>
          </w:p>
        </w:tc>
        <w:tc>
          <w:tcPr>
            <w:tcW w:type="dxa" w:w="6240"/>
            <w:tcMar>
              <w:top w:type="dxa" w:w="80"/>
              <w:left w:type="dxa" w:w="120"/>
              <w:bottom w:type="dxa" w:w="80"/>
              <w:right w:type="dxa" w:w="120"/>
            </w:tcMar>
          </w:tcPr>
          <w:p>
            <w:r>
              <w:rPr>
                <w:sz w:val="19"/>
                <w:szCs w:val="19"/>
              </w:rPr>
              <w:t xml:space="preserve">Provision of technology consulting, support, training, project, and managed/monitoring services as described in each SOW.</w:t>
            </w:r>
          </w:p>
        </w:tc>
      </w:tr>
      <w:tr>
        <w:tc>
          <w:tcPr>
            <w:tcW w:type="dxa" w:w="3120"/>
            <w:tcMar>
              <w:top w:type="dxa" w:w="80"/>
              <w:left w:type="dxa" w:w="120"/>
              <w:bottom w:type="dxa" w:w="80"/>
              <w:right w:type="dxa" w:w="120"/>
            </w:tcMar>
          </w:tcPr>
          <w:p>
            <w:r>
              <w:rPr>
                <w:sz w:val="19"/>
                <w:szCs w:val="19"/>
              </w:rPr>
              <w:t xml:space="preserve">Nature &amp; purpose</w:t>
            </w:r>
          </w:p>
        </w:tc>
        <w:tc>
          <w:tcPr>
            <w:tcW w:type="dxa" w:w="6240"/>
            <w:tcMar>
              <w:top w:type="dxa" w:w="80"/>
              <w:left w:type="dxa" w:w="120"/>
              <w:bottom w:type="dxa" w:w="80"/>
              <w:right w:type="dxa" w:w="120"/>
            </w:tcMar>
          </w:tcPr>
          <w:p>
            <w:r>
              <w:rPr>
                <w:sz w:val="19"/>
                <w:szCs w:val="19"/>
              </w:rPr>
              <w:t xml:space="preserve">Accessing, configuring, supporting, monitoring, and maintaining Client systems and data as necessary to deliver the Services.</w:t>
            </w:r>
          </w:p>
        </w:tc>
      </w:tr>
      <w:tr>
        <w:tc>
          <w:tcPr>
            <w:tcW w:type="dxa" w:w="3120"/>
            <w:tcMar>
              <w:top w:type="dxa" w:w="80"/>
              <w:left w:type="dxa" w:w="120"/>
              <w:bottom w:type="dxa" w:w="80"/>
              <w:right w:type="dxa" w:w="120"/>
            </w:tcMar>
          </w:tcPr>
          <w:p>
            <w:r>
              <w:rPr>
                <w:sz w:val="19"/>
                <w:szCs w:val="19"/>
              </w:rPr>
              <w:t xml:space="preserve">Duration</w:t>
            </w:r>
          </w:p>
        </w:tc>
        <w:tc>
          <w:tcPr>
            <w:tcW w:type="dxa" w:w="6240"/>
            <w:tcMar>
              <w:top w:type="dxa" w:w="80"/>
              <w:left w:type="dxa" w:w="120"/>
              <w:bottom w:type="dxa" w:w="80"/>
              <w:right w:type="dxa" w:w="120"/>
            </w:tcMar>
          </w:tcPr>
          <w:p>
            <w:r>
              <w:rPr>
                <w:sz w:val="19"/>
                <w:szCs w:val="19"/>
              </w:rPr>
              <w:t xml:space="preserve">For the term of the applicable SOW and any agreed transition period.</w:t>
            </w:r>
          </w:p>
        </w:tc>
      </w:tr>
      <w:tr>
        <w:tc>
          <w:tcPr>
            <w:tcW w:type="dxa" w:w="3120"/>
            <w:tcMar>
              <w:top w:type="dxa" w:w="80"/>
              <w:left w:type="dxa" w:w="120"/>
              <w:bottom w:type="dxa" w:w="80"/>
              <w:right w:type="dxa" w:w="120"/>
            </w:tcMar>
          </w:tcPr>
          <w:p>
            <w:r>
              <w:rPr>
                <w:sz w:val="19"/>
                <w:szCs w:val="19"/>
              </w:rPr>
              <w:t xml:space="preserve">Categories of data subjects</w:t>
            </w:r>
          </w:p>
        </w:tc>
        <w:tc>
          <w:tcPr>
            <w:tcW w:type="dxa" w:w="6240"/>
            <w:tcMar>
              <w:top w:type="dxa" w:w="80"/>
              <w:left w:type="dxa" w:w="120"/>
              <w:bottom w:type="dxa" w:w="80"/>
              <w:right w:type="dxa" w:w="120"/>
            </w:tcMar>
          </w:tcPr>
          <w:p>
            <w:r>
              <w:rPr>
                <w:sz w:val="19"/>
                <w:szCs w:val="19"/>
              </w:rPr>
              <w:t xml:space="preserve">As determined by Client and the relevant SOW (e.g., Client’s employees, contractors, and customers).</w:t>
            </w:r>
          </w:p>
        </w:tc>
      </w:tr>
      <w:tr>
        <w:tc>
          <w:tcPr>
            <w:tcW w:type="dxa" w:w="3120"/>
            <w:tcMar>
              <w:top w:type="dxa" w:w="80"/>
              <w:left w:type="dxa" w:w="120"/>
              <w:bottom w:type="dxa" w:w="80"/>
              <w:right w:type="dxa" w:w="120"/>
            </w:tcMar>
          </w:tcPr>
          <w:p>
            <w:r>
              <w:rPr>
                <w:sz w:val="19"/>
                <w:szCs w:val="19"/>
              </w:rPr>
              <w:t xml:space="preserve">Types of Personal Data</w:t>
            </w:r>
          </w:p>
        </w:tc>
        <w:tc>
          <w:tcPr>
            <w:tcW w:type="dxa" w:w="6240"/>
            <w:tcMar>
              <w:top w:type="dxa" w:w="80"/>
              <w:left w:type="dxa" w:w="120"/>
              <w:bottom w:type="dxa" w:w="80"/>
              <w:right w:type="dxa" w:w="120"/>
            </w:tcMar>
          </w:tcPr>
          <w:p>
            <w:r>
              <w:rPr>
                <w:sz w:val="19"/>
                <w:szCs w:val="19"/>
              </w:rPr>
              <w:t xml:space="preserve">As determined per SOW; may include contact details, account/login identifiers, and business records contained in Client systems. Special-category or regulated data only where expressly identified in a SOW.</w:t>
            </w:r>
          </w:p>
        </w:tc>
      </w:tr>
    </w:tbl>
    <w:p>
      <w:pPr>
        <w:pStyle w:val="Heading1"/>
        <w:spacing w:before="320"/>
      </w:pPr>
      <w:r>
        <w:t xml:space="preserve">Annex B — Authorized Sub-processors</w:t>
      </w:r>
    </w:p>
    <w:p>
      <w:pPr>
        <w:spacing w:after="160" w:line="276"/>
      </w:pPr>
      <w:r>
        <w:t xml:space="preserve">The following are general categories and examples of Sub-processors that may Process Personal Data in connection with the Services. The specific Sub-processors applicable to an engagement are identified in the relevant SOW.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val="clear"/>
            <w:tcMar>
              <w:top w:type="dxa" w:w="80"/>
              <w:left w:type="dxa" w:w="120"/>
              <w:bottom w:type="dxa" w:w="80"/>
              <w:right w:type="dxa" w:w="120"/>
            </w:tcMar>
          </w:tcPr>
          <w:p>
            <w:r>
              <w:rPr>
                <w:b/>
                <w:bCs/>
                <w:color w:val="FFFFFF"/>
                <w:sz w:val="19"/>
                <w:szCs w:val="19"/>
              </w:rPr>
              <w:t xml:space="preserve">Sub-processor</w:t>
            </w:r>
          </w:p>
        </w:tc>
        <w:tc>
          <w:tcPr>
            <w:tcW w:type="dxa" w:w="3120"/>
            <w:shd w:fill="1F4E79" w:val="clear"/>
            <w:tcMar>
              <w:top w:type="dxa" w:w="80"/>
              <w:left w:type="dxa" w:w="120"/>
              <w:bottom w:type="dxa" w:w="80"/>
              <w:right w:type="dxa" w:w="120"/>
            </w:tcMar>
          </w:tcPr>
          <w:p>
            <w:r>
              <w:rPr>
                <w:b/>
                <w:bCs/>
                <w:color w:val="FFFFFF"/>
                <w:sz w:val="19"/>
                <w:szCs w:val="19"/>
              </w:rPr>
              <w:t xml:space="preserve">Function</w:t>
            </w:r>
          </w:p>
        </w:tc>
        <w:tc>
          <w:tcPr>
            <w:tcW w:type="dxa" w:w="3120"/>
            <w:shd w:fill="1F4E79" w:val="clear"/>
            <w:tcMar>
              <w:top w:type="dxa" w:w="80"/>
              <w:left w:type="dxa" w:w="120"/>
              <w:bottom w:type="dxa" w:w="80"/>
              <w:right w:type="dxa" w:w="120"/>
            </w:tcMar>
          </w:tcPr>
          <w:p>
            <w:r>
              <w:rPr>
                <w:b/>
                <w:bCs/>
                <w:color w:val="FFFFFF"/>
                <w:sz w:val="19"/>
                <w:szCs w:val="19"/>
              </w:rPr>
              <w:t xml:space="preserve">Notes</w:t>
            </w:r>
          </w:p>
        </w:tc>
      </w:tr>
      <w:tr>
        <w:tc>
          <w:tcPr>
            <w:tcW w:type="dxa" w:w="3120"/>
            <w:tcMar>
              <w:top w:type="dxa" w:w="80"/>
              <w:left w:type="dxa" w:w="120"/>
              <w:bottom w:type="dxa" w:w="80"/>
              <w:right w:type="dxa" w:w="120"/>
            </w:tcMar>
          </w:tcPr>
          <w:p>
            <w:r>
              <w:rPr>
                <w:sz w:val="19"/>
                <w:szCs w:val="19"/>
              </w:rPr>
              <w:t xml:space="preserve">N-able (RMM)</w:t>
            </w:r>
          </w:p>
        </w:tc>
        <w:tc>
          <w:tcPr>
            <w:tcW w:type="dxa" w:w="3120"/>
            <w:tcMar>
              <w:top w:type="dxa" w:w="80"/>
              <w:left w:type="dxa" w:w="120"/>
              <w:bottom w:type="dxa" w:w="80"/>
              <w:right w:type="dxa" w:w="120"/>
            </w:tcMar>
          </w:tcPr>
          <w:p>
            <w:r>
              <w:rPr>
                <w:sz w:val="19"/>
                <w:szCs w:val="19"/>
              </w:rPr>
              <w:t xml:space="preserve">Remote monitoring and management</w:t>
            </w:r>
          </w:p>
        </w:tc>
        <w:tc>
          <w:tcPr>
            <w:tcW w:type="dxa" w:w="3120"/>
            <w:tcMar>
              <w:top w:type="dxa" w:w="80"/>
              <w:left w:type="dxa" w:w="120"/>
              <w:bottom w:type="dxa" w:w="80"/>
              <w:right w:type="dxa" w:w="120"/>
            </w:tcMar>
          </w:tcPr>
          <w:p>
            <w:r>
              <w:rPr>
                <w:sz w:val="19"/>
                <w:szCs w:val="19"/>
              </w:rPr>
              <w:t xml:space="preserve">Consultant Infrastructure</w:t>
            </w:r>
          </w:p>
        </w:tc>
      </w:tr>
      <w:tr>
        <w:tc>
          <w:tcPr>
            <w:tcW w:type="dxa" w:w="3120"/>
            <w:tcMar>
              <w:top w:type="dxa" w:w="80"/>
              <w:left w:type="dxa" w:w="120"/>
              <w:bottom w:type="dxa" w:w="80"/>
              <w:right w:type="dxa" w:w="120"/>
            </w:tcMar>
          </w:tcPr>
          <w:p>
            <w:r>
              <w:rPr>
                <w:sz w:val="19"/>
                <w:szCs w:val="19"/>
              </w:rPr>
              <w:t xml:space="preserve">Microsoft</w:t>
            </w:r>
          </w:p>
        </w:tc>
        <w:tc>
          <w:tcPr>
            <w:tcW w:type="dxa" w:w="3120"/>
            <w:tcMar>
              <w:top w:type="dxa" w:w="80"/>
              <w:left w:type="dxa" w:w="120"/>
              <w:bottom w:type="dxa" w:w="80"/>
              <w:right w:type="dxa" w:w="120"/>
            </w:tcMar>
          </w:tcPr>
          <w:p>
            <w:r>
              <w:rPr>
                <w:sz w:val="19"/>
                <w:szCs w:val="19"/>
              </w:rPr>
              <w:t xml:space="preserve">Microsoft 365 / cloud services</w:t>
            </w:r>
          </w:p>
        </w:tc>
        <w:tc>
          <w:tcPr>
            <w:tcW w:type="dxa" w:w="3120"/>
            <w:tcMar>
              <w:top w:type="dxa" w:w="80"/>
              <w:left w:type="dxa" w:w="120"/>
              <w:bottom w:type="dxa" w:w="80"/>
              <w:right w:type="dxa" w:w="120"/>
            </w:tcMar>
          </w:tcPr>
          <w:p>
            <w:r>
              <w:rPr>
                <w:sz w:val="19"/>
                <w:szCs w:val="19"/>
              </w:rPr>
              <w:t xml:space="preserve">Typically Client-owned tenant</w:t>
            </w:r>
          </w:p>
        </w:tc>
      </w:tr>
      <w:tr>
        <w:tc>
          <w:tcPr>
            <w:tcW w:type="dxa" w:w="3120"/>
            <w:tcMar>
              <w:top w:type="dxa" w:w="80"/>
              <w:left w:type="dxa" w:w="120"/>
              <w:bottom w:type="dxa" w:w="80"/>
              <w:right w:type="dxa" w:w="120"/>
            </w:tcMar>
          </w:tcPr>
          <w:p>
            <w:r>
              <w:rPr>
                <w:sz w:val="19"/>
                <w:szCs w:val="19"/>
              </w:rPr>
              <w:t xml:space="preserve">Cloudflare</w:t>
            </w:r>
          </w:p>
        </w:tc>
        <w:tc>
          <w:tcPr>
            <w:tcW w:type="dxa" w:w="3120"/>
            <w:tcMar>
              <w:top w:type="dxa" w:w="80"/>
              <w:left w:type="dxa" w:w="120"/>
              <w:bottom w:type="dxa" w:w="80"/>
              <w:right w:type="dxa" w:w="120"/>
            </w:tcMar>
          </w:tcPr>
          <w:p>
            <w:r>
              <w:rPr>
                <w:sz w:val="19"/>
                <w:szCs w:val="19"/>
              </w:rPr>
              <w:t xml:space="preserve">Network / security services</w:t>
            </w:r>
          </w:p>
        </w:tc>
        <w:tc>
          <w:tcPr>
            <w:tcW w:type="dxa" w:w="3120"/>
            <w:tcMar>
              <w:top w:type="dxa" w:w="80"/>
              <w:left w:type="dxa" w:w="120"/>
              <w:bottom w:type="dxa" w:w="80"/>
              <w:right w:type="dxa" w:w="120"/>
            </w:tcMar>
          </w:tcPr>
          <w:p>
            <w:r>
              <w:rPr>
                <w:sz w:val="19"/>
                <w:szCs w:val="19"/>
              </w:rPr>
              <w:t xml:space="preserve">Where applicable</w:t>
            </w:r>
          </w:p>
        </w:tc>
      </w:tr>
      <w:tr>
        <w:tc>
          <w:tcPr>
            <w:tcW w:type="dxa" w:w="3120"/>
            <w:tcMar>
              <w:top w:type="dxa" w:w="80"/>
              <w:left w:type="dxa" w:w="120"/>
              <w:bottom w:type="dxa" w:w="80"/>
              <w:right w:type="dxa" w:w="120"/>
            </w:tcMar>
          </w:tcPr>
          <w:p>
            <w:r>
              <w:rPr>
                <w:sz w:val="19"/>
                <w:szCs w:val="19"/>
              </w:rPr>
              <w:t xml:space="preserve">Google Cloud</w:t>
            </w:r>
          </w:p>
        </w:tc>
        <w:tc>
          <w:tcPr>
            <w:tcW w:type="dxa" w:w="3120"/>
            <w:tcMar>
              <w:top w:type="dxa" w:w="80"/>
              <w:left w:type="dxa" w:w="120"/>
              <w:bottom w:type="dxa" w:w="80"/>
              <w:right w:type="dxa" w:w="120"/>
            </w:tcMar>
          </w:tcPr>
          <w:p>
            <w:r>
              <w:rPr>
                <w:sz w:val="19"/>
                <w:szCs w:val="19"/>
              </w:rPr>
              <w:t xml:space="preserve">Cloud hosting / services</w:t>
            </w:r>
          </w:p>
        </w:tc>
        <w:tc>
          <w:tcPr>
            <w:tcW w:type="dxa" w:w="3120"/>
            <w:tcMar>
              <w:top w:type="dxa" w:w="80"/>
              <w:left w:type="dxa" w:w="120"/>
              <w:bottom w:type="dxa" w:w="80"/>
              <w:right w:type="dxa" w:w="120"/>
            </w:tcMar>
          </w:tcPr>
          <w:p>
            <w:r>
              <w:rPr>
                <w:sz w:val="19"/>
                <w:szCs w:val="19"/>
              </w:rPr>
              <w:t xml:space="preserve">Where applicable</w:t>
            </w:r>
          </w:p>
        </w:tc>
      </w:tr>
      <w:tr>
        <w:tc>
          <w:tcPr>
            <w:tcW w:type="dxa" w:w="3120"/>
            <w:tcMar>
              <w:top w:type="dxa" w:w="80"/>
              <w:left w:type="dxa" w:w="120"/>
              <w:bottom w:type="dxa" w:w="80"/>
              <w:right w:type="dxa" w:w="120"/>
            </w:tcMar>
          </w:tcPr>
          <w:p>
            <w:r>
              <w:rPr>
                <w:sz w:val="19"/>
                <w:szCs w:val="19"/>
              </w:rPr>
              <w:t xml:space="preserve">Atlantic.net</w:t>
            </w:r>
          </w:p>
        </w:tc>
        <w:tc>
          <w:tcPr>
            <w:tcW w:type="dxa" w:w="3120"/>
            <w:tcMar>
              <w:top w:type="dxa" w:w="80"/>
              <w:left w:type="dxa" w:w="120"/>
              <w:bottom w:type="dxa" w:w="80"/>
              <w:right w:type="dxa" w:w="120"/>
            </w:tcMar>
          </w:tcPr>
          <w:p>
            <w:r>
              <w:rPr>
                <w:sz w:val="19"/>
                <w:szCs w:val="19"/>
              </w:rPr>
              <w:t xml:space="preserve">Hosting / infrastructure</w:t>
            </w:r>
          </w:p>
        </w:tc>
        <w:tc>
          <w:tcPr>
            <w:tcW w:type="dxa" w:w="3120"/>
            <w:tcMar>
              <w:top w:type="dxa" w:w="80"/>
              <w:left w:type="dxa" w:w="120"/>
              <w:bottom w:type="dxa" w:w="80"/>
              <w:right w:type="dxa" w:w="120"/>
            </w:tcMar>
          </w:tcPr>
          <w:p>
            <w:r>
              <w:rPr>
                <w:sz w:val="19"/>
                <w:szCs w:val="19"/>
              </w:rPr>
              <w:t xml:space="preserve">Where applicable</w:t>
            </w:r>
          </w:p>
        </w:tc>
      </w:tr>
      <w:tr>
        <w:tc>
          <w:tcPr>
            <w:tcW w:type="dxa" w:w="3120"/>
            <w:tcMar>
              <w:top w:type="dxa" w:w="80"/>
              <w:left w:type="dxa" w:w="120"/>
              <w:bottom w:type="dxa" w:w="80"/>
              <w:right w:type="dxa" w:w="120"/>
            </w:tcMar>
          </w:tcPr>
          <w:p>
            <w:r>
              <w:rPr>
                <w:sz w:val="19"/>
                <w:szCs w:val="19"/>
              </w:rPr>
              <w:t xml:space="preserve">AI providers</w:t>
            </w:r>
          </w:p>
        </w:tc>
        <w:tc>
          <w:tcPr>
            <w:tcW w:type="dxa" w:w="3120"/>
            <w:tcMar>
              <w:top w:type="dxa" w:w="80"/>
              <w:left w:type="dxa" w:w="120"/>
              <w:bottom w:type="dxa" w:w="80"/>
              <w:right w:type="dxa" w:w="120"/>
            </w:tcMar>
          </w:tcPr>
          <w:p>
            <w:r>
              <w:rPr>
                <w:sz w:val="19"/>
                <w:szCs w:val="19"/>
              </w:rPr>
              <w:t xml:space="preserve">AI consulting / automation (e.g., Anthropic, OpenAI, Google)</w:t>
            </w:r>
          </w:p>
        </w:tc>
        <w:tc>
          <w:tcPr>
            <w:tcW w:type="dxa" w:w="3120"/>
            <w:tcMar>
              <w:top w:type="dxa" w:w="80"/>
              <w:left w:type="dxa" w:w="120"/>
              <w:bottom w:type="dxa" w:w="80"/>
              <w:right w:type="dxa" w:w="120"/>
            </w:tcMar>
          </w:tcPr>
          <w:p>
            <w:r>
              <w:rPr>
                <w:sz w:val="19"/>
                <w:szCs w:val="19"/>
              </w:rPr>
              <w:t xml:space="preserve">Per SOW; see Section 5</w:t>
            </w:r>
          </w:p>
        </w:tc>
      </w:tr>
    </w:tbl>
    <w:p>
      <w:pPr>
        <w:pStyle w:val="Heading1"/>
        <w:spacing w:before="320"/>
      </w:pPr>
      <w:r>
        <w:t xml:space="preserve">Annex C — Technical and Organizational Security Measures</w:t>
      </w:r>
    </w:p>
    <w:p>
      <w:pPr>
        <w:spacing w:after="160" w:line="276"/>
      </w:pPr>
      <w:r>
        <w:t xml:space="preserve">Consultant maintains security measures appropriate to the nature of the Services, including:</w:t>
      </w:r>
    </w:p>
    <w:p>
      <w:pPr>
        <w:pStyle w:val="ListParagraph"/>
        <w:numPr>
          <w:ilvl w:val="0"/>
          <w:numId w:val="2"/>
        </w:numPr>
        <w:spacing w:after="80" w:line="276"/>
      </w:pPr>
      <w:r>
        <w:t xml:space="preserve">Multi-factor authentication on remote management and administrative tools;</w:t>
      </w:r>
    </w:p>
    <w:p>
      <w:pPr>
        <w:pStyle w:val="ListParagraph"/>
        <w:numPr>
          <w:ilvl w:val="0"/>
          <w:numId w:val="2"/>
        </w:numPr>
        <w:spacing w:after="80" w:line="276"/>
      </w:pPr>
      <w:r>
        <w:t xml:space="preserve">Encrypted communication and remote management channels;</w:t>
      </w:r>
    </w:p>
    <w:p>
      <w:pPr>
        <w:pStyle w:val="ListParagraph"/>
        <w:numPr>
          <w:ilvl w:val="0"/>
          <w:numId w:val="2"/>
        </w:numPr>
        <w:spacing w:after="80" w:line="276"/>
      </w:pPr>
      <w:r>
        <w:t xml:space="preserve">Access on a least-privilege, need-to-know basis, scoped per SOW;</w:t>
      </w:r>
    </w:p>
    <w:p>
      <w:pPr>
        <w:pStyle w:val="ListParagraph"/>
        <w:numPr>
          <w:ilvl w:val="0"/>
          <w:numId w:val="2"/>
        </w:numPr>
        <w:spacing w:after="80" w:line="276"/>
      </w:pPr>
      <w:r>
        <w:t xml:space="preserve">Confidentiality obligations binding personnel with access to Personal Data;</w:t>
      </w:r>
    </w:p>
    <w:p>
      <w:pPr>
        <w:pStyle w:val="ListParagraph"/>
        <w:numPr>
          <w:ilvl w:val="0"/>
          <w:numId w:val="2"/>
        </w:numPr>
        <w:spacing w:after="80" w:line="276"/>
      </w:pPr>
      <w:r>
        <w:t xml:space="preserve">Use of reputable, security-conscious third-party platforms and Sub-processors; and</w:t>
      </w:r>
    </w:p>
    <w:p>
      <w:pPr>
        <w:pStyle w:val="ListParagraph"/>
        <w:numPr>
          <w:ilvl w:val="0"/>
          <w:numId w:val="2"/>
        </w:numPr>
        <w:spacing w:after="80" w:line="276"/>
      </w:pPr>
      <w:r>
        <w:t xml:space="preserve">A commitment not to sell Client data and to Process it only to deliver the Services.</w:t>
      </w:r>
    </w:p>
    <w:p>
      <w:pPr>
        <w:pBdr>
          <w:top w:val="single" w:color="CCCCCC" w:sz="6" w:space="6"/>
        </w:pBdr>
        <w:spacing w:before="400"/>
      </w:pPr>
      <w:r>
        <w:rPr>
          <w:i/>
          <w:iCs/>
          <w:color w:val="888888"/>
          <w:sz w:val="16"/>
          <w:szCs w:val="16"/>
        </w:rPr>
        <w:t xml:space="preserve">This template is provided for business use and does not constitute legal advice. Have it reviewed by a licensed Massachusetts attorney before use. If you work with clients subject to GDPR/UK data protection law, additional terms (e.g., international transfer mechanisms) will be required.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tabs>
        <w:tab w:val="right" w:pos="9360"/>
      </w:tabs>
    </w:pPr>
    <w:r>
      <w:rPr>
        <w:color w:val="555555"/>
        <w:sz w:val="16"/>
        <w:szCs w:val="16"/>
      </w:rPr>
      <w:t xml:space="preserve">Joseph P. Nompleggi d/b/a SBTech Consulting</w:t>
    </w:r>
    <w:r>
      <w:rPr>
        <w:sz w:val="16"/>
        <w:szCs w:val="16"/>
      </w:rPr>
      <w:t xml:space="preserve">	</w:t>
    </w:r>
    <w:r>
      <w:rPr>
        <w:color w:val="55555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b/>
        <w:bCs/>
        <w:color w:val="1F4E79"/>
        <w:sz w:val="18"/>
        <w:szCs w:val="18"/>
      </w:rPr>
      <w:t xml:space="preserve">SBTech Consulting</w:t>
    </w:r>
    <w:r>
      <w:rPr>
        <w:color w:val="555555"/>
        <w:sz w:val="18"/>
        <w:szCs w:val="18"/>
      </w:rPr>
      <w:t xml:space="preserve">  |  Data Processing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Processing Addendum</dc:title>
  <dc:creator>SBTech Consulting</dc:creator>
  <cp:lastModifiedBy>Un-named</cp:lastModifiedBy>
  <cp:revision>1</cp:revision>
  <dcterms:created xsi:type="dcterms:W3CDTF">2026-06-04T00:31:11.266Z</dcterms:created>
  <dcterms:modified xsi:type="dcterms:W3CDTF">2026-06-04T00:31:11.266Z</dcterms:modified>
</cp:coreProperties>
</file>

<file path=docProps/custom.xml><?xml version="1.0" encoding="utf-8"?>
<Properties xmlns="http://schemas.openxmlformats.org/officeDocument/2006/custom-properties" xmlns:vt="http://schemas.openxmlformats.org/officeDocument/2006/docPropsVTypes"/>
</file>