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4E79"/>
          <w:sz w:val="36"/>
          <w:szCs w:val="36"/>
        </w:rPr>
        <w:t xml:space="preserve">MASTER SERVICES AGREEMENT</w:t>
      </w:r>
    </w:p>
    <w:p>
      <w:pPr>
        <w:pBdr>
          <w:bottom w:val="single" w:color="1F4E79" w:sz="6" w:space="6"/>
        </w:pBdr>
        <w:spacing w:after="240"/>
        <w:jc w:val="center"/>
      </w:pPr>
      <w:r>
        <w:rPr>
          <w:color w:val="555555"/>
          <w:sz w:val="22"/>
          <w:szCs w:val="22"/>
        </w:rPr>
        <w:t xml:space="preserve">SBTech Consulting</w:t>
      </w:r>
    </w:p>
    <w:p>
      <w:pPr>
        <w:spacing w:after="160" w:line="276"/>
      </w:pPr>
      <w:r>
        <w:t xml:space="preserve">This Master Services Agreement (the “Agreement”) is entered into as of </w:t>
      </w:r>
      <w:r>
        <w:rPr>
          <w:b/>
          <w:bCs/>
        </w:rPr>
        <w:t xml:space="preserve">________________</w:t>
      </w:r>
      <w:r>
        <w:t xml:space="preserve"> (the “Effective Date”) by and between </w:t>
      </w:r>
      <w:r>
        <w:rPr>
          <w:b/>
          <w:bCs/>
        </w:rPr>
        <w:t xml:space="preserve">Joseph P. Nompleggi, an individual doing business as SBTech Consulting</w:t>
      </w:r>
      <w:r>
        <w:t xml:space="preserve">, with a principal place of business at 18 Temple Street, Palmer, MA 01069 (“Consultant”), and </w:t>
      </w:r>
      <w:r>
        <w:rPr>
          <w:b/>
          <w:bCs/>
        </w:rPr>
        <w:t xml:space="preserve">________________________________</w:t>
      </w:r>
      <w:r>
        <w:t xml:space="preserve">, with a principal place of business at ________________________________ (“Client”). Consultant and Client may be referred to individually as a “Party” and collectively as the “Parties.”</w:t>
      </w:r>
    </w:p>
    <w:p>
      <w:pPr>
        <w:spacing w:after="160" w:line="276"/>
      </w:pPr>
      <w:r>
        <w:t xml:space="preserve">The Parties agree as follows:</w:t>
      </w:r>
    </w:p>
    <w:p>
      <w:pPr>
        <w:pStyle w:val="Heading1"/>
      </w:pPr>
      <w:r>
        <w:t xml:space="preserve">1.  Definitions</w:t>
      </w:r>
    </w:p>
    <w:p>
      <w:pPr>
        <w:spacing w:after="140" w:line="276"/>
        <w:ind w:left="360" w:hanging="360"/>
      </w:pPr>
      <w:r>
        <w:rPr>
          <w:b/>
          <w:bCs/>
        </w:rPr>
        <w:t xml:space="preserve">1.1  </w:t>
      </w:r>
      <w:r>
        <w:t xml:space="preserve">“Services” means the technology consulting, support, training, project, and/or managed services to be performed by Consultant as described in one or more Statements of Work executed under this Agreement.</w:t>
      </w:r>
    </w:p>
    <w:p>
      <w:pPr>
        <w:spacing w:after="140" w:line="276"/>
        <w:ind w:left="360" w:hanging="360"/>
      </w:pPr>
      <w:r>
        <w:rPr>
          <w:b/>
          <w:bCs/>
        </w:rPr>
        <w:t xml:space="preserve">1.2  </w:t>
      </w:r>
      <w:r>
        <w:t xml:space="preserve">“Statement of Work” or “SOW” means a written work order, proposal, or service description referencing this Agreement and signed (including by electronic acceptance) by both Parties, setting out the specific Services, deliverables, fees, and schedule.</w:t>
      </w:r>
    </w:p>
    <w:p>
      <w:pPr>
        <w:spacing w:after="140" w:line="276"/>
        <w:ind w:left="360" w:hanging="360"/>
      </w:pPr>
      <w:r>
        <w:rPr>
          <w:b/>
          <w:bCs/>
        </w:rPr>
        <w:t xml:space="preserve">1.3  </w:t>
      </w:r>
      <w:r>
        <w:t xml:space="preserve">“Deliverables” means the tangible or intangible work products specifically created by Consultant for Client and identified as deliverables in a SOW.</w:t>
      </w:r>
    </w:p>
    <w:p>
      <w:pPr>
        <w:spacing w:after="140" w:line="276"/>
        <w:ind w:left="360" w:hanging="360"/>
      </w:pPr>
      <w:r>
        <w:rPr>
          <w:b/>
          <w:bCs/>
        </w:rPr>
        <w:t xml:space="preserve">1.4  </w:t>
      </w:r>
      <w:r>
        <w:t xml:space="preserve">“Consultant Materials” means tools, software, scripts, templates, methodologies, know-how, and other materials owned or developed by Consultant independently of this Agreement, including pre-existing materials and general improvements thereto.</w:t>
      </w:r>
    </w:p>
    <w:p>
      <w:pPr>
        <w:spacing w:after="140" w:line="276"/>
        <w:ind w:left="360" w:hanging="360"/>
      </w:pPr>
      <w:r>
        <w:rPr>
          <w:b/>
          <w:bCs/>
        </w:rPr>
        <w:t xml:space="preserve">1.5  </w:t>
      </w:r>
      <w:r>
        <w:t xml:space="preserve">“Consultant Infrastructure” means systems, platforms, and tooling operated or licensed by Consultant and used to deliver the Services, including remote monitoring and management (RMM) platforms.</w:t>
      </w:r>
    </w:p>
    <w:p>
      <w:pPr>
        <w:spacing w:after="140" w:line="276"/>
        <w:ind w:left="360" w:hanging="360"/>
      </w:pPr>
      <w:r>
        <w:rPr>
          <w:b/>
          <w:bCs/>
        </w:rPr>
        <w:t xml:space="preserve">1.6  </w:t>
      </w:r>
      <w:r>
        <w:t xml:space="preserve">“Confidential Information” means non-public information disclosed by one Party to the other that is marked confidential or that a reasonable person would understand to be confidential given its nature and the circumstances of disclosure.</w:t>
      </w:r>
    </w:p>
    <w:p>
      <w:pPr>
        <w:pStyle w:val="Heading1"/>
      </w:pPr>
      <w:r>
        <w:t xml:space="preserve">2.  Structure of the Agreement; Statements of Work</w:t>
      </w:r>
    </w:p>
    <w:p>
      <w:pPr>
        <w:spacing w:after="140" w:line="276"/>
        <w:ind w:left="360" w:hanging="360"/>
      </w:pPr>
      <w:r>
        <w:rPr>
          <w:b/>
          <w:bCs/>
        </w:rPr>
        <w:t xml:space="preserve">2.1  </w:t>
      </w:r>
      <w:r>
        <w:t xml:space="preserve">This Agreement governs the overall relationship between the Parties. The specific Services to be performed will be described in one or more SOWs. Each SOW is incorporated into and governed by this Agreement.</w:t>
      </w:r>
    </w:p>
    <w:p>
      <w:pPr>
        <w:spacing w:after="140" w:line="276"/>
        <w:ind w:left="360" w:hanging="360"/>
      </w:pPr>
      <w:r>
        <w:rPr>
          <w:b/>
          <w:bCs/>
        </w:rPr>
        <w:t xml:space="preserve">2.2  </w:t>
      </w:r>
      <w:r>
        <w:t xml:space="preserve">In the event of a conflict between this Agreement and a SOW, this Agreement controls except where the SOW expressly states that it is amending a specific section of this Agreement for that engagement.</w:t>
      </w:r>
    </w:p>
    <w:p>
      <w:pPr>
        <w:spacing w:after="140" w:line="276"/>
        <w:ind w:left="360" w:hanging="360"/>
      </w:pPr>
      <w:r>
        <w:rPr>
          <w:b/>
          <w:bCs/>
        </w:rPr>
        <w:t xml:space="preserve">2.3  </w:t>
      </w:r>
      <w:r>
        <w:t xml:space="preserve">No SOW is binding until accepted by both Parties. Consultant is not obligated to begin Services until any required deposit or initial payment specified in the SOW has been received.</w:t>
      </w:r>
    </w:p>
    <w:p>
      <w:pPr>
        <w:pStyle w:val="Heading1"/>
      </w:pPr>
      <w:r>
        <w:t xml:space="preserve">3.  Services and Categories of Engagement</w:t>
      </w:r>
    </w:p>
    <w:p>
      <w:pPr>
        <w:spacing w:after="140" w:line="276"/>
        <w:ind w:left="360" w:hanging="360"/>
      </w:pPr>
      <w:r>
        <w:rPr>
          <w:b/>
          <w:bCs/>
        </w:rPr>
        <w:t xml:space="preserve">3.1  </w:t>
      </w:r>
      <w:r>
        <w:t xml:space="preserve">Consultant provides vendor-neutral technology services, which may include, without limitation: hourly break/fix support; technology consulting; training; project work; networking and installation; security audits and monitoring; software licensing guidance; AI consulting and automation; audio/visual services; and ongoing managed/remote monitoring services.</w:t>
      </w:r>
    </w:p>
    <w:p>
      <w:pPr>
        <w:spacing w:after="140" w:line="276"/>
        <w:ind w:left="360" w:hanging="360"/>
      </w:pPr>
      <w:r>
        <w:rPr>
          <w:b/>
          <w:bCs/>
        </w:rPr>
        <w:t xml:space="preserve">3.2  </w:t>
      </w:r>
      <w:r>
        <w:t xml:space="preserve">Consultant will perform the Services in a professional and workmanlike manner consistent with generally accepted industry standards.</w:t>
      </w:r>
    </w:p>
    <w:p>
      <w:pPr>
        <w:spacing w:after="140" w:line="276"/>
        <w:ind w:left="360" w:hanging="360"/>
      </w:pPr>
      <w:r>
        <w:rPr>
          <w:b/>
          <w:bCs/>
        </w:rPr>
        <w:t xml:space="preserve">3.3  </w:t>
      </w:r>
      <w:r>
        <w:t xml:space="preserve">Unless a SOW states otherwise, Consultant performs Services as an independent contractor and retains discretion over the manner and means of performance, subject to the requirements of the applicable SOW.</w:t>
      </w:r>
    </w:p>
    <w:p>
      <w:pPr>
        <w:pStyle w:val="Heading1"/>
      </w:pPr>
      <w:r>
        <w:t xml:space="preserve">4.  Fees and Payment</w:t>
      </w:r>
    </w:p>
    <w:p>
      <w:pPr>
        <w:spacing w:after="140" w:line="276"/>
        <w:ind w:left="360" w:hanging="360"/>
      </w:pPr>
      <w:r>
        <w:rPr>
          <w:b/>
          <w:bCs/>
        </w:rPr>
        <w:t xml:space="preserve">4.1  </w:t>
      </w:r>
      <w:r>
        <w:rPr>
          <w:b/>
          <w:bCs/>
        </w:rPr>
        <w:t xml:space="preserve">Hourly Services. </w:t>
      </w:r>
      <w:r>
        <w:t xml:space="preserve">Break/fix support, consulting, training, and project work are billed on an hourly basis at the rate(s) set forth in the applicable SOW or Consultant’s then-current rate schedule. Time is billed in increments specified in the SOW.</w:t>
      </w:r>
    </w:p>
    <w:p>
      <w:pPr>
        <w:spacing w:after="140" w:line="276"/>
        <w:ind w:left="360" w:hanging="360"/>
      </w:pPr>
      <w:r>
        <w:rPr>
          <w:b/>
          <w:bCs/>
        </w:rPr>
        <w:t xml:space="preserve">4.2  </w:t>
      </w:r>
      <w:r>
        <w:rPr>
          <w:b/>
          <w:bCs/>
        </w:rPr>
        <w:t xml:space="preserve">Recurring Services. </w:t>
      </w:r>
      <w:r>
        <w:t xml:space="preserve">Contracted remote monitoring and managed services are billed monthly in advance at the recurring fee set forth in the applicable SOW, unless otherwise stated.</w:t>
      </w:r>
    </w:p>
    <w:p>
      <w:pPr>
        <w:spacing w:after="140" w:line="276"/>
        <w:ind w:left="360" w:hanging="360"/>
      </w:pPr>
      <w:r>
        <w:rPr>
          <w:b/>
          <w:bCs/>
        </w:rPr>
        <w:t xml:space="preserve">4.3  </w:t>
      </w:r>
      <w:r>
        <w:rPr>
          <w:b/>
          <w:bCs/>
        </w:rPr>
        <w:t xml:space="preserve">Expenses. </w:t>
      </w:r>
      <w:r>
        <w:t xml:space="preserve">Client will reimburse Consultant for reasonable, pre-approved out-of-pocket expenses (including hardware, third-party software, licenses, and travel) incurred in performing the Services. Consultant does not resell or host Client’s third-party services; where Client purchases licenses or subscriptions (such as Microsoft 365 or AI services) directly from vendors, Client is responsible for those vendor charges.</w:t>
      </w:r>
    </w:p>
    <w:p>
      <w:pPr>
        <w:spacing w:after="140" w:line="276"/>
        <w:ind w:left="360" w:hanging="360"/>
      </w:pPr>
      <w:r>
        <w:rPr>
          <w:b/>
          <w:bCs/>
        </w:rPr>
        <w:t xml:space="preserve">4.4  </w:t>
      </w:r>
      <w:r>
        <w:rPr>
          <w:b/>
          <w:bCs/>
        </w:rPr>
        <w:t xml:space="preserve">Payment Terms. </w:t>
      </w:r>
      <w:r>
        <w:t xml:space="preserve">Invoices are due net fifteen (15) days from the invoice date unless otherwise stated in a SOW.</w:t>
      </w:r>
    </w:p>
    <w:p>
      <w:pPr>
        <w:spacing w:after="140" w:line="276"/>
        <w:ind w:left="360" w:hanging="360"/>
      </w:pPr>
      <w:r>
        <w:rPr>
          <w:b/>
          <w:bCs/>
        </w:rPr>
        <w:t xml:space="preserve">4.5  </w:t>
      </w:r>
      <w:r>
        <w:rPr>
          <w:b/>
          <w:bCs/>
        </w:rPr>
        <w:t xml:space="preserve">Late Payment. </w:t>
      </w:r>
      <w:r>
        <w:t xml:space="preserve">Undisputed amounts not paid when due may accrue interest at the lesser of 1.5% per month or the maximum rate permitted by law. Consultant may suspend Services, including monitoring and managed services, on undisputed past-due accounts after providing written notice and a reasonable opportunity to cure.</w:t>
      </w:r>
    </w:p>
    <w:p>
      <w:pPr>
        <w:spacing w:after="140" w:line="276"/>
        <w:ind w:left="360" w:hanging="360"/>
      </w:pPr>
      <w:r>
        <w:rPr>
          <w:b/>
          <w:bCs/>
        </w:rPr>
        <w:t xml:space="preserve">4.6  </w:t>
      </w:r>
      <w:r>
        <w:rPr>
          <w:b/>
          <w:bCs/>
        </w:rPr>
        <w:t xml:space="preserve">Taxes. </w:t>
      </w:r>
      <w:r>
        <w:t xml:space="preserve">Fees are exclusive of applicable sales, use, or similar taxes, which are Client’s responsibility (excluding taxes on Consultant’s net income).</w:t>
      </w:r>
    </w:p>
    <w:p>
      <w:pPr>
        <w:pStyle w:val="Heading1"/>
      </w:pPr>
      <w:r>
        <w:t xml:space="preserve">5.  Client Responsibilities</w:t>
      </w:r>
    </w:p>
    <w:p>
      <w:pPr>
        <w:spacing w:after="160" w:line="276"/>
      </w:pPr>
      <w:r>
        <w:t xml:space="preserve">Client will, in a timely manner:</w:t>
      </w:r>
    </w:p>
    <w:p>
      <w:pPr>
        <w:pStyle w:val="ListParagraph"/>
        <w:numPr>
          <w:ilvl w:val="0"/>
          <w:numId w:val="2"/>
        </w:numPr>
        <w:spacing w:after="80" w:line="276"/>
      </w:pPr>
      <w:r>
        <w:t xml:space="preserve">Provide Consultant with the access, credentials, information, and cooperation reasonably necessary to perform the Services, including access scoped as defined in the applicable SOW;</w:t>
      </w:r>
    </w:p>
    <w:p>
      <w:pPr>
        <w:pStyle w:val="ListParagraph"/>
        <w:numPr>
          <w:ilvl w:val="0"/>
          <w:numId w:val="2"/>
        </w:numPr>
        <w:spacing w:after="80" w:line="276"/>
      </w:pPr>
      <w:r>
        <w:t xml:space="preserve">Maintain its own licenses, subscriptions, and accounts (including Microsoft 365 and any AI services) under Client’s ownership and control, except as otherwise agreed in a SOW;</w:t>
      </w:r>
    </w:p>
    <w:p>
      <w:pPr>
        <w:pStyle w:val="ListParagraph"/>
        <w:numPr>
          <w:ilvl w:val="0"/>
          <w:numId w:val="2"/>
        </w:numPr>
        <w:spacing w:after="80" w:line="276"/>
      </w:pPr>
      <w:r>
        <w:t xml:space="preserve">Designate a point of contact authorized to make decisions and approvals; and</w:t>
      </w:r>
    </w:p>
    <w:p>
      <w:pPr>
        <w:pStyle w:val="ListParagraph"/>
        <w:numPr>
          <w:ilvl w:val="0"/>
          <w:numId w:val="2"/>
        </w:numPr>
        <w:spacing w:after="80" w:line="276"/>
      </w:pPr>
      <w:r>
        <w:t xml:space="preserve">Maintain appropriate backups of its data, except to the extent backup is an expressly contracted Service under a SOW.</w:t>
      </w:r>
    </w:p>
    <w:p>
      <w:pPr>
        <w:pStyle w:val="Heading1"/>
      </w:pPr>
      <w:r>
        <w:t xml:space="preserve">6.  Intellectual Property</w:t>
      </w:r>
    </w:p>
    <w:p>
      <w:pPr>
        <w:spacing w:after="140" w:line="276"/>
        <w:ind w:left="360" w:hanging="360"/>
      </w:pPr>
      <w:r>
        <w:rPr>
          <w:b/>
          <w:bCs/>
        </w:rPr>
        <w:t xml:space="preserve">6.1  </w:t>
      </w:r>
      <w:r>
        <w:rPr>
          <w:b/>
          <w:bCs/>
        </w:rPr>
        <w:t xml:space="preserve">Deliverables. </w:t>
      </w:r>
      <w:r>
        <w:t xml:space="preserve">Subject to full payment of all amounts due under the applicable SOW, Consultant assigns to Client all right, title, and interest in the custom Deliverables specifically created for Client under that SOW. Until full payment is received, Consultant retains all rights in the Deliverables.</w:t>
      </w:r>
    </w:p>
    <w:p>
      <w:pPr>
        <w:spacing w:after="140" w:line="276"/>
        <w:ind w:left="360" w:hanging="360"/>
      </w:pPr>
      <w:r>
        <w:rPr>
          <w:b/>
          <w:bCs/>
        </w:rPr>
        <w:t xml:space="preserve">6.2  </w:t>
      </w:r>
      <w:r>
        <w:rPr>
          <w:b/>
          <w:bCs/>
        </w:rPr>
        <w:t xml:space="preserve">Consultant Materials. </w:t>
      </w:r>
      <w:r>
        <w:t xml:space="preserve">Consultant retains all right, title, and interest in Consultant Materials and Consultant Infrastructure. To the extent any Consultant Materials are incorporated into a Deliverable, Consultant grants Client a non-exclusive, perpetual, royalty-free license to use such Consultant Materials solely as part of the Deliverable for Client’s internal business purposes.</w:t>
      </w:r>
    </w:p>
    <w:p>
      <w:pPr>
        <w:spacing w:after="140" w:line="276"/>
        <w:ind w:left="360" w:hanging="360"/>
      </w:pPr>
      <w:r>
        <w:rPr>
          <w:b/>
          <w:bCs/>
        </w:rPr>
        <w:t xml:space="preserve">6.3  </w:t>
      </w:r>
      <w:r>
        <w:rPr>
          <w:b/>
          <w:bCs/>
        </w:rPr>
        <w:t xml:space="preserve">Residual Knowledge. </w:t>
      </w:r>
      <w:r>
        <w:t xml:space="preserve">Consultant may use the general knowledge, skills, and experience acquired during an engagement, and may develop similar materials for other clients, provided Consultant does not use Client’s Confidential Information in doing so.</w:t>
      </w:r>
    </w:p>
    <w:p>
      <w:pPr>
        <w:pStyle w:val="Heading1"/>
      </w:pPr>
      <w:r>
        <w:t xml:space="preserve">7.  Transition and Offboarding</w:t>
      </w:r>
    </w:p>
    <w:p>
      <w:pPr>
        <w:spacing w:after="140" w:line="276"/>
        <w:ind w:left="360" w:hanging="360"/>
      </w:pPr>
      <w:r>
        <w:rPr>
          <w:b/>
          <w:bCs/>
        </w:rPr>
        <w:t xml:space="preserve">7.1  </w:t>
      </w:r>
      <w:r>
        <w:t xml:space="preserve">Upon expiration or termination of Services that rely on Consultant Infrastructure (such as RMM or monitoring platforms), Consultant will provide reasonable transition assistance to migrate Client off Consultant Infrastructure.</w:t>
      </w:r>
    </w:p>
    <w:p>
      <w:pPr>
        <w:spacing w:after="140" w:line="276"/>
        <w:ind w:left="360" w:hanging="360"/>
      </w:pPr>
      <w:r>
        <w:rPr>
          <w:b/>
          <w:bCs/>
        </w:rPr>
        <w:t xml:space="preserve">7.2  </w:t>
      </w:r>
      <w:r>
        <w:t xml:space="preserve">Transition and migration assistance is billable at Consultant’s applicable hourly rate, and reasonable transition or de-provisioning fees may apply, as described in the applicable SOW or Consultant’s rate schedule. Consultant will provide a good-faith estimate of such fees on Client’s request.</w:t>
      </w:r>
    </w:p>
    <w:p>
      <w:pPr>
        <w:spacing w:after="140" w:line="276"/>
        <w:ind w:left="360" w:hanging="360"/>
      </w:pPr>
      <w:r>
        <w:rPr>
          <w:b/>
          <w:bCs/>
        </w:rPr>
        <w:t xml:space="preserve">7.3  </w:t>
      </w:r>
      <w:r>
        <w:t xml:space="preserve">Consultant will return or, at Client’s written direction, securely delete Client data in Consultant’s possession or control following transition, subject to Section 7.2 and any legal retention obligations. Client data residing in Client’s own tenants, accounts, or systems remains under Client’s control at all times.</w:t>
      </w:r>
    </w:p>
    <w:p>
      <w:pPr>
        <w:pStyle w:val="Heading1"/>
      </w:pPr>
      <w:r>
        <w:t xml:space="preserve">8.  Confidentiality</w:t>
      </w:r>
    </w:p>
    <w:p>
      <w:pPr>
        <w:spacing w:after="140" w:line="276"/>
        <w:ind w:left="360" w:hanging="360"/>
      </w:pPr>
      <w:r>
        <w:rPr>
          <w:b/>
          <w:bCs/>
        </w:rPr>
        <w:t xml:space="preserve">8.1  </w:t>
      </w:r>
      <w:r>
        <w:t xml:space="preserve">Each Party will protect the other Party’s Confidential Information using at least the same degree of care it uses for its own confidential information, and no less than reasonable care, and will use it solely to perform under this Agreement.</w:t>
      </w:r>
    </w:p>
    <w:p>
      <w:pPr>
        <w:spacing w:after="140" w:line="276"/>
        <w:ind w:left="360" w:hanging="360"/>
      </w:pPr>
      <w:r>
        <w:rPr>
          <w:b/>
          <w:bCs/>
        </w:rPr>
        <w:t xml:space="preserve">8.2  </w:t>
      </w:r>
      <w:r>
        <w:t xml:space="preserve">Confidential Information does not include information that is or becomes public through no fault of the receiving Party, was lawfully known before disclosure, is independently developed, or is rightfully received from a third party without restriction.</w:t>
      </w:r>
    </w:p>
    <w:p>
      <w:pPr>
        <w:spacing w:after="140" w:line="276"/>
        <w:ind w:left="360" w:hanging="360"/>
      </w:pPr>
      <w:r>
        <w:rPr>
          <w:b/>
          <w:bCs/>
        </w:rPr>
        <w:t xml:space="preserve">8.3  </w:t>
      </w:r>
      <w:r>
        <w:t xml:space="preserve">A Party may disclose Confidential Information if required by law, provided it gives reasonable prior notice (where legally permitted) so the disclosing Party may seek protective treatment.</w:t>
      </w:r>
    </w:p>
    <w:p>
      <w:pPr>
        <w:spacing w:after="140" w:line="276"/>
        <w:ind w:left="360" w:hanging="360"/>
      </w:pPr>
      <w:r>
        <w:rPr>
          <w:b/>
          <w:bCs/>
        </w:rPr>
        <w:t xml:space="preserve">8.4  </w:t>
      </w:r>
      <w:r>
        <w:t xml:space="preserve">Consultant maintains professional confidentiality, does not sell Client data, and uses secure, encrypted communication and remote management tools with multi-factor authentication consistent with industry standards.</w:t>
      </w:r>
    </w:p>
    <w:p>
      <w:pPr>
        <w:pStyle w:val="Heading1"/>
      </w:pPr>
      <w:r>
        <w:t xml:space="preserve">9.  Data Protection</w:t>
      </w:r>
    </w:p>
    <w:p>
      <w:pPr>
        <w:spacing w:after="140" w:line="276"/>
        <w:ind w:left="360" w:hanging="360"/>
      </w:pPr>
      <w:r>
        <w:rPr>
          <w:b/>
          <w:bCs/>
        </w:rPr>
        <w:t xml:space="preserve">9.1  </w:t>
      </w:r>
      <w:r>
        <w:t xml:space="preserve">Where Consultant processes personal data on Client’s behalf in performing the Services, such processing is governed by the Data Processing Addendum entered into between the Parties, which is incorporated by reference.</w:t>
      </w:r>
    </w:p>
    <w:p>
      <w:pPr>
        <w:spacing w:after="140" w:line="276"/>
        <w:ind w:left="360" w:hanging="360"/>
      </w:pPr>
      <w:r>
        <w:rPr>
          <w:b/>
          <w:bCs/>
        </w:rPr>
        <w:t xml:space="preserve">9.2  </w:t>
      </w:r>
      <w:r>
        <w:t xml:space="preserve">If the Services involve protected health information subject to HIPAA, the Parties will execute a Business Associate Agreement before such Services begin.</w:t>
      </w:r>
    </w:p>
    <w:p>
      <w:pPr>
        <w:pStyle w:val="Heading1"/>
      </w:pPr>
      <w:r>
        <w:t xml:space="preserve">10.  Warranties and Disclaimer</w:t>
      </w:r>
    </w:p>
    <w:p>
      <w:pPr>
        <w:spacing w:after="140" w:line="276"/>
        <w:ind w:left="360" w:hanging="360"/>
      </w:pPr>
      <w:r>
        <w:rPr>
          <w:b/>
          <w:bCs/>
        </w:rPr>
        <w:t xml:space="preserve">10.1  </w:t>
      </w:r>
      <w:r>
        <w:t xml:space="preserve">Consultant warrants that the Services will be performed in a professional and workmanlike manner. Client’s exclusive remedy for breach of this warranty is re-performance of the affected Services, provided Client notifies Consultant within thirty (30) days of the affected Services.</w:t>
      </w:r>
    </w:p>
    <w:p>
      <w:pPr>
        <w:spacing w:after="140" w:line="276"/>
        <w:ind w:left="360" w:hanging="360"/>
      </w:pPr>
      <w:r>
        <w:rPr>
          <w:b/>
          <w:bCs/>
        </w:rPr>
        <w:t xml:space="preserve">10.2  </w:t>
      </w:r>
      <w:r>
        <w:rPr>
          <w:b w:val="false"/>
          <w:bCs w:val="false"/>
        </w:rPr>
        <w:t xml:space="preserve">EXCEPT AS EXPRESSLY STATED IN THIS AGREEMENT, THE SERVICES AND ALL DELIVERABLES ARE PROVIDED “AS IS,” AND CONSULTANT DISCLAIMS ALL OTHER WARRANTIES, EXPRESS OR IMPLIED, INCLUDING ANY IMPLIED WARRANTIES OF MERCHANTABILITY, FITNESS FOR A PARTICULAR PURPOSE, AND NON-INFRINGEMENT. CONSULTANT DOES NOT WARRANT THAT SYSTEMS WILL BE ERROR-FREE, SECURE, OR UNINTERRUPTED, OR THAT IT CAN PREVENT ALL SECURITY INCIDENTS.</w:t>
      </w:r>
    </w:p>
    <w:p>
      <w:pPr>
        <w:spacing w:after="140" w:line="276"/>
        <w:ind w:left="360" w:hanging="360"/>
      </w:pPr>
      <w:r>
        <w:rPr>
          <w:b/>
          <w:bCs/>
        </w:rPr>
        <w:t xml:space="preserve">10.3  </w:t>
      </w:r>
      <w:r>
        <w:t xml:space="preserve">Consultant is not responsible for the acts, omissions, availability, or terms of third-party vendors, products, or services (including Microsoft, AI providers, and other vendors) selected or licensed by Client.</w:t>
      </w:r>
    </w:p>
    <w:p>
      <w:pPr>
        <w:pStyle w:val="Heading1"/>
      </w:pPr>
      <w:r>
        <w:t xml:space="preserve">11.  Limitation of Liability</w:t>
      </w:r>
    </w:p>
    <w:p>
      <w:pPr>
        <w:spacing w:after="140" w:line="276"/>
        <w:ind w:left="360" w:hanging="360"/>
      </w:pPr>
      <w:r>
        <w:rPr>
          <w:b/>
          <w:bCs/>
        </w:rPr>
        <w:t xml:space="preserve">11.1  </w:t>
      </w:r>
      <w:r>
        <w:rPr>
          <w:b/>
          <w:bCs/>
        </w:rPr>
        <w:t xml:space="preserve">EXCLUSION OF INDIRECT DAMAGES. </w:t>
      </w:r>
      <w:r>
        <w:t xml:space="preserve">TO THE MAXIMUM EXTENT PERMITTED BY LAW, NEITHER PARTY WILL BE LIABLE FOR ANY INDIRECT, INCIDENTAL, SPECIAL, CONSEQUENTIAL, OR PUNITIVE DAMAGES, OR FOR LOST PROFITS, REVENUE, OR DATA, ARISING OUT OF OR RELATED TO THIS AGREEMENT, EVEN IF ADVISED OF THE POSSIBILITY OF SUCH DAMAGES.</w:t>
      </w:r>
    </w:p>
    <w:p>
      <w:pPr>
        <w:spacing w:after="140" w:line="276"/>
        <w:ind w:left="360" w:hanging="360"/>
      </w:pPr>
      <w:r>
        <w:rPr>
          <w:b/>
          <w:bCs/>
        </w:rPr>
        <w:t xml:space="preserve">11.2  </w:t>
      </w:r>
      <w:r>
        <w:rPr>
          <w:b/>
          <w:bCs/>
        </w:rPr>
        <w:t xml:space="preserve">CAP. </w:t>
      </w:r>
      <w:r>
        <w:t xml:space="preserve">EACH PARTY’S TOTAL AGGREGATE LIABILITY ARISING OUT OF OR RELATED TO THIS AGREEMENT WILL NOT EXCEED THE TOTAL FEES PAID BY CLIENT TO CONSULTANT UNDER THE APPLICABLE SOW DURING THE TWELVE (12) MONTHS IMMEDIATELY PRECEDING THE EVENT GIVING RISE TO THE CLAIM.</w:t>
      </w:r>
    </w:p>
    <w:p>
      <w:pPr>
        <w:spacing w:after="140" w:line="276"/>
        <w:ind w:left="360" w:hanging="360"/>
      </w:pPr>
      <w:r>
        <w:rPr>
          <w:b/>
          <w:bCs/>
        </w:rPr>
        <w:t xml:space="preserve">11.3  </w:t>
      </w:r>
      <w:r>
        <w:rPr>
          <w:b/>
          <w:bCs/>
        </w:rPr>
        <w:t xml:space="preserve">EXCEPTIONS. </w:t>
      </w:r>
      <w:r>
        <w:t xml:space="preserve">The limitations in this Section do not apply to a Party’s breach of its confidentiality obligations, a Party’s indemnification obligations, or liability that cannot be limited under applicable law.</w:t>
      </w:r>
    </w:p>
    <w:p>
      <w:pPr>
        <w:pStyle w:val="Heading1"/>
      </w:pPr>
      <w:r>
        <w:t xml:space="preserve">12.  Indemnification</w:t>
      </w:r>
    </w:p>
    <w:p>
      <w:pPr>
        <w:spacing w:after="140" w:line="276"/>
        <w:ind w:left="360" w:hanging="360"/>
      </w:pPr>
      <w:r>
        <w:rPr>
          <w:b/>
          <w:bCs/>
        </w:rPr>
        <w:t xml:space="preserve">12.1  </w:t>
      </w:r>
      <w:r>
        <w:t xml:space="preserve">Client will indemnify and hold harmless Consultant from third-party claims arising out of Client’s data, Client’s use of the Deliverables in breach of this Agreement, or Client’s violation of law or third-party rights.</w:t>
      </w:r>
    </w:p>
    <w:p>
      <w:pPr>
        <w:spacing w:after="140" w:line="276"/>
        <w:ind w:left="360" w:hanging="360"/>
      </w:pPr>
      <w:r>
        <w:rPr>
          <w:b/>
          <w:bCs/>
        </w:rPr>
        <w:t xml:space="preserve">12.2  </w:t>
      </w:r>
      <w:r>
        <w:t xml:space="preserve">Consultant will indemnify and hold harmless Client from third-party claims that a Deliverable, as delivered by Consultant, infringes such third party’s intellectual property rights, excluding claims arising from Client Materials, Client’s modifications, or combinations not provided by Consultant.</w:t>
      </w:r>
    </w:p>
    <w:p>
      <w:pPr>
        <w:pStyle w:val="Heading1"/>
      </w:pPr>
      <w:r>
        <w:t xml:space="preserve">13.  Insurance</w:t>
      </w:r>
    </w:p>
    <w:p>
      <w:pPr>
        <w:spacing w:after="160" w:line="276"/>
      </w:pPr>
      <w:r>
        <w:t xml:space="preserve">Consultant will maintain commercially reasonable insurance appropriate to the Services, which may include professional liability (errors &amp; omissions) and cyber liability coverage. Specific coverage requirements, if any, may be set out in a SOW.</w:t>
      </w:r>
    </w:p>
    <w:p>
      <w:pPr>
        <w:pStyle w:val="Heading1"/>
      </w:pPr>
      <w:r>
        <w:t xml:space="preserve">14.  Term and Termination</w:t>
      </w:r>
    </w:p>
    <w:p>
      <w:pPr>
        <w:spacing w:after="140" w:line="276"/>
        <w:ind w:left="360" w:hanging="360"/>
      </w:pPr>
      <w:r>
        <w:rPr>
          <w:b/>
          <w:bCs/>
        </w:rPr>
        <w:t xml:space="preserve">14.1  </w:t>
      </w:r>
      <w:r>
        <w:rPr>
          <w:b/>
          <w:bCs/>
        </w:rPr>
        <w:t xml:space="preserve">Term. </w:t>
      </w:r>
      <w:r>
        <w:t xml:space="preserve">This Agreement begins on the Effective Date and continues until terminated as provided herein. It governs all SOWs entered into during its term.</w:t>
      </w:r>
    </w:p>
    <w:p>
      <w:pPr>
        <w:spacing w:after="140" w:line="276"/>
        <w:ind w:left="360" w:hanging="360"/>
      </w:pPr>
      <w:r>
        <w:rPr>
          <w:b/>
          <w:bCs/>
        </w:rPr>
        <w:t xml:space="preserve">14.2  </w:t>
      </w:r>
      <w:r>
        <w:rPr>
          <w:b/>
          <w:bCs/>
        </w:rPr>
        <w:t xml:space="preserve">Recurring Services. </w:t>
      </w:r>
      <w:r>
        <w:t xml:space="preserve">Unless a SOW states otherwise, contracted monitoring and managed services continue on a month-to-month basis and may be terminated by either Party on thirty (30) days’ prior written notice.</w:t>
      </w:r>
    </w:p>
    <w:p>
      <w:pPr>
        <w:spacing w:after="140" w:line="276"/>
        <w:ind w:left="360" w:hanging="360"/>
      </w:pPr>
      <w:r>
        <w:rPr>
          <w:b/>
          <w:bCs/>
        </w:rPr>
        <w:t xml:space="preserve">14.3  </w:t>
      </w:r>
      <w:r>
        <w:rPr>
          <w:b/>
          <w:bCs/>
        </w:rPr>
        <w:t xml:space="preserve">Termination for Cause. </w:t>
      </w:r>
      <w:r>
        <w:t xml:space="preserve">Either Party may terminate this Agreement or any SOW if the other Party materially breaches and fails to cure within thirty (30) days after written notice.</w:t>
      </w:r>
    </w:p>
    <w:p>
      <w:pPr>
        <w:spacing w:after="140" w:line="276"/>
        <w:ind w:left="360" w:hanging="360"/>
      </w:pPr>
      <w:r>
        <w:rPr>
          <w:b/>
          <w:bCs/>
        </w:rPr>
        <w:t xml:space="preserve">14.4  </w:t>
      </w:r>
      <w:r>
        <w:rPr>
          <w:b/>
          <w:bCs/>
        </w:rPr>
        <w:t xml:space="preserve">Effect of Termination. </w:t>
      </w:r>
      <w:r>
        <w:t xml:space="preserve">Upon termination, Client will pay for all Services performed and expenses incurred through the effective date of termination. Sections relating to fees accrued, intellectual property, transition, confidentiality, data protection, warranties, liability, and indemnification survive termination.</w:t>
      </w:r>
    </w:p>
    <w:p>
      <w:pPr>
        <w:pStyle w:val="Heading1"/>
      </w:pPr>
      <w:r>
        <w:t xml:space="preserve">15.  General Provisions</w:t>
      </w:r>
    </w:p>
    <w:p>
      <w:pPr>
        <w:spacing w:after="140" w:line="276"/>
        <w:ind w:left="360" w:hanging="360"/>
      </w:pPr>
      <w:r>
        <w:rPr>
          <w:b/>
          <w:bCs/>
        </w:rPr>
        <w:t xml:space="preserve">15.1  </w:t>
      </w:r>
      <w:r>
        <w:rPr>
          <w:b/>
          <w:bCs/>
        </w:rPr>
        <w:t xml:space="preserve">Independent Contractor. </w:t>
      </w:r>
      <w:r>
        <w:t xml:space="preserve">Consultant is an independent contractor. Nothing creates a partnership, joint venture, agency, or employment relationship.</w:t>
      </w:r>
    </w:p>
    <w:p>
      <w:pPr>
        <w:spacing w:after="140" w:line="276"/>
        <w:ind w:left="360" w:hanging="360"/>
      </w:pPr>
      <w:r>
        <w:rPr>
          <w:b/>
          <w:bCs/>
        </w:rPr>
        <w:t xml:space="preserve">15.2  </w:t>
      </w:r>
      <w:r>
        <w:rPr>
          <w:b/>
          <w:bCs/>
        </w:rPr>
        <w:t xml:space="preserve">Governing Law. </w:t>
      </w:r>
      <w:r>
        <w:t xml:space="preserve">This Agreement is governed by the laws of the Commonwealth of Massachusetts, without regard to conflict-of-laws principles. The Parties consent to the exclusive jurisdiction of the state and federal courts located in Massachusetts.</w:t>
      </w:r>
    </w:p>
    <w:p>
      <w:pPr>
        <w:spacing w:after="140" w:line="276"/>
        <w:ind w:left="360" w:hanging="360"/>
      </w:pPr>
      <w:r>
        <w:rPr>
          <w:b/>
          <w:bCs/>
        </w:rPr>
        <w:t xml:space="preserve">15.3  </w:t>
      </w:r>
      <w:r>
        <w:rPr>
          <w:b/>
          <w:bCs/>
        </w:rPr>
        <w:t xml:space="preserve">Non-Solicitation. </w:t>
      </w:r>
      <w:r>
        <w:t xml:space="preserve">During the term and for twelve (12) months thereafter, Client will not directly or indirectly solicit for employment any individual performing Services on Consultant’s behalf, except through general solicitations not targeted at such individuals.</w:t>
      </w:r>
    </w:p>
    <w:p>
      <w:pPr>
        <w:spacing w:after="140" w:line="276"/>
        <w:ind w:left="360" w:hanging="360"/>
      </w:pPr>
      <w:r>
        <w:rPr>
          <w:b/>
          <w:bCs/>
        </w:rPr>
        <w:t xml:space="preserve">15.4  </w:t>
      </w:r>
      <w:r>
        <w:rPr>
          <w:b/>
          <w:bCs/>
        </w:rPr>
        <w:t xml:space="preserve">Assignment. </w:t>
      </w:r>
      <w:r>
        <w:t xml:space="preserve">Neither Party may assign this Agreement without the other’s prior written consent, except to a successor in connection with a merger, acquisition, or sale of substantially all assets.</w:t>
      </w:r>
    </w:p>
    <w:p>
      <w:pPr>
        <w:spacing w:after="140" w:line="276"/>
        <w:ind w:left="360" w:hanging="360"/>
      </w:pPr>
      <w:r>
        <w:rPr>
          <w:b/>
          <w:bCs/>
        </w:rPr>
        <w:t xml:space="preserve">15.5  </w:t>
      </w:r>
      <w:r>
        <w:rPr>
          <w:b/>
          <w:bCs/>
        </w:rPr>
        <w:t xml:space="preserve">Force Majeure. </w:t>
      </w:r>
      <w:r>
        <w:t xml:space="preserve">Neither Party is liable for delays or failures caused by events beyond its reasonable control.</w:t>
      </w:r>
    </w:p>
    <w:p>
      <w:pPr>
        <w:spacing w:after="140" w:line="276"/>
        <w:ind w:left="360" w:hanging="360"/>
      </w:pPr>
      <w:r>
        <w:rPr>
          <w:b/>
          <w:bCs/>
        </w:rPr>
        <w:t xml:space="preserve">15.6  </w:t>
      </w:r>
      <w:r>
        <w:rPr>
          <w:b/>
          <w:bCs/>
        </w:rPr>
        <w:t xml:space="preserve">Notices. </w:t>
      </w:r>
      <w:r>
        <w:t xml:space="preserve">Notices must be in writing and sent to the addresses on the first page (or email addresses designated by the Parties) and are effective on receipt.</w:t>
      </w:r>
    </w:p>
    <w:p>
      <w:pPr>
        <w:spacing w:after="140" w:line="276"/>
        <w:ind w:left="360" w:hanging="360"/>
      </w:pPr>
      <w:r>
        <w:rPr>
          <w:b/>
          <w:bCs/>
        </w:rPr>
        <w:t xml:space="preserve">15.7  </w:t>
      </w:r>
      <w:r>
        <w:rPr>
          <w:b/>
          <w:bCs/>
        </w:rPr>
        <w:t xml:space="preserve">Entire Agreement; Amendment. </w:t>
      </w:r>
      <w:r>
        <w:t xml:space="preserve">This Agreement, together with its SOWs and any incorporated addenda, is the entire agreement between the Parties and supersedes all prior understandings. It may be amended only in a writing signed by both Parties.</w:t>
      </w:r>
    </w:p>
    <w:p>
      <w:pPr>
        <w:spacing w:after="140" w:line="276"/>
        <w:ind w:left="360" w:hanging="360"/>
      </w:pPr>
      <w:r>
        <w:rPr>
          <w:b/>
          <w:bCs/>
        </w:rPr>
        <w:t xml:space="preserve">15.8  </w:t>
      </w:r>
      <w:r>
        <w:rPr>
          <w:b/>
          <w:bCs/>
        </w:rPr>
        <w:t xml:space="preserve">Severability; Waiver. </w:t>
      </w:r>
      <w:r>
        <w:t xml:space="preserve">If any provision is held unenforceable, the remaining provisions remain in effect. A waiver is effective only if in writing.</w:t>
      </w:r>
    </w:p>
    <w:p>
      <w:pPr>
        <w:spacing w:after="140" w:line="276"/>
        <w:ind w:left="360" w:hanging="360"/>
      </w:pPr>
      <w:r>
        <w:rPr>
          <w:b/>
          <w:bCs/>
        </w:rPr>
        <w:t xml:space="preserve">15.9  </w:t>
      </w:r>
      <w:r>
        <w:rPr>
          <w:b/>
          <w:bCs/>
        </w:rPr>
        <w:t xml:space="preserve">Counterparts; Electronic Signature. </w:t>
      </w:r>
      <w:r>
        <w:t xml:space="preserve">This Agreement may be executed in counterparts and by electronic signature, each of which is deemed an original.</w:t>
      </w:r>
    </w:p>
    <w:p>
      <w:pPr>
        <w:spacing w:after="120" w:before="320"/>
      </w:pPr>
      <w:r>
        <w:rPr>
          <w:b w:val="false"/>
          <w:bCs w:val="false"/>
        </w:rPr>
        <w:t xml:space="preserve">IN WITNESS WHEREOF, the Parties have executed this Agreement as of the Effective Date.</w:t>
      </w:r>
    </w:p>
    <w:tbl>
      <w:tblPr>
        <w:tblW w:type="dxa" w:w="9360"/>
        <w:tblBorders>
          <w:top w:val="none"/>
          <w:left w:val="none"/>
          <w:bottom w:val="none"/>
          <w:right w:val="none"/>
          <w:insideH w:val="none"/>
          <w:insideV w:val="none"/>
        </w:tblBorders>
      </w:tblPr>
      <w:tblGrid>
        <w:gridCol w:w="4680"/>
        <w:gridCol w:w="4680"/>
      </w:tblGrid>
      <w:tr>
        <w:tc>
          <w:tcPr>
            <w:tcW w:type="dxa" w:w="4680"/>
            <w:tcMar>
              <w:top w:type="dxa" w:w="200"/>
              <w:left w:type="dxa" w:w="0"/>
              <w:bottom w:type="dxa" w:w="80"/>
              <w:right w:type="dxa" w:w="200"/>
            </w:tcMar>
          </w:tcPr>
          <w:p>
            <w:r>
              <w:rPr>
                <w:b/>
                <w:bCs/>
                <w:color w:val="1F4E79"/>
              </w:rPr>
              <w:t xml:space="preserve">CONSULTANT</w:t>
            </w:r>
          </w:p>
        </w:tc>
        <w:tc>
          <w:tcPr>
            <w:tcW w:type="dxa" w:w="4680"/>
            <w:tcMar>
              <w:top w:type="dxa" w:w="200"/>
              <w:left w:type="dxa" w:w="200"/>
              <w:bottom w:type="dxa" w:w="80"/>
              <w:right w:type="dxa" w:w="0"/>
            </w:tcMar>
          </w:tcPr>
          <w:p>
            <w:r>
              <w:rPr>
                <w:b/>
                <w:bCs/>
                <w:color w:val="1F4E79"/>
              </w:rPr>
              <w:t xml:space="preserve">CLIENT</w:t>
            </w:r>
          </w:p>
        </w:tc>
      </w:tr>
      <w:tr>
        <w:tc>
          <w:tcPr>
            <w:tcW w:type="dxa" w:w="4680"/>
            <w:tcMar>
              <w:top w:type="dxa" w:w="360"/>
              <w:left w:type="dxa" w:w="0"/>
              <w:bottom w:type="dxa" w:w="40"/>
              <w:right w:type="dxa" w:w="200"/>
            </w:tcMar>
          </w:tcPr>
          <w:p>
            <w:pPr>
              <w:pBdr>
                <w:bottom w:val="single" w:color="999999" w:sz="6" w:space="2"/>
              </w:pBdr>
            </w:pPr>
            <w:r>
              <w:t xml:space="preserve"> </w:t>
            </w:r>
          </w:p>
        </w:tc>
        <w:tc>
          <w:tcPr>
            <w:tcW w:type="dxa" w:w="4680"/>
            <w:tcMar>
              <w:top w:type="dxa" w:w="360"/>
              <w:left w:type="dxa" w:w="200"/>
              <w:bottom w:type="dxa" w:w="40"/>
              <w:right w:type="dxa" w:w="0"/>
            </w:tcMar>
          </w:tcPr>
          <w:p>
            <w:pPr>
              <w:pBdr>
                <w:bottom w:val="single" w:color="999999" w:sz="6" w:space="2"/>
              </w:pBdr>
            </w:pPr>
            <w:r>
              <w:t xml:space="preserve"> </w:t>
            </w:r>
          </w:p>
        </w:tc>
      </w:tr>
      <w:tr>
        <w:tc>
          <w:tcPr>
            <w:tcW w:type="dxa" w:w="4680"/>
            <w:tcMar>
              <w:top w:type="dxa" w:w="60"/>
              <w:left w:type="dxa" w:w="0"/>
              <w:bottom w:type="dxa" w:w="40"/>
              <w:right w:type="dxa" w:w="200"/>
            </w:tcMar>
          </w:tcPr>
          <w:p>
            <w:r>
              <w:rPr>
                <w:color w:val="555555"/>
                <w:sz w:val="18"/>
                <w:szCs w:val="18"/>
              </w:rPr>
              <w:t xml:space="preserve">Joseph P. Nompleggi, Owner</w:t>
            </w:r>
          </w:p>
          <w:p>
            <w:r>
              <w:rPr>
                <w:color w:val="555555"/>
                <w:sz w:val="18"/>
                <w:szCs w:val="18"/>
              </w:rPr>
              <w:t xml:space="preserve">d/b/a SBTech Consulting</w:t>
            </w:r>
          </w:p>
        </w:tc>
        <w:tc>
          <w:tcPr>
            <w:tcW w:type="dxa" w:w="4680"/>
            <w:tcMar>
              <w:top w:type="dxa" w:w="60"/>
              <w:left w:type="dxa" w:w="200"/>
              <w:bottom w:type="dxa" w:w="40"/>
              <w:right w:type="dxa" w:w="0"/>
            </w:tcMar>
          </w:tcPr>
          <w:p>
            <w:r>
              <w:rPr>
                <w:color w:val="555555"/>
                <w:sz w:val="18"/>
                <w:szCs w:val="18"/>
              </w:rPr>
              <w:t xml:space="preserve">Name: ____________________________</w:t>
            </w:r>
          </w:p>
          <w:p>
            <w:r>
              <w:rPr>
                <w:color w:val="555555"/>
                <w:sz w:val="18"/>
                <w:szCs w:val="18"/>
              </w:rPr>
              <w:t xml:space="preserve">Title: _____________________________</w:t>
            </w:r>
          </w:p>
        </w:tc>
      </w:tr>
      <w:tr>
        <w:tc>
          <w:tcPr>
            <w:tcW w:type="dxa" w:w="4680"/>
            <w:tcMar>
              <w:top w:type="dxa" w:w="200"/>
              <w:left w:type="dxa" w:w="0"/>
              <w:bottom w:type="dxa" w:w="40"/>
              <w:right w:type="dxa" w:w="200"/>
            </w:tcMar>
          </w:tcPr>
          <w:p>
            <w:r>
              <w:rPr>
                <w:color w:val="555555"/>
                <w:sz w:val="18"/>
                <w:szCs w:val="18"/>
              </w:rPr>
              <w:t xml:space="preserve">Date: ____________________</w:t>
            </w:r>
          </w:p>
        </w:tc>
        <w:tc>
          <w:tcPr>
            <w:tcW w:type="dxa" w:w="4680"/>
            <w:tcMar>
              <w:top w:type="dxa" w:w="200"/>
              <w:left w:type="dxa" w:w="200"/>
              <w:bottom w:type="dxa" w:w="40"/>
              <w:right w:type="dxa" w:w="0"/>
            </w:tcMar>
          </w:tcPr>
          <w:p>
            <w:r>
              <w:rPr>
                <w:color w:val="555555"/>
                <w:sz w:val="18"/>
                <w:szCs w:val="18"/>
              </w:rPr>
              <w:t xml:space="preserve">Date: ____________________</w:t>
            </w:r>
          </w:p>
        </w:tc>
      </w:tr>
    </w:tbl>
    <w:p>
      <w:pPr>
        <w:pBdr>
          <w:top w:val="single" w:color="CCCCCC" w:sz="6" w:space="6"/>
        </w:pBdr>
        <w:spacing w:before="400"/>
      </w:pPr>
      <w:r>
        <w:rPr>
          <w:i/>
          <w:iCs/>
          <w:color w:val="888888"/>
          <w:sz w:val="16"/>
          <w:szCs w:val="16"/>
        </w:rPr>
        <w:t xml:space="preserve">This template is provided for business use and does not constitute legal advice. Have it reviewed by a licensed Massachusetts attorney before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tabs>
        <w:tab w:val="right" w:pos="9360"/>
      </w:tabs>
    </w:pPr>
    <w:r>
      <w:rPr>
        <w:color w:val="555555"/>
        <w:sz w:val="16"/>
        <w:szCs w:val="16"/>
      </w:rPr>
      <w:t xml:space="preserve">Joseph P. Nompleggi d/b/a SBTech Consulting</w:t>
    </w:r>
    <w:r>
      <w:rPr>
        <w:sz w:val="16"/>
        <w:szCs w:val="16"/>
      </w:rPr>
      <w:t xml:space="preserve">	</w:t>
    </w:r>
    <w:r>
      <w:rPr>
        <w:color w:val="55555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b/>
        <w:bCs/>
        <w:color w:val="1F4E79"/>
        <w:sz w:val="18"/>
        <w:szCs w:val="18"/>
      </w:rPr>
      <w:t xml:space="preserve">SBTech Consulting</w:t>
    </w:r>
    <w:r>
      <w:rPr>
        <w:color w:val="555555"/>
        <w:sz w:val="18"/>
        <w:szCs w:val="18"/>
      </w:rPr>
      <w:t xml:space="preserve">  |  Master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Calibri" w:cs="Calibri" w:eastAsia="Calibri" w:hAnsi="Calibri"/>
      <w:b/>
      <w:bCs/>
      <w:color w:val="1F4E79"/>
      <w:sz w:val="24"/>
      <w:szCs w:val="24"/>
    </w:rPr>
  </w:style>
  <w:style w:type="paragraph" w:styleId="Heading2">
    <w:name w:val="Heading 2"/>
    <w:basedOn w:val="Normal"/>
    <w:next w:val="Normal"/>
    <w:qFormat/>
    <w:pPr>
      <w:keepNext/>
      <w:spacing w:after="100" w:before="180"/>
      <w:outlineLvl w:val="1"/>
    </w:pPr>
    <w:rPr>
      <w:rFonts w:ascii="Calibri" w:cs="Calibri" w:eastAsia="Calibri" w:hAnsi="Calibri"/>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dc:title>
  <dc:creator>SBTech Consulting</dc:creator>
  <cp:lastModifiedBy>Un-named</cp:lastModifiedBy>
  <cp:revision>1</cp:revision>
  <dcterms:created xsi:type="dcterms:W3CDTF">2026-06-04T00:29:52.966Z</dcterms:created>
  <dcterms:modified xsi:type="dcterms:W3CDTF">2026-06-04T00:29:52.966Z</dcterms:modified>
</cp:coreProperties>
</file>

<file path=docProps/custom.xml><?xml version="1.0" encoding="utf-8"?>
<Properties xmlns="http://schemas.openxmlformats.org/officeDocument/2006/custom-properties" xmlns:vt="http://schemas.openxmlformats.org/officeDocument/2006/docPropsVTypes"/>
</file>