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bookmarkStart w:colFirst="0" w:colLast="0" w:name="_heading=h.jxkpcrhl0766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9525</wp:posOffset>
                </wp:positionV>
                <wp:extent cx="6238875" cy="1562100"/>
                <wp:effectExtent b="0" l="0" r="0" t="0"/>
                <wp:wrapNone/>
                <wp:docPr id="2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26550" y="2998950"/>
                          <a:ext cx="6238875" cy="1562100"/>
                          <a:chOff x="2226550" y="2998950"/>
                          <a:chExt cx="6238900" cy="1562100"/>
                        </a:xfrm>
                      </wpg:grpSpPr>
                      <wpg:grpSp>
                        <wpg:cNvGrpSpPr/>
                        <wpg:grpSpPr>
                          <a:xfrm>
                            <a:off x="2226563" y="2998950"/>
                            <a:ext cx="6238875" cy="1562100"/>
                            <a:chOff x="0" y="0"/>
                            <a:chExt cx="5991225" cy="15621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991225" cy="1562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1024671" y="299473"/>
                              <a:ext cx="4966554" cy="12626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ff0000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Guía2. Desarrollo Proyecto APT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Asignatura Capstone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993140" cy="1486894"/>
                            </a:xfrm>
                            <a:prstGeom prst="rect">
                              <a:avLst/>
                            </a:prstGeom>
                            <a:solidFill>
                              <a:srgbClr val="1F3864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9525</wp:posOffset>
                </wp:positionV>
                <wp:extent cx="6238875" cy="1562100"/>
                <wp:effectExtent b="0" l="0" r="0" t="0"/>
                <wp:wrapNone/>
                <wp:docPr id="28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38875" cy="1562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9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639"/>
        <w:tblGridChange w:id="0">
          <w:tblGrid>
            <w:gridCol w:w="9639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1. Resumen avance Proyecto APT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continuación, encontrarás distintos campos que deberás completar con la información solicitada. </w:t>
            </w:r>
          </w:p>
        </w:tc>
      </w:tr>
    </w:tbl>
    <w:p w:rsidR="00000000" w:rsidDel="00000000" w:rsidP="00000000" w:rsidRDefault="00000000" w:rsidRPr="00000000" w14:paraId="0000000B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39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528"/>
        <w:gridCol w:w="7111"/>
        <w:tblGridChange w:id="0">
          <w:tblGrid>
            <w:gridCol w:w="2528"/>
            <w:gridCol w:w="7111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D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Resumen de avance proyecto APT</w:t>
            </w:r>
          </w:p>
        </w:tc>
        <w:tc>
          <w:tcPr/>
          <w:p w:rsidR="00000000" w:rsidDel="00000000" w:rsidP="00000000" w:rsidRDefault="00000000" w:rsidRPr="00000000" w14:paraId="0000000E">
            <w:pPr>
              <w:spacing w:after="240" w:before="240" w:lineRule="auto"/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Durante esta etapa del proyecto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INSIDER</w:t>
            </w: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, enfocamos los esfuerzos en consolidar toda la arquitectura, gobernanza y diseño técnico del sistema. Tradujimos los requerimientos (del R.1 al R.46) y los casos de uso (del CU001 al CU012) en la suite documental formal de ingeniería de software.</w:t>
            </w:r>
          </w:p>
          <w:p w:rsidR="00000000" w:rsidDel="00000000" w:rsidP="00000000" w:rsidRDefault="00000000" w:rsidRPr="00000000" w14:paraId="0000000F">
            <w:pPr>
              <w:spacing w:after="240" w:before="240" w:lineRule="auto"/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A la fecha, cerramos el diseño completo de la solución: formalizamos la gobernanza del equipo, evaluamos los riesgos operacionales y de ciberseguridad, definimos el control de cambios, especificamos la arquitectura bajo el modelo 4+1 vistas, levantamos los procesos en estado AS-IS y TO-BE en notación BPMN 2.0, y completamos la estructura física de la base de datos en Supabase con sus 23 tablas. Esto nos deja con una base técnica sólida y sin ambigüedades para avanzar en la etapa de desarrollo y pruebas.</w:t>
            </w:r>
          </w:p>
          <w:p w:rsidR="00000000" w:rsidDel="00000000" w:rsidP="00000000" w:rsidRDefault="00000000" w:rsidRPr="00000000" w14:paraId="00000010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4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1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Objetivos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jc w:val="both"/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No se realizaron ajustes a los objetivos iniciales del proyecto</w:t>
            </w:r>
          </w:p>
        </w:tc>
      </w:tr>
      <w:tr>
        <w:trPr>
          <w:cantSplit w:val="0"/>
          <w:trHeight w:val="93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4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Metodología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No se realizaron ajustes. Se mantiene la metodología ágil Scrum con iteraciones quincenales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7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6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Evidencias de avance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numPr>
                <w:ilvl w:val="0"/>
                <w:numId w:val="3"/>
              </w:numPr>
              <w:spacing w:after="0" w:afterAutospacing="0" w:before="240" w:lineRule="auto"/>
              <w:ind w:left="720" w:hanging="360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Matriz RACI:</w:t>
            </w: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Define la gobernanza y asignación de responsabilidades de las 21 actividades del proyecto entre los 3 integrantes.</w:t>
            </w:r>
          </w:p>
          <w:p w:rsidR="00000000" w:rsidDel="00000000" w:rsidP="00000000" w:rsidRDefault="00000000" w:rsidRPr="00000000" w14:paraId="00000018">
            <w:pPr>
              <w:numPr>
                <w:ilvl w:val="0"/>
                <w:numId w:val="3"/>
              </w:numPr>
              <w:spacing w:after="0" w:afterAutospacing="0" w:before="0" w:beforeAutospacing="0" w:lineRule="auto"/>
              <w:ind w:left="720" w:hanging="360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Matriz de Riesgo:</w:t>
            </w: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Identificación y plan de mitigación de 20 eventos categorizados en desarrollo, proyecto, factores externos y naturaleza.</w:t>
            </w:r>
          </w:p>
          <w:p w:rsidR="00000000" w:rsidDel="00000000" w:rsidP="00000000" w:rsidRDefault="00000000" w:rsidRPr="00000000" w14:paraId="00000019">
            <w:pPr>
              <w:numPr>
                <w:ilvl w:val="0"/>
                <w:numId w:val="3"/>
              </w:numPr>
              <w:spacing w:after="0" w:afterAutospacing="0" w:before="0" w:beforeAutospacing="0" w:lineRule="auto"/>
              <w:ind w:left="720" w:hanging="360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Matriz de Control de Cambios:</w:t>
            </w: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Registro de 24 solicitudes que aseguran la trazabilidad de los ajustes realizados al alcance.</w:t>
            </w:r>
          </w:p>
          <w:p w:rsidR="00000000" w:rsidDel="00000000" w:rsidP="00000000" w:rsidRDefault="00000000" w:rsidRPr="00000000" w14:paraId="0000001A">
            <w:pPr>
              <w:numPr>
                <w:ilvl w:val="0"/>
                <w:numId w:val="3"/>
              </w:numPr>
              <w:spacing w:after="0" w:afterAutospacing="0" w:before="0" w:beforeAutospacing="0" w:lineRule="auto"/>
              <w:ind w:left="720" w:hanging="360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Documento de Arquitectura de Sistema (DAS):</w:t>
            </w: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Especificación técnica estructurada en el modelo 4+1 vistas de Kruchten, definiendo el stack en Django, Supabase e IA.</w:t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3"/>
              </w:numPr>
              <w:spacing w:after="0" w:afterAutospacing="0" w:before="0" w:beforeAutospacing="0" w:lineRule="auto"/>
              <w:ind w:left="720" w:hanging="360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Documento Proceso de Negocio:</w:t>
            </w: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Diagramas de flujo en BPMN 2.0 que detallan el estado actual (AS-IS) y los 5 procesos futuros (TO-BE).</w:t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3"/>
              </w:numPr>
              <w:spacing w:after="240" w:before="0" w:beforeAutospacing="0" w:lineRule="auto"/>
              <w:ind w:left="720" w:hanging="360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Diccionario de Datos:</w:t>
            </w: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Especificación física de las 23 tablas del sistema creadas para Supabase </w:t>
            </w:r>
          </w:p>
          <w:p w:rsidR="00000000" w:rsidDel="00000000" w:rsidP="00000000" w:rsidRDefault="00000000" w:rsidRPr="00000000" w14:paraId="0000001D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actividades, herramientas, recursos propios, etc.).</w:t>
            </w:r>
          </w:p>
          <w:p w:rsidR="00000000" w:rsidDel="00000000" w:rsidP="00000000" w:rsidRDefault="00000000" w:rsidRPr="00000000" w14:paraId="0000001E">
            <w:pPr>
              <w:jc w:val="both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En este apartado adjuntar la(s) evidencia(s) seleccionada(s) para ser evaluada por el docente.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F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2. Monitoreo del Plan de Trabajo 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20">
            <w:pPr>
              <w:jc w:val="both"/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Examina cuidadosamente tu plan de trabajo, enfocándote especialmente en la columna de estado de avance y ajustes.</w:t>
            </w:r>
          </w:p>
        </w:tc>
      </w:tr>
    </w:tbl>
    <w:p w:rsidR="00000000" w:rsidDel="00000000" w:rsidP="00000000" w:rsidRDefault="00000000" w:rsidRPr="00000000" w14:paraId="00000021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0" w:bottomFromText="0" w:vertAnchor="page" w:horzAnchor="margin" w:tblpXSpec="center" w:tblpY="3517"/>
        <w:tblW w:w="9776.000000000002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328"/>
        <w:gridCol w:w="1077"/>
        <w:gridCol w:w="1276"/>
        <w:gridCol w:w="1276"/>
        <w:gridCol w:w="1275"/>
        <w:gridCol w:w="1276"/>
        <w:gridCol w:w="1418"/>
        <w:gridCol w:w="850"/>
        <w:tblGridChange w:id="0">
          <w:tblGrid>
            <w:gridCol w:w="1328"/>
            <w:gridCol w:w="1077"/>
            <w:gridCol w:w="1276"/>
            <w:gridCol w:w="1276"/>
            <w:gridCol w:w="1275"/>
            <w:gridCol w:w="1276"/>
            <w:gridCol w:w="1418"/>
            <w:gridCol w:w="850"/>
          </w:tblGrid>
        </w:tblGridChange>
      </w:tblGrid>
      <w:tr>
        <w:trPr>
          <w:cantSplit w:val="0"/>
          <w:trHeight w:val="415" w:hRule="atLeast"/>
          <w:tblHeader w:val="0"/>
        </w:trPr>
        <w:tc>
          <w:tcPr>
            <w:gridSpan w:val="8"/>
            <w:vAlign w:val="center"/>
          </w:tcPr>
          <w:p w:rsidR="00000000" w:rsidDel="00000000" w:rsidP="00000000" w:rsidRDefault="00000000" w:rsidRPr="00000000" w14:paraId="00000022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Plan de Trabajo</w:t>
            </w:r>
          </w:p>
        </w:tc>
      </w:tr>
      <w:tr>
        <w:trPr>
          <w:cantSplit w:val="0"/>
          <w:trHeight w:val="71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Competencia o unidades de competencias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Actividades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Recursos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Duración de la actividad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Responsable</w:t>
            </w: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vertAlign w:val="superscript"/>
              </w:rPr>
              <w:footnoteReference w:customMarkFollows="0" w:id="0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Observaciones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Estado de avance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Ajustes</w:t>
            </w:r>
          </w:p>
        </w:tc>
      </w:tr>
      <w:tr>
        <w:trPr>
          <w:cantSplit w:val="0"/>
          <w:trHeight w:val="2410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Gobernanza de Proyectos TI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Elaboración de la Matriz RACI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Nombra los recursos necesarios para llevar a cabo las actividades definidas.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Señala la duración de cada actividad.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Escribe el nombre del integrante del equipo responsable de cada actividad.</w:t>
            </w:r>
          </w:p>
        </w:tc>
        <w:tc>
          <w:tcPr/>
          <w:p w:rsidR="00000000" w:rsidDel="00000000" w:rsidP="00000000" w:rsidRDefault="00000000" w:rsidRPr="00000000" w14:paraId="00000037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Señala las dificultades o facilitadores que se podrían presentar durante la ejecución de cada una de las actividades propuestas.</w:t>
            </w:r>
          </w:p>
        </w:tc>
        <w:tc>
          <w:tcPr/>
          <w:p w:rsidR="00000000" w:rsidDel="00000000" w:rsidP="00000000" w:rsidRDefault="00000000" w:rsidRPr="00000000" w14:paraId="00000038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Describe el estado de avance de cada actividad.</w:t>
            </w:r>
          </w:p>
          <w:p w:rsidR="00000000" w:rsidDel="00000000" w:rsidP="00000000" w:rsidRDefault="00000000" w:rsidRPr="00000000" w14:paraId="00000039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c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Tipos de estado: </w:t>
            </w:r>
          </w:p>
          <w:p w:rsidR="00000000" w:rsidDel="00000000" w:rsidP="00000000" w:rsidRDefault="00000000" w:rsidRPr="00000000" w14:paraId="0000003B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c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En curso/ Con retraso/ No iniciado/ Completado/ Ajustada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c00000"/>
                <w:sz w:val="16"/>
                <w:szCs w:val="16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3C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Señala los ajustes o reformulaciones que has realizado. </w:t>
            </w:r>
          </w:p>
        </w:tc>
      </w:tr>
    </w:tbl>
    <w:p w:rsidR="00000000" w:rsidDel="00000000" w:rsidP="00000000" w:rsidRDefault="00000000" w:rsidRPr="00000000" w14:paraId="0000003D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498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3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3. Ajustes a partir del monitoreo 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Profundiza en las observaciones de tu plan de trabajo. Analiza las actividades planificadas y señala qué aspectos facilitaron u obstaculizaron la ejecución del plan. Plantea cómo abordaste y/o abordarás los obstáculos. Por último, señala los ajustes que realizaste al plan de trabajo a partir de este análisis.</w:t>
            </w:r>
          </w:p>
        </w:tc>
      </w:tr>
    </w:tbl>
    <w:p w:rsidR="00000000" w:rsidDel="00000000" w:rsidP="00000000" w:rsidRDefault="00000000" w:rsidRPr="00000000" w14:paraId="00000045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pPr w:leftFromText="180" w:rightFromText="180" w:topFromText="0" w:bottomFromText="0" w:vertAnchor="text" w:horzAnchor="text" w:tblpX="-572" w:tblpY="1"/>
        <w:tblW w:w="949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6"/>
        <w:tblGridChange w:id="0">
          <w:tblGrid>
            <w:gridCol w:w="9496"/>
          </w:tblGrid>
        </w:tblGridChange>
      </w:tblGrid>
      <w:tr>
        <w:trPr>
          <w:cantSplit w:val="0"/>
          <w:trHeight w:val="19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6">
            <w:pPr>
              <w:jc w:val="both"/>
              <w:rPr>
                <w:b w:val="1"/>
                <w:b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Factores que han facilitado y/o dificultado el desarrollo de mi plan de trabajo</w:t>
            </w:r>
            <w:r w:rsidDel="00000000" w:rsidR="00000000" w:rsidRPr="00000000">
              <w:rPr>
                <w:rFonts w:ascii="Calibri" w:cs="Calibri" w:eastAsia="Calibri" w:hAnsi="Calibri"/>
                <w:color w:val="548dd4"/>
                <w:sz w:val="20"/>
                <w:szCs w:val="20"/>
                <w:rtl w:val="0"/>
              </w:rPr>
              <w:t xml:space="preserve">: </w:t>
            </w:r>
            <w:r w:rsidDel="00000000" w:rsidR="00000000" w:rsidRPr="00000000">
              <w:rPr>
                <w:b w:val="1"/>
                <w:bCs w:val="1"/>
                <w:color w:val="548dd4"/>
                <w:sz w:val="20"/>
                <w:szCs w:val="20"/>
                <w:rtl w:val="0"/>
              </w:rPr>
              <w:t xml:space="preserve">Factores Facilitadores:</w:t>
            </w:r>
          </w:p>
          <w:p w:rsidR="00000000" w:rsidDel="00000000" w:rsidP="00000000" w:rsidRDefault="00000000" w:rsidRPr="00000000" w14:paraId="00000047">
            <w:pPr>
              <w:numPr>
                <w:ilvl w:val="0"/>
                <w:numId w:val="5"/>
              </w:numPr>
              <w:spacing w:after="0" w:afterAutospacing="0" w:before="240" w:lineRule="auto"/>
              <w:ind w:left="720" w:hanging="360"/>
              <w:rPr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548dd4"/>
                <w:sz w:val="20"/>
                <w:szCs w:val="20"/>
                <w:rtl w:val="0"/>
              </w:rPr>
              <w:t xml:space="preserve">Stack tecnológico compatible:</w:t>
            </w:r>
            <w:r w:rsidDel="00000000" w:rsidR="00000000" w:rsidRPr="00000000">
              <w:rPr>
                <w:color w:val="548dd4"/>
                <w:sz w:val="20"/>
                <w:szCs w:val="20"/>
                <w:rtl w:val="0"/>
              </w:rPr>
              <w:t xml:space="preserve"> La combinación de Django con Supabase facilitó la creación rápida del modelo de datos y la gestión de usuarios por roles.</w:t>
            </w:r>
          </w:p>
          <w:p w:rsidR="00000000" w:rsidDel="00000000" w:rsidP="00000000" w:rsidRDefault="00000000" w:rsidRPr="00000000" w14:paraId="00000048">
            <w:pPr>
              <w:numPr>
                <w:ilvl w:val="0"/>
                <w:numId w:val="5"/>
              </w:numPr>
              <w:spacing w:after="0" w:afterAutospacing="0" w:before="0" w:beforeAutospacing="0" w:lineRule="auto"/>
              <w:ind w:left="720" w:hanging="360"/>
              <w:rPr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548dd4"/>
                <w:sz w:val="20"/>
                <w:szCs w:val="20"/>
                <w:rtl w:val="0"/>
              </w:rPr>
              <w:t xml:space="preserve">Gobernanza clara:</w:t>
            </w:r>
            <w:r w:rsidDel="00000000" w:rsidR="00000000" w:rsidRPr="00000000">
              <w:rPr>
                <w:color w:val="548dd4"/>
                <w:sz w:val="20"/>
                <w:szCs w:val="20"/>
                <w:rtl w:val="0"/>
              </w:rPr>
              <w:t xml:space="preserve"> Contar con la Matriz RACI evitó cruces de trabajo y permitió que cada integrante supiera exactamente qué documento o módulo debía liderar.</w:t>
            </w:r>
          </w:p>
          <w:p w:rsidR="00000000" w:rsidDel="00000000" w:rsidP="00000000" w:rsidRDefault="00000000" w:rsidRPr="00000000" w14:paraId="00000049">
            <w:pPr>
              <w:numPr>
                <w:ilvl w:val="0"/>
                <w:numId w:val="5"/>
              </w:numPr>
              <w:spacing w:after="240" w:before="0" w:beforeAutospacing="0" w:lineRule="auto"/>
              <w:ind w:left="720" w:hanging="360"/>
              <w:rPr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548dd4"/>
                <w:sz w:val="20"/>
                <w:szCs w:val="20"/>
                <w:rtl w:val="0"/>
              </w:rPr>
              <w:t xml:space="preserve">Claridad en el alcance:</w:t>
            </w:r>
            <w:r w:rsidDel="00000000" w:rsidR="00000000" w:rsidRPr="00000000">
              <w:rPr>
                <w:color w:val="548dd4"/>
                <w:sz w:val="20"/>
                <w:szCs w:val="20"/>
                <w:rtl w:val="0"/>
              </w:rPr>
              <w:t xml:space="preserve"> Tener bien definidos los 5 roles del sistema y los 12 casos de uso agilizó la redacción del DAS y el diseño de los procesos.</w:t>
            </w:r>
          </w:p>
          <w:p w:rsidR="00000000" w:rsidDel="00000000" w:rsidP="00000000" w:rsidRDefault="00000000" w:rsidRPr="00000000" w14:paraId="0000004A">
            <w:pPr>
              <w:jc w:val="both"/>
              <w:rPr>
                <w:b w:val="1"/>
                <w:b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548dd4"/>
                <w:sz w:val="20"/>
                <w:szCs w:val="20"/>
                <w:rtl w:val="0"/>
              </w:rPr>
              <w:t xml:space="preserve">Factores Dificultadores y Acciones Tomadas:</w:t>
            </w:r>
          </w:p>
          <w:p w:rsidR="00000000" w:rsidDel="00000000" w:rsidP="00000000" w:rsidRDefault="00000000" w:rsidRPr="00000000" w14:paraId="0000004B">
            <w:pPr>
              <w:numPr>
                <w:ilvl w:val="0"/>
                <w:numId w:val="2"/>
              </w:numPr>
              <w:spacing w:after="0" w:afterAutospacing="0" w:before="240" w:lineRule="auto"/>
              <w:ind w:left="720" w:hanging="360"/>
              <w:rPr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548dd4"/>
                <w:sz w:val="20"/>
                <w:szCs w:val="20"/>
                <w:rtl w:val="0"/>
              </w:rPr>
              <w:t xml:space="preserve">Cumplimiento de la Ley 21.719:</w:t>
            </w:r>
            <w:r w:rsidDel="00000000" w:rsidR="00000000" w:rsidRPr="00000000">
              <w:rPr>
                <w:color w:val="548dd4"/>
                <w:sz w:val="20"/>
                <w:szCs w:val="20"/>
                <w:rtl w:val="0"/>
              </w:rPr>
              <w:t xml:space="preserve"> Asegurar el anonimato en reclamos y la privacidad en denuncias requirió un diseño cuidadoso en la base de datos.</w:t>
            </w:r>
          </w:p>
          <w:p w:rsidR="00000000" w:rsidDel="00000000" w:rsidP="00000000" w:rsidRDefault="00000000" w:rsidRPr="00000000" w14:paraId="0000004C">
            <w:pPr>
              <w:numPr>
                <w:ilvl w:val="1"/>
                <w:numId w:val="2"/>
              </w:numPr>
              <w:spacing w:after="0" w:afterAutospacing="0" w:before="0" w:beforeAutospacing="0" w:lineRule="auto"/>
              <w:ind w:left="1440" w:hanging="360"/>
              <w:rPr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Acción tomada:</w:t>
            </w:r>
            <w:r w:rsidDel="00000000" w:rsidR="00000000" w:rsidRPr="00000000">
              <w:rPr>
                <w:color w:val="548dd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color w:val="548dd4"/>
                <w:sz w:val="20"/>
                <w:szCs w:val="20"/>
                <w:highlight w:val="white"/>
                <w:rtl w:val="0"/>
              </w:rPr>
              <w:t xml:space="preserve">Se modificó la estructura para que en reclamos anónimos el campo </w:t>
            </w:r>
            <w:r w:rsidDel="00000000" w:rsidR="00000000" w:rsidRPr="00000000">
              <w:rPr>
                <w:rFonts w:ascii="Roboto Mono" w:cs="Roboto Mono" w:eastAsia="Roboto Mono" w:hAnsi="Roboto Mono"/>
                <w:color w:val="548dd4"/>
                <w:sz w:val="20"/>
                <w:szCs w:val="20"/>
                <w:highlight w:val="white"/>
                <w:rtl w:val="0"/>
              </w:rPr>
              <w:t xml:space="preserve">user_id</w:t>
            </w:r>
            <w:r w:rsidDel="00000000" w:rsidR="00000000" w:rsidRPr="00000000">
              <w:rPr>
                <w:color w:val="548dd4"/>
                <w:sz w:val="20"/>
                <w:szCs w:val="20"/>
                <w:highlight w:val="white"/>
                <w:rtl w:val="0"/>
              </w:rPr>
              <w:t xml:space="preserve"> quede nulo (</w:t>
            </w:r>
            <w:r w:rsidDel="00000000" w:rsidR="00000000" w:rsidRPr="00000000">
              <w:rPr>
                <w:rFonts w:ascii="Roboto Mono" w:cs="Roboto Mono" w:eastAsia="Roboto Mono" w:hAnsi="Roboto Mono"/>
                <w:color w:val="548dd4"/>
                <w:sz w:val="20"/>
                <w:szCs w:val="20"/>
                <w:highlight w:val="white"/>
                <w:rtl w:val="0"/>
              </w:rPr>
              <w:t xml:space="preserve">SC-12</w:t>
            </w:r>
            <w:r w:rsidDel="00000000" w:rsidR="00000000" w:rsidRPr="00000000">
              <w:rPr>
                <w:color w:val="548dd4"/>
                <w:sz w:val="20"/>
                <w:szCs w:val="20"/>
                <w:highlight w:val="white"/>
                <w:rtl w:val="0"/>
              </w:rPr>
              <w:t xml:space="preserve">), y se agregó la tabla </w:t>
            </w:r>
            <w:r w:rsidDel="00000000" w:rsidR="00000000" w:rsidRPr="00000000">
              <w:rPr>
                <w:rFonts w:ascii="Roboto Mono" w:cs="Roboto Mono" w:eastAsia="Roboto Mono" w:hAnsi="Roboto Mono"/>
                <w:color w:val="548dd4"/>
                <w:sz w:val="20"/>
                <w:szCs w:val="20"/>
                <w:highlight w:val="white"/>
                <w:rtl w:val="0"/>
              </w:rPr>
              <w:t xml:space="preserve">audit_auditlog</w:t>
            </w:r>
            <w:r w:rsidDel="00000000" w:rsidR="00000000" w:rsidRPr="00000000">
              <w:rPr>
                <w:color w:val="548dd4"/>
                <w:sz w:val="20"/>
                <w:szCs w:val="20"/>
                <w:highlight w:val="white"/>
                <w:rtl w:val="0"/>
              </w:rPr>
              <w:t xml:space="preserve"> (</w:t>
            </w:r>
            <w:r w:rsidDel="00000000" w:rsidR="00000000" w:rsidRPr="00000000">
              <w:rPr>
                <w:rFonts w:ascii="Roboto Mono" w:cs="Roboto Mono" w:eastAsia="Roboto Mono" w:hAnsi="Roboto Mono"/>
                <w:color w:val="548dd4"/>
                <w:sz w:val="20"/>
                <w:szCs w:val="20"/>
                <w:highlight w:val="white"/>
                <w:rtl w:val="0"/>
              </w:rPr>
              <w:t xml:space="preserve">SC-24</w:t>
            </w:r>
            <w:r w:rsidDel="00000000" w:rsidR="00000000" w:rsidRPr="00000000">
              <w:rPr>
                <w:color w:val="548dd4"/>
                <w:sz w:val="20"/>
                <w:szCs w:val="20"/>
                <w:highlight w:val="white"/>
                <w:rtl w:val="0"/>
              </w:rPr>
              <w:t xml:space="preserve">) para registrar accesos de forma inalterable.</w:t>
            </w:r>
          </w:p>
          <w:p w:rsidR="00000000" w:rsidDel="00000000" w:rsidP="00000000" w:rsidRDefault="00000000" w:rsidRPr="00000000" w14:paraId="0000004D">
            <w:pPr>
              <w:numPr>
                <w:ilvl w:val="0"/>
                <w:numId w:val="2"/>
              </w:numPr>
              <w:spacing w:after="0" w:afterAutospacing="0" w:before="0" w:beforeAutospacing="0" w:lineRule="auto"/>
              <w:ind w:left="720" w:hanging="360"/>
              <w:rPr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548dd4"/>
                <w:sz w:val="20"/>
                <w:szCs w:val="20"/>
                <w:highlight w:val="white"/>
                <w:rtl w:val="0"/>
              </w:rPr>
              <w:t xml:space="preserve">Respuestas abiertas del motor de IA:</w:t>
            </w:r>
            <w:r w:rsidDel="00000000" w:rsidR="00000000" w:rsidRPr="00000000">
              <w:rPr>
                <w:color w:val="548dd4"/>
                <w:sz w:val="20"/>
                <w:szCs w:val="20"/>
                <w:highlight w:val="white"/>
                <w:rtl w:val="0"/>
              </w:rPr>
              <w:t xml:space="preserve"> La IA podía generar respuestas imprecisas si no se acotaba su </w:t>
            </w:r>
            <w:r w:rsidDel="00000000" w:rsidR="00000000" w:rsidRPr="00000000">
              <w:rPr>
                <w:color w:val="548dd4"/>
                <w:sz w:val="20"/>
                <w:szCs w:val="20"/>
                <w:rtl w:val="0"/>
              </w:rPr>
              <w:t xml:space="preserve">contexto.</w:t>
            </w:r>
          </w:p>
          <w:p w:rsidR="00000000" w:rsidDel="00000000" w:rsidP="00000000" w:rsidRDefault="00000000" w:rsidRPr="00000000" w14:paraId="0000004E">
            <w:pPr>
              <w:numPr>
                <w:ilvl w:val="1"/>
                <w:numId w:val="2"/>
              </w:numPr>
              <w:spacing w:after="0" w:afterAutospacing="0" w:before="0" w:beforeAutospacing="0" w:lineRule="auto"/>
              <w:ind w:left="1440" w:hanging="360"/>
              <w:rPr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Acción tomada:</w:t>
            </w:r>
            <w:r w:rsidDel="00000000" w:rsidR="00000000" w:rsidRPr="00000000">
              <w:rPr>
                <w:color w:val="548dd4"/>
                <w:sz w:val="20"/>
                <w:szCs w:val="20"/>
                <w:rtl w:val="0"/>
              </w:rPr>
              <w:t xml:space="preserve"> Se configuró la tabla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ai_engine_airule</w:t>
            </w:r>
            <w:r w:rsidDel="00000000" w:rsidR="00000000" w:rsidRPr="00000000">
              <w:rPr>
                <w:color w:val="548dd4"/>
                <w:sz w:val="20"/>
                <w:szCs w:val="20"/>
                <w:rtl w:val="0"/>
              </w:rPr>
              <w:t xml:space="preserve"> para trabajar con plantillas fijas y se definió que la IA solo sugiere respuestas, requiriendo siempre la aprobación final del coordinador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SC-07</w:t>
            </w:r>
            <w:r w:rsidDel="00000000" w:rsidR="00000000" w:rsidRPr="00000000">
              <w:rPr>
                <w:color w:val="548dd4"/>
                <w:sz w:val="20"/>
                <w:szCs w:val="20"/>
                <w:rtl w:val="0"/>
              </w:rPr>
              <w:t xml:space="preserve">).</w:t>
            </w:r>
          </w:p>
          <w:p w:rsidR="00000000" w:rsidDel="00000000" w:rsidP="00000000" w:rsidRDefault="00000000" w:rsidRPr="00000000" w14:paraId="0000004F">
            <w:pPr>
              <w:numPr>
                <w:ilvl w:val="0"/>
                <w:numId w:val="2"/>
              </w:numPr>
              <w:spacing w:after="0" w:afterAutospacing="0" w:before="0" w:beforeAutospacing="0" w:lineRule="auto"/>
              <w:ind w:left="720" w:hanging="360"/>
              <w:rPr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548dd4"/>
                <w:sz w:val="20"/>
                <w:szCs w:val="20"/>
                <w:rtl w:val="0"/>
              </w:rPr>
              <w:t xml:space="preserve">Demora en credenciales SMTP:</w:t>
            </w:r>
            <w:r w:rsidDel="00000000" w:rsidR="00000000" w:rsidRPr="00000000">
              <w:rPr>
                <w:color w:val="548dd4"/>
                <w:sz w:val="20"/>
                <w:szCs w:val="20"/>
                <w:rtl w:val="0"/>
              </w:rPr>
              <w:t xml:space="preserve"> Hubo un retraso en la entrega de las credenciales del servidor de correos institucional para pruebas.</w:t>
            </w:r>
          </w:p>
          <w:p w:rsidR="00000000" w:rsidDel="00000000" w:rsidP="00000000" w:rsidRDefault="00000000" w:rsidRPr="00000000" w14:paraId="00000050">
            <w:pPr>
              <w:numPr>
                <w:ilvl w:val="1"/>
                <w:numId w:val="2"/>
              </w:numPr>
              <w:spacing w:after="240" w:before="0" w:beforeAutospacing="0" w:lineRule="auto"/>
              <w:ind w:left="1440" w:hanging="360"/>
              <w:rPr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Acción tomada:</w:t>
            </w:r>
            <w:r w:rsidDel="00000000" w:rsidR="00000000" w:rsidRPr="00000000">
              <w:rPr>
                <w:color w:val="548dd4"/>
                <w:sz w:val="20"/>
                <w:szCs w:val="20"/>
                <w:rtl w:val="0"/>
              </w:rPr>
              <w:t xml:space="preserve"> Implementamos un entorno de correo emulado en consola local para seguir programando las notificaciones sin detener el avance del proyecto.</w:t>
            </w:r>
          </w:p>
          <w:p w:rsidR="00000000" w:rsidDel="00000000" w:rsidP="00000000" w:rsidRDefault="00000000" w:rsidRPr="00000000" w14:paraId="00000051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pPr w:leftFromText="180" w:rightFromText="180" w:topFromText="0" w:bottomFromText="0" w:vertAnchor="text" w:horzAnchor="text" w:tblpX="-572" w:tblpY="107"/>
        <w:tblW w:w="9493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3"/>
        <w:tblGridChange w:id="0">
          <w:tblGrid>
            <w:gridCol w:w="9493"/>
          </w:tblGrid>
        </w:tblGridChange>
      </w:tblGrid>
      <w:tr>
        <w:trPr>
          <w:cantSplit w:val="0"/>
          <w:trHeight w:val="19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8">
            <w:pPr>
              <w:jc w:val="both"/>
              <w:rPr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Actividades ajustadas o eliminadas: </w:t>
            </w:r>
            <w:r w:rsidDel="00000000" w:rsidR="00000000" w:rsidRPr="00000000">
              <w:rPr>
                <w:color w:val="1f3864"/>
                <w:rtl w:val="0"/>
              </w:rPr>
              <w:t xml:space="preserve">No se eliminó ninguna funcionalidad ni actividad del alcance original del proyecto. Los únicos ajustes realizados fueron de control técnico y seguridad, registrados formalmente en la Matriz de Control de Cambios:</w:t>
            </w:r>
          </w:p>
          <w:p w:rsidR="00000000" w:rsidDel="00000000" w:rsidP="00000000" w:rsidRDefault="00000000" w:rsidRPr="00000000" w14:paraId="00000059">
            <w:pPr>
              <w:numPr>
                <w:ilvl w:val="0"/>
                <w:numId w:val="1"/>
              </w:numPr>
              <w:spacing w:after="0" w:afterAutospacing="0" w:before="240" w:lineRule="auto"/>
              <w:ind w:left="720" w:hanging="360"/>
              <w:rPr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SC-07:</w:t>
            </w:r>
            <w:r w:rsidDel="00000000" w:rsidR="00000000" w:rsidRPr="00000000">
              <w:rPr>
                <w:color w:val="1f3864"/>
                <w:rtl w:val="0"/>
              </w:rPr>
              <w:t xml:space="preserve"> Ajuste al flujo de IA para exigir revisión humana del coordinador antes de responder al alumno.</w:t>
            </w:r>
          </w:p>
          <w:p w:rsidR="00000000" w:rsidDel="00000000" w:rsidP="00000000" w:rsidRDefault="00000000" w:rsidRPr="00000000" w14:paraId="0000005A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rPr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SC-12:</w:t>
            </w:r>
            <w:r w:rsidDel="00000000" w:rsidR="00000000" w:rsidRPr="00000000">
              <w:rPr>
                <w:color w:val="1f3864"/>
                <w:rtl w:val="0"/>
              </w:rPr>
              <w:t xml:space="preserve"> Ajuste a la base de datos en Supabase para desvincular la identidad del estudiante en los reclamos anónimos.</w:t>
            </w:r>
          </w:p>
          <w:p w:rsidR="00000000" w:rsidDel="00000000" w:rsidP="00000000" w:rsidRDefault="00000000" w:rsidRPr="00000000" w14:paraId="0000005B">
            <w:pPr>
              <w:numPr>
                <w:ilvl w:val="0"/>
                <w:numId w:val="1"/>
              </w:numPr>
              <w:spacing w:after="240" w:before="0" w:beforeAutospacing="0" w:lineRule="auto"/>
              <w:ind w:left="720" w:hanging="360"/>
              <w:rPr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SC-24:</w:t>
            </w:r>
            <w:r w:rsidDel="00000000" w:rsidR="00000000" w:rsidRPr="00000000">
              <w:rPr>
                <w:color w:val="1f3864"/>
                <w:rtl w:val="0"/>
              </w:rPr>
              <w:t xml:space="preserve"> Incorporación anticipada de la tabla de auditoría para registrar marcas de tiempo e IP desde la etapa de desarrollo.</w:t>
            </w:r>
          </w:p>
          <w:p w:rsidR="00000000" w:rsidDel="00000000" w:rsidP="00000000" w:rsidRDefault="00000000" w:rsidRPr="00000000" w14:paraId="0000005C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c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4">
      <w:pPr>
        <w:spacing w:after="0" w:line="240" w:lineRule="auto"/>
        <w:jc w:val="both"/>
        <w:rPr>
          <w:rFonts w:ascii="Calibri" w:cs="Calibri" w:eastAsia="Calibri" w:hAnsi="Calibri"/>
          <w:i w:val="1"/>
          <w:iCs w:val="1"/>
          <w:color w:val="548dd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line="240" w:lineRule="auto"/>
        <w:jc w:val="both"/>
        <w:rPr>
          <w:rFonts w:ascii="Calibri" w:cs="Calibri" w:eastAsia="Calibri" w:hAnsi="Calibri"/>
          <w:i w:val="1"/>
          <w:iCs w:val="1"/>
          <w:color w:val="548dd4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498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rHeight w:val="196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6">
            <w:pPr>
              <w:jc w:val="both"/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Actividades que no has iniciado o están retrasadas: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Actividad con retraso (Servicio de notificaciones SMTP):</w:t>
            </w:r>
          </w:p>
          <w:p w:rsidR="00000000" w:rsidDel="00000000" w:rsidP="00000000" w:rsidRDefault="00000000" w:rsidRPr="00000000" w14:paraId="00000067">
            <w:pPr>
              <w:numPr>
                <w:ilvl w:val="0"/>
                <w:numId w:val="4"/>
              </w:numPr>
              <w:spacing w:after="0" w:afterAutospacing="0" w:before="240" w:lineRule="auto"/>
              <w:ind w:left="720" w:hanging="360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Motivo:</w:t>
            </w: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Demora externa en la asignación de puertos y credenciales de pruebas SMTP.</w:t>
            </w:r>
          </w:p>
          <w:p w:rsidR="00000000" w:rsidDel="00000000" w:rsidP="00000000" w:rsidRDefault="00000000" w:rsidRPr="00000000" w14:paraId="00000068">
            <w:pPr>
              <w:numPr>
                <w:ilvl w:val="0"/>
                <w:numId w:val="4"/>
              </w:numPr>
              <w:spacing w:after="240" w:before="0" w:beforeAutospacing="0" w:lineRule="auto"/>
              <w:ind w:left="720" w:hanging="360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Estrategia:</w:t>
            </w: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La lógica de envío ya está 100% construida en Django. Una vez entregadas las credenciales, la integración tomará un par de horas y no afectará el calendario general.</w:t>
            </w:r>
          </w:p>
          <w:p w:rsidR="00000000" w:rsidDel="00000000" w:rsidP="00000000" w:rsidRDefault="00000000" w:rsidRPr="00000000" w14:paraId="00000069">
            <w:pPr>
              <w:jc w:val="both"/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Actividades no iniciadas (Pruebas de carga, seguridad y despliegue final):</w:t>
            </w:r>
          </w:p>
          <w:p w:rsidR="00000000" w:rsidDel="00000000" w:rsidP="00000000" w:rsidRDefault="00000000" w:rsidRPr="00000000" w14:paraId="0000006A">
            <w:pPr>
              <w:numPr>
                <w:ilvl w:val="0"/>
                <w:numId w:val="6"/>
              </w:numPr>
              <w:spacing w:after="0" w:afterAutospacing="0" w:before="240" w:lineRule="auto"/>
              <w:ind w:left="720" w:hanging="360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Motivo:</w:t>
            </w: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Están planificadas para las etapas finales del proyecto.</w:t>
            </w:r>
          </w:p>
          <w:p w:rsidR="00000000" w:rsidDel="00000000" w:rsidP="00000000" w:rsidRDefault="00000000" w:rsidRPr="00000000" w14:paraId="0000006B">
            <w:pPr>
              <w:numPr>
                <w:ilvl w:val="0"/>
                <w:numId w:val="6"/>
              </w:numPr>
              <w:spacing w:after="240" w:before="0" w:beforeAutospacing="0" w:lineRule="auto"/>
              <w:ind w:left="720" w:hanging="360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Estrategia:</w:t>
            </w: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Se abordarán según el cronograma una vez que concluya la integración del motor de IA y las vistas principales del frontend.</w:t>
            </w:r>
          </w:p>
          <w:p w:rsidR="00000000" w:rsidDel="00000000" w:rsidP="00000000" w:rsidRDefault="00000000" w:rsidRPr="00000000" w14:paraId="0000006C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sectPr>
      <w:headerReference r:id="rId9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entury Gothic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 En caso de que el Proyecto APT sea grupal, en esta columna deben indicar el nombre de los responsables de cada tarea o actividad. Esto posteriormente permitirá diferenciar la evaluación por cada integrante.</w:t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595959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170.0" w:type="dxa"/>
      <w:jc w:val="left"/>
      <w:tblInd w:w="-709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954"/>
      <w:gridCol w:w="4216"/>
      <w:tblGridChange w:id="0">
        <w:tblGrid>
          <w:gridCol w:w="5954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7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Guía Estudiante - Desarrollo Proyecto APT </w:t>
          </w:r>
        </w:p>
        <w:p w:rsidR="00000000" w:rsidDel="00000000" w:rsidP="00000000" w:rsidRDefault="00000000" w:rsidRPr="00000000" w14:paraId="00000078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9">
          <w:pPr>
            <w:jc w:val="center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29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3Car" w:customStyle="1">
    <w:name w:val="Título 3 Car"/>
    <w:basedOn w:val="Fuentedeprrafopredeter"/>
    <w:link w:val="Ttulo3"/>
    <w:uiPriority w:val="9"/>
    <w:rsid w:val="0003309E"/>
    <w:rPr>
      <w:rFonts w:asciiTheme="majorHAnsi" w:cstheme="majorBidi" w:eastAsiaTheme="majorEastAsia" w:hAnsiTheme="majorHAnsi"/>
      <w:color w:val="1f3763" w:themeColor="accent1" w:themeShade="00007F"/>
    </w:rPr>
  </w:style>
  <w:style w:type="table" w:styleId="Tablaconcuadrcula">
    <w:name w:val="Table Grid"/>
    <w:basedOn w:val="Tablanormal"/>
    <w:uiPriority w:val="39"/>
    <w:rsid w:val="0003309E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iedepgina">
    <w:name w:val="footer"/>
    <w:basedOn w:val="Normal"/>
    <w:link w:val="PiedepginaCar"/>
    <w:uiPriority w:val="99"/>
    <w:unhideWhenUsed w:val="1"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03309E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03309E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03309E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03309E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 w:val="1"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586C9C"/>
    <w:rPr>
      <w:sz w:val="22"/>
      <w:szCs w:val="22"/>
    </w:rPr>
  </w:style>
  <w:style w:type="table" w:styleId="Tablaconcuadrcula1" w:customStyle="1">
    <w:name w:val="Tabla con cuadrícula1"/>
    <w:basedOn w:val="Tablanormal"/>
    <w:next w:val="Tablaconcuadrcula"/>
    <w:uiPriority w:val="39"/>
    <w:rsid w:val="00C44557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C5122E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C5122E"/>
    <w:rPr>
      <w:rFonts w:ascii="Segoe UI" w:cs="Segoe UI" w:hAnsi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9E52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 w:val="1"/>
    <w:unhideWhenUsed w:val="1"/>
    <w:rsid w:val="009E52DF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 w:val="1"/>
    <w:rsid w:val="009E52D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9E52DF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9E52DF"/>
    <w:rPr>
      <w:b w:val="1"/>
      <w:bCs w:val="1"/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CenturyGothic-regular.ttf"/><Relationship Id="rId6" Type="http://schemas.openxmlformats.org/officeDocument/2006/relationships/font" Target="fonts/CenturyGothic-bold.ttf"/><Relationship Id="rId7" Type="http://schemas.openxmlformats.org/officeDocument/2006/relationships/font" Target="fonts/CenturyGothic-italic.ttf"/><Relationship Id="rId8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zjzcBNSvMY2k6lcLZ4LhvOznj/A==">CgMxLjAyDmguanhrcGNyaGwwNzY2OAByITF1NHVIRUUwRjBjbnEwWVdMbEdVQUt5Y3hjaHNCd1h4Sw==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2022-08-24T18:14:00Z</dcterms:created>
  <dc:creator>Cecilia Godoy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