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⛖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️ Clarity Legal Protection &amp; IP Strategy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🎯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Objective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ensure Clarity’s intellectual property, AI models, and brand are protected through patents, copyrights, trademarks, and NDAs, mitigating legal risks while securing competitive advantages.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🔐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Intellectual Property (IP) Protection Plan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Patents (For AI Model &amp; Unique Features)</w:t>
      </w:r>
    </w:p>
    <w:p w:rsidR="00726D7C" w:rsidRPr="00726D7C" w:rsidRDefault="00726D7C" w:rsidP="00726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Assess patentability of Clarity’s AI-powered contradiction detection.</w:t>
      </w:r>
    </w:p>
    <w:p w:rsidR="00726D7C" w:rsidRPr="00726D7C" w:rsidRDefault="00726D7C" w:rsidP="00726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If unique, file a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Provisional Patent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($75–$150) before public launch.</w:t>
      </w:r>
    </w:p>
    <w:p w:rsidR="00726D7C" w:rsidRPr="00726D7C" w:rsidRDefault="00726D7C" w:rsidP="00726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Convert to a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full patent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($10K–$20K) if viable &amp; competitive advantage is strong.</w:t>
      </w:r>
    </w:p>
    <w:p w:rsidR="00726D7C" w:rsidRPr="00726D7C" w:rsidRDefault="00726D7C" w:rsidP="00726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 AI methodology is protected—if not patentable, use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trade secrets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Copyrights (For Software, UI, &amp; AI Insights)</w:t>
      </w:r>
    </w:p>
    <w:p w:rsidR="00726D7C" w:rsidRPr="00726D7C" w:rsidRDefault="00726D7C" w:rsidP="00726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Copyright the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Clarity UI &amp; AI-generated research insights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($45–$65).</w:t>
      </w:r>
    </w:p>
    <w:p w:rsidR="00726D7C" w:rsidRPr="00726D7C" w:rsidRDefault="00726D7C" w:rsidP="00726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Protect proprietary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algorithms &amp; software code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under copyright law.</w:t>
      </w:r>
    </w:p>
    <w:p w:rsidR="00726D7C" w:rsidRPr="00726D7C" w:rsidRDefault="00726D7C" w:rsidP="00726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Automate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timestamping of AI-generated intelligence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legal protection.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Trademarks (For Brand &amp; Identity)</w:t>
      </w:r>
    </w:p>
    <w:p w:rsidR="00726D7C" w:rsidRPr="00726D7C" w:rsidRDefault="00726D7C" w:rsidP="00726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Trademark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“Clarity” brand name &amp; logo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($250–$350).</w:t>
      </w:r>
    </w:p>
    <w:p w:rsidR="00726D7C" w:rsidRPr="00726D7C" w:rsidRDefault="00726D7C" w:rsidP="00726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domain names &amp; social media handles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are secured early.</w:t>
      </w:r>
    </w:p>
    <w:p w:rsidR="00726D7C" w:rsidRPr="00726D7C" w:rsidRDefault="00726D7C" w:rsidP="00726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Protect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taglines, product names, and branding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prevent competitors from copying.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4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NDAs &amp; Legal Agreements</w:t>
      </w:r>
    </w:p>
    <w:p w:rsidR="00726D7C" w:rsidRPr="00726D7C" w:rsidRDefault="00726D7C" w:rsidP="00726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NDAs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before discussing Clarity with developers, testers, and partners.</w:t>
      </w:r>
    </w:p>
    <w:p w:rsidR="00726D7C" w:rsidRPr="00726D7C" w:rsidRDefault="00726D7C" w:rsidP="00726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Draft clear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Terms of Service (ToS) and Privacy Policy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limit liability.</w:t>
      </w:r>
    </w:p>
    <w:p w:rsidR="00726D7C" w:rsidRPr="00726D7C" w:rsidRDefault="00726D7C" w:rsidP="00726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Implement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Protection Policies (GDPR, CCPA compliant)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AI-collected data.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🚨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Legal Risk Mitigation Plan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Compliance &amp; Liability Reduction</w:t>
      </w:r>
    </w:p>
    <w:p w:rsidR="00726D7C" w:rsidRPr="00726D7C" w:rsidRDefault="00726D7C" w:rsidP="00726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Structure Clarity as a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neutral intelligence tool, not a news publisher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avoiding defamation risks.</w:t>
      </w:r>
    </w:p>
    <w:p w:rsidR="00726D7C" w:rsidRPr="00726D7C" w:rsidRDefault="00726D7C" w:rsidP="00726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verification layers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mitigate legal risks of misinformation detection.</w:t>
      </w:r>
    </w:p>
    <w:p w:rsidR="00726D7C" w:rsidRPr="00726D7C" w:rsidRDefault="00726D7C" w:rsidP="00726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Transparent AI disclosures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UI/ToS to prevent regulatory issues.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2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&amp; Privacy Protection</w:t>
      </w:r>
    </w:p>
    <w:p w:rsidR="00726D7C" w:rsidRPr="00726D7C" w:rsidRDefault="00726D7C" w:rsidP="00726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 AI models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do not store or leak sensitive user data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726D7C" w:rsidRPr="00726D7C" w:rsidRDefault="00726D7C" w:rsidP="00726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Anonymize data collection &amp; implement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secure cloud storage protocols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726D7C" w:rsidRPr="00726D7C" w:rsidRDefault="00726D7C" w:rsidP="00726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Regular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legal audits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maintain compliance with evolving AI regulations.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️⃣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Exit Strategy &amp; Defensive IP Positioning</w:t>
      </w:r>
    </w:p>
    <w:p w:rsidR="00726D7C" w:rsidRPr="00726D7C" w:rsidRDefault="00726D7C" w:rsidP="00726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Establish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licensing options for enterprise &amp; government clients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726D7C" w:rsidRPr="00726D7C" w:rsidRDefault="00726D7C" w:rsidP="00726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Prepare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IP portfolio for acquisition or investment rounds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(defensive patents).</w:t>
      </w:r>
    </w:p>
    <w:p w:rsidR="00726D7C" w:rsidRPr="00726D7C" w:rsidRDefault="00726D7C" w:rsidP="00726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Maintain trade secrets for proprietary AI techniques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patents are not feasible.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Execution Priorities</w:t>
      </w:r>
    </w:p>
    <w:p w:rsidR="00726D7C" w:rsidRPr="00726D7C" w:rsidRDefault="00726D7C" w:rsidP="00726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File provisional patent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(if AI method is unique) before MVP launch.</w:t>
      </w:r>
    </w:p>
    <w:p w:rsidR="00726D7C" w:rsidRPr="00726D7C" w:rsidRDefault="00726D7C" w:rsidP="00726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Trademark Clarity brand name &amp; logo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before public announcements.</w:t>
      </w:r>
    </w:p>
    <w:p w:rsidR="00726D7C" w:rsidRPr="00726D7C" w:rsidRDefault="00726D7C" w:rsidP="00726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 NDAs &amp; ToS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before sharing sensitive details externally.</w:t>
      </w:r>
    </w:p>
    <w:p w:rsidR="00726D7C" w:rsidRPr="00726D7C" w:rsidRDefault="00726D7C" w:rsidP="00726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 </w:t>
      </w:r>
      <w:r w:rsidRPr="00726D7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methodology is protected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through copyright, patents, or trade secrets.</w:t>
      </w:r>
    </w:p>
    <w:p w:rsidR="00726D7C" w:rsidRPr="00726D7C" w:rsidRDefault="00726D7C" w:rsidP="0072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726D7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Next Steps: Finalize legal strategy and implement protection measures in parallel with development. Let’s secure Clarity’s competitive advantage. </w:t>
      </w:r>
      <w:r w:rsidRPr="00726D7C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🔐</w:t>
      </w:r>
    </w:p>
    <w:p w:rsidR="0075613A" w:rsidRPr="00726D7C" w:rsidRDefault="0075613A" w:rsidP="00726D7C"/>
    <w:sectPr w:rsidR="0075613A" w:rsidRPr="00726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C728A"/>
    <w:multiLevelType w:val="multilevel"/>
    <w:tmpl w:val="DC46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C175F"/>
    <w:multiLevelType w:val="multilevel"/>
    <w:tmpl w:val="B520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93CD1"/>
    <w:multiLevelType w:val="multilevel"/>
    <w:tmpl w:val="DF5C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44A78"/>
    <w:multiLevelType w:val="multilevel"/>
    <w:tmpl w:val="2C701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32108"/>
    <w:multiLevelType w:val="multilevel"/>
    <w:tmpl w:val="D38E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240EAD"/>
    <w:multiLevelType w:val="multilevel"/>
    <w:tmpl w:val="6A6E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054D92"/>
    <w:multiLevelType w:val="multilevel"/>
    <w:tmpl w:val="4F82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030A42"/>
    <w:multiLevelType w:val="multilevel"/>
    <w:tmpl w:val="69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5943896">
    <w:abstractNumId w:val="3"/>
  </w:num>
  <w:num w:numId="2" w16cid:durableId="73824047">
    <w:abstractNumId w:val="6"/>
  </w:num>
  <w:num w:numId="3" w16cid:durableId="385762268">
    <w:abstractNumId w:val="0"/>
  </w:num>
  <w:num w:numId="4" w16cid:durableId="230359561">
    <w:abstractNumId w:val="2"/>
  </w:num>
  <w:num w:numId="5" w16cid:durableId="272247418">
    <w:abstractNumId w:val="4"/>
  </w:num>
  <w:num w:numId="6" w16cid:durableId="1650397253">
    <w:abstractNumId w:val="5"/>
  </w:num>
  <w:num w:numId="7" w16cid:durableId="513423630">
    <w:abstractNumId w:val="7"/>
  </w:num>
  <w:num w:numId="8" w16cid:durableId="733428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54C"/>
    <w:rsid w:val="00054D6E"/>
    <w:rsid w:val="002A554C"/>
    <w:rsid w:val="003D63DA"/>
    <w:rsid w:val="00726D7C"/>
    <w:rsid w:val="0075613A"/>
    <w:rsid w:val="00796986"/>
    <w:rsid w:val="008D235D"/>
    <w:rsid w:val="00C57B32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95834-3CDE-7D48-9E01-589FE6F99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5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5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5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5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54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5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A554C"/>
  </w:style>
  <w:style w:type="character" w:styleId="Strong">
    <w:name w:val="Strong"/>
    <w:basedOn w:val="DefaultParagraphFont"/>
    <w:uiPriority w:val="22"/>
    <w:qFormat/>
    <w:rsid w:val="002A55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93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8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402</Words>
  <Characters>2297</Characters>
  <Application>Microsoft Office Word</Application>
  <DocSecurity>0</DocSecurity>
  <Lines>19</Lines>
  <Paragraphs>5</Paragraphs>
  <ScaleCrop>false</ScaleCrop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2025-02-22T11:34:00Z</dcterms:created>
  <dcterms:modified xsi:type="dcterms:W3CDTF">2025-03-08T16:18:00Z</dcterms:modified>
</cp:coreProperties>
</file>