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Situation</w:t>
      </w:r>
      <w:r>
        <w:t xml:space="preserve"> </w:t>
      </w:r>
      <w:r>
        <w:t xml:space="preserve">épidémiologique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diarrhée</w:t>
      </w:r>
      <w:r>
        <w:t xml:space="preserve"> </w:t>
      </w:r>
      <w:r>
        <w:t xml:space="preserve">aiguë</w:t>
      </w:r>
      <w:r>
        <w:t xml:space="preserve"> </w:t>
      </w:r>
      <w:r>
        <w:t xml:space="preserve">après</w:t>
      </w:r>
      <w:r>
        <w:t xml:space="preserve"> </w:t>
      </w:r>
      <w:r>
        <w:t xml:space="preserve">l’ouragan</w:t>
      </w:r>
      <w:r>
        <w:t xml:space="preserve"> </w:t>
      </w:r>
      <w:r>
        <w:t xml:space="preserve">Matthew</w:t>
      </w:r>
    </w:p>
    <w:p>
      <w:pPr>
        <w:pStyle w:val="Subtitle"/>
      </w:pPr>
      <w:r>
        <w:t xml:space="preserve">Département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Grand’</w:t>
      </w:r>
      <w:r>
        <w:t xml:space="preserve"> </w:t>
      </w:r>
      <w:r>
        <w:t xml:space="preserve">Anse,</w:t>
      </w:r>
      <w:r>
        <w:t xml:space="preserve"> </w:t>
      </w:r>
      <w:r>
        <w:t xml:space="preserve">Haiti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Commune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UTC/CTC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Cas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Décès inst.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Décès comm.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décès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Abricots</w:t>
            </w:r>
          </w:p>
        </w:tc>
        <w:tc>
          <w:p>
            <w:pPr>
              <w:pStyle w:val="Compact"/>
              <w:jc w:val="left"/>
            </w:pPr>
            <w:r>
              <w:t xml:space="preserve">Bontemps</w:t>
            </w:r>
          </w:p>
        </w:tc>
        <w:tc>
          <w:p>
            <w:pPr>
              <w:pStyle w:val="Compact"/>
              <w:jc w:val="left"/>
            </w:pPr>
            <w:r>
              <w:t xml:space="preserve">5 (0.2)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Abricots</w:t>
            </w:r>
          </w:p>
        </w:tc>
        <w:tc>
          <w:p>
            <w:pPr>
              <w:pStyle w:val="Compact"/>
              <w:jc w:val="left"/>
            </w:pPr>
            <w:r>
              <w:t xml:space="preserve">SSPE des Abrcots</w:t>
            </w:r>
          </w:p>
        </w:tc>
        <w:tc>
          <w:p>
            <w:pPr>
              <w:pStyle w:val="Compact"/>
              <w:jc w:val="left"/>
            </w:pPr>
            <w:r>
              <w:t xml:space="preserve">67 (3.1)</w:t>
            </w:r>
          </w:p>
        </w:tc>
        <w:tc>
          <w:p>
            <w:pPr>
              <w:pStyle w:val="Compact"/>
              <w:jc w:val="left"/>
            </w:pPr>
            <w:r>
              <w:t xml:space="preserve">3 (4.8)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Anse-d'Hainault</w:t>
            </w:r>
          </w:p>
        </w:tc>
        <w:tc>
          <w:p>
            <w:pPr>
              <w:pStyle w:val="Compact"/>
              <w:jc w:val="left"/>
            </w:pPr>
            <w:r>
              <w:t xml:space="preserve">HCR Anse d'Hainault</w:t>
            </w:r>
          </w:p>
        </w:tc>
        <w:tc>
          <w:p>
            <w:pPr>
              <w:pStyle w:val="Compact"/>
              <w:jc w:val="left"/>
            </w:pPr>
            <w:r>
              <w:t xml:space="preserve">447 (20.6)</w:t>
            </w:r>
          </w:p>
        </w:tc>
        <w:tc>
          <w:p>
            <w:pPr>
              <w:pStyle w:val="Compact"/>
              <w:jc w:val="left"/>
            </w:pPr>
            <w:r>
              <w:t xml:space="preserve">10 (15.9)</w:t>
            </w:r>
          </w:p>
        </w:tc>
        <w:tc>
          <w:p>
            <w:pPr>
              <w:pStyle w:val="Compact"/>
              <w:jc w:val="left"/>
            </w:pPr>
            <w:r>
              <w:t xml:space="preserve">1 (11.1)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Anse-d'Hainault</w:t>
            </w:r>
          </w:p>
        </w:tc>
        <w:tc>
          <w:p>
            <w:pPr>
              <w:pStyle w:val="Compact"/>
              <w:jc w:val="left"/>
            </w:pPr>
            <w:r>
              <w:t xml:space="preserve">UTC Sicard</w:t>
            </w:r>
          </w:p>
        </w:tc>
        <w:tc>
          <w:p>
            <w:pPr>
              <w:pStyle w:val="Compact"/>
              <w:jc w:val="left"/>
            </w:pPr>
            <w:r>
              <w:t xml:space="preserve">1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Beaumont</w:t>
            </w:r>
          </w:p>
        </w:tc>
        <w:tc>
          <w:p>
            <w:pPr>
              <w:pStyle w:val="Compact"/>
              <w:jc w:val="left"/>
            </w:pPr>
            <w:r>
              <w:t xml:space="preserve">Citymed</w:t>
            </w:r>
          </w:p>
        </w:tc>
        <w:tc>
          <w:p>
            <w:pPr>
              <w:pStyle w:val="Compact"/>
              <w:jc w:val="left"/>
            </w:pPr>
            <w:r>
              <w:t xml:space="preserve">11 (0.5)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Bonbon</w:t>
            </w:r>
          </w:p>
        </w:tc>
        <w:tc>
          <w:p>
            <w:pPr>
              <w:pStyle w:val="Compact"/>
              <w:jc w:val="left"/>
            </w:pPr>
            <w:r>
              <w:t xml:space="preserve">Bonbon</w:t>
            </w:r>
          </w:p>
        </w:tc>
        <w:tc>
          <w:p>
            <w:pPr>
              <w:pStyle w:val="Compact"/>
              <w:jc w:val="left"/>
            </w:pPr>
            <w:r>
              <w:t xml:space="preserve">9 (0.4)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2 (22.2)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Chambellan</w:t>
            </w:r>
          </w:p>
        </w:tc>
        <w:tc>
          <w:p>
            <w:pPr>
              <w:pStyle w:val="Compact"/>
              <w:jc w:val="left"/>
            </w:pPr>
            <w:r>
              <w:t xml:space="preserve">Centre de santé de Chambellan</w:t>
            </w:r>
          </w:p>
        </w:tc>
        <w:tc>
          <w:p>
            <w:pPr>
              <w:pStyle w:val="Compact"/>
              <w:jc w:val="left"/>
            </w:pPr>
            <w:r>
              <w:t xml:space="preserve">134 (6.2)</w:t>
            </w:r>
          </w:p>
        </w:tc>
        <w:tc>
          <w:p>
            <w:pPr>
              <w:pStyle w:val="Compact"/>
              <w:jc w:val="left"/>
            </w:pPr>
            <w:r>
              <w:t xml:space="preserve">3 (4.8)</w:t>
            </w:r>
          </w:p>
        </w:tc>
        <w:tc>
          <w:p>
            <w:pPr>
              <w:pStyle w:val="Compact"/>
              <w:jc w:val="left"/>
            </w:pPr>
            <w:r>
              <w:t xml:space="preserve">1 (11.1)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Dame-Marie</w:t>
            </w:r>
          </w:p>
        </w:tc>
        <w:tc>
          <w:p>
            <w:pPr>
              <w:pStyle w:val="Compact"/>
              <w:jc w:val="left"/>
            </w:pPr>
            <w:r>
              <w:t xml:space="preserve">UTC Dame-Marie</w:t>
            </w:r>
          </w:p>
        </w:tc>
        <w:tc>
          <w:p>
            <w:pPr>
              <w:pStyle w:val="Compact"/>
              <w:jc w:val="left"/>
            </w:pPr>
            <w:r>
              <w:t xml:space="preserve">109 (5)</w:t>
            </w:r>
          </w:p>
        </w:tc>
        <w:tc>
          <w:p>
            <w:pPr>
              <w:pStyle w:val="Compact"/>
              <w:jc w:val="left"/>
            </w:pPr>
            <w:r>
              <w:t xml:space="preserve">7 (11.1)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Gond Ayer</w:t>
            </w:r>
          </w:p>
        </w:tc>
        <w:tc>
          <w:p>
            <w:pPr>
              <w:pStyle w:val="Compact"/>
              <w:jc w:val="left"/>
            </w:pPr>
            <w:r>
              <w:t xml:space="preserve">55 (2.5)</w:t>
            </w:r>
          </w:p>
        </w:tc>
        <w:tc>
          <w:p>
            <w:pPr>
              <w:pStyle w:val="Compact"/>
              <w:jc w:val="left"/>
            </w:pPr>
            <w:r>
              <w:t xml:space="preserve">9 (14.3)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Hôpital St-Antoine</w:t>
            </w:r>
          </w:p>
        </w:tc>
        <w:tc>
          <w:p>
            <w:pPr>
              <w:pStyle w:val="Compact"/>
              <w:jc w:val="left"/>
            </w:pPr>
            <w:r>
              <w:t xml:space="preserve">275 (12.7)</w:t>
            </w:r>
          </w:p>
        </w:tc>
        <w:tc>
          <w:p>
            <w:pPr>
              <w:pStyle w:val="Compact"/>
              <w:jc w:val="left"/>
            </w:pPr>
            <w:r>
              <w:t xml:space="preserve">3 (4.8)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Lory</w:t>
            </w:r>
          </w:p>
        </w:tc>
        <w:tc>
          <w:p>
            <w:pPr>
              <w:pStyle w:val="Compact"/>
              <w:jc w:val="left"/>
            </w:pPr>
            <w:r>
              <w:t xml:space="preserve">115 (5.3)</w:t>
            </w:r>
          </w:p>
        </w:tc>
        <w:tc>
          <w:p>
            <w:pPr>
              <w:pStyle w:val="Compact"/>
              <w:jc w:val="left"/>
            </w:pPr>
            <w:r>
              <w:t xml:space="preserve">4 (6.3)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Marfranc</w:t>
            </w:r>
          </w:p>
        </w:tc>
        <w:tc>
          <w:p>
            <w:pPr>
              <w:pStyle w:val="Compact"/>
              <w:jc w:val="left"/>
            </w:pPr>
            <w:r>
              <w:t xml:space="preserve">160 (7.4)</w:t>
            </w:r>
          </w:p>
        </w:tc>
        <w:tc>
          <w:p>
            <w:pPr>
              <w:pStyle w:val="Compact"/>
              <w:jc w:val="left"/>
            </w:pPr>
            <w:r>
              <w:t xml:space="preserve">2 (3.2)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Previle</w:t>
            </w:r>
          </w:p>
        </w:tc>
        <w:tc>
          <w:p>
            <w:pPr>
              <w:pStyle w:val="Compact"/>
              <w:jc w:val="left"/>
            </w:pPr>
            <w:r>
              <w:t xml:space="preserve">246 (11.4)</w:t>
            </w:r>
          </w:p>
        </w:tc>
        <w:tc>
          <w:p>
            <w:pPr>
              <w:pStyle w:val="Compact"/>
              <w:jc w:val="left"/>
            </w:pPr>
            <w:r>
              <w:t xml:space="preserve">10 (15.9)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 Irois</w:t>
            </w:r>
          </w:p>
        </w:tc>
        <w:tc>
          <w:p>
            <w:pPr>
              <w:pStyle w:val="Compact"/>
              <w:jc w:val="left"/>
            </w:pPr>
            <w:r>
              <w:t xml:space="preserve">UTC Les Irois</w:t>
            </w:r>
          </w:p>
        </w:tc>
        <w:tc>
          <w:p>
            <w:pPr>
              <w:pStyle w:val="Compact"/>
              <w:jc w:val="left"/>
            </w:pPr>
            <w:r>
              <w:t xml:space="preserve">162 (7.5)</w:t>
            </w:r>
          </w:p>
        </w:tc>
        <w:tc>
          <w:p>
            <w:pPr>
              <w:pStyle w:val="Compact"/>
              <w:jc w:val="left"/>
            </w:pPr>
            <w:r>
              <w:t xml:space="preserve">1 (1.6)</w:t>
            </w:r>
          </w:p>
        </w:tc>
        <w:tc>
          <w:p>
            <w:pPr>
              <w:pStyle w:val="Compact"/>
              <w:jc w:val="left"/>
            </w:pPr>
            <w:r>
              <w:t xml:space="preserve">1 (11.1)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Moron</w:t>
            </w:r>
          </w:p>
        </w:tc>
        <w:tc>
          <w:p>
            <w:pPr>
              <w:pStyle w:val="Compact"/>
              <w:jc w:val="left"/>
            </w:pPr>
            <w:r>
              <w:t xml:space="preserve">UTC Moron</w:t>
            </w:r>
          </w:p>
        </w:tc>
        <w:tc>
          <w:p>
            <w:pPr>
              <w:pStyle w:val="Compact"/>
              <w:jc w:val="left"/>
            </w:pPr>
            <w:r>
              <w:t xml:space="preserve">323 (14.9)</w:t>
            </w:r>
          </w:p>
        </w:tc>
        <w:tc>
          <w:p>
            <w:pPr>
              <w:pStyle w:val="Compact"/>
              <w:jc w:val="left"/>
            </w:pPr>
            <w:r>
              <w:t xml:space="preserve">9 (14.3)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Pestel</w:t>
            </w:r>
          </w:p>
        </w:tc>
        <w:tc>
          <w:p>
            <w:pPr>
              <w:pStyle w:val="Compact"/>
              <w:jc w:val="left"/>
            </w:pPr>
            <w:r>
              <w:t xml:space="preserve">UTC Pestel</w:t>
            </w:r>
          </w:p>
        </w:tc>
        <w:tc>
          <w:p>
            <w:pPr>
              <w:pStyle w:val="Compact"/>
              <w:jc w:val="left"/>
            </w:pPr>
            <w:r>
              <w:t xml:space="preserve">29 (1.3)</w:t>
            </w:r>
          </w:p>
        </w:tc>
        <w:tc>
          <w:p>
            <w:pPr>
              <w:pStyle w:val="Compact"/>
              <w:jc w:val="left"/>
            </w:pPr>
            <w:r>
              <w:t xml:space="preserve">1 (1.6)</w:t>
            </w:r>
          </w:p>
        </w:tc>
        <w:tc>
          <w:p>
            <w:pPr>
              <w:pStyle w:val="Compact"/>
              <w:jc w:val="left"/>
            </w:pPr>
            <w:r>
              <w:t xml:space="preserve">4 (44.4)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Roseaux</w:t>
            </w:r>
          </w:p>
        </w:tc>
        <w:tc>
          <w:p>
            <w:pPr>
              <w:pStyle w:val="Compact"/>
              <w:jc w:val="left"/>
            </w:pPr>
            <w:r>
              <w:t xml:space="preserve">Carrefour Charles</w:t>
            </w:r>
          </w:p>
        </w:tc>
        <w:tc>
          <w:p>
            <w:pPr>
              <w:pStyle w:val="Compact"/>
              <w:jc w:val="left"/>
            </w:pPr>
            <w:r>
              <w:t xml:space="preserve">17 (0.8)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Roseaux</w:t>
            </w:r>
          </w:p>
        </w:tc>
        <w:tc>
          <w:p>
            <w:pPr>
              <w:pStyle w:val="Compact"/>
              <w:jc w:val="left"/>
            </w:pPr>
            <w:r>
              <w:t xml:space="preserve">Grand Vincent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1 (1.6)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2165 (100)</w:t>
            </w:r>
          </w:p>
        </w:tc>
        <w:tc>
          <w:p>
            <w:pPr>
              <w:pStyle w:val="Compact"/>
              <w:jc w:val="left"/>
            </w:pPr>
            <w:r>
              <w:t xml:space="preserve">63 (52)</w:t>
            </w:r>
          </w:p>
        </w:tc>
        <w:tc>
          <w:p>
            <w:pPr>
              <w:pStyle w:val="Compact"/>
              <w:jc w:val="left"/>
            </w:pPr>
            <w:r>
              <w:t xml:space="preserve">9 (100)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</w:tbl>
    <w:p>
      <w:pPr>
        <w:pStyle w:val="FigureWithCaption"/>
      </w:pPr>
      <w:r>
        <w:drawing>
          <wp:inline>
            <wp:extent cx="5334000" cy="2133600"/>
            <wp:effectExtent b="0" l="0" r="0" t="0"/>
            <wp:docPr descr="Tendance des cas de diarrhées aigues, 03 Oct 2016 - 03 Dec 2016 Grand’Anse (données partielles)." id="1" name="Picture"/>
            <a:graphic>
              <a:graphicData uri="http://schemas.openxmlformats.org/drawingml/2006/picture">
                <pic:pic>
                  <pic:nvPicPr>
                    <pic:cNvPr descr="rapport_hebd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Tendance des cas de diarrhées aigues, 03 Oct 2016 - 03 Dec 2016 Grand’Anse (données partielles).</w:t>
      </w:r>
    </w:p>
    <w:p>
      <w:pPr>
        <w:pStyle w:val="BodyText"/>
      </w:pP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Répresentation du taux d'attaque des cas de diarrhées aigues par 10,000 personnes, 03 Oct 2016 - 03 Dec 2016 par commune, Grand’Anse" id="1" name="Picture"/>
            <a:graphic>
              <a:graphicData uri="http://schemas.openxmlformats.org/drawingml/2006/picture">
                <pic:pic>
                  <pic:nvPicPr>
                    <pic:cNvPr descr="rapport_hebd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Répresentation du taux d'attaque des cas de diarrhées aigues par 10,000 personnes, 03 Oct 2016 - 03 Dec 2016 par commune, Grand’Anse</w:t>
      </w:r>
    </w:p>
    <w:p>
      <w:pPr>
        <w:pStyle w:val="BodyText"/>
      </w:pPr>
    </w:p>
    <w:p>
      <w:pPr>
        <w:pStyle w:val="FigureWithCaption"/>
      </w:pPr>
      <w:r>
        <w:drawing>
          <wp:inline>
            <wp:extent cx="5334000" cy="3200400"/>
            <wp:effectExtent b="0" l="0" r="0" t="0"/>
            <wp:docPr descr="Tendance des cas de diarrhées aigues, 03 Oct 2016 - 03 Dec 2016 par commune, Grand’Anse (données partielles)." id="1" name="Picture"/>
            <a:graphic>
              <a:graphicData uri="http://schemas.openxmlformats.org/drawingml/2006/picture">
                <pic:pic>
                  <pic:nvPicPr>
                    <pic:cNvPr descr="rapport_hebd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Tendance des cas de diarrhées aigues, 03 Oct 2016 - 03 Dec 2016 par commune, Grand’Anse (données partielles).</w:t>
      </w:r>
    </w:p>
    <w:p>
      <w:pPr>
        <w:pStyle w:val="BodyText"/>
      </w:pP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Tendance des cas de diarrhées aigues, 03 Oct 2016 - 03 Dec 2016 par CTC, Grand’Anse (données partielles)." id="1" name="Picture"/>
            <a:graphic>
              <a:graphicData uri="http://schemas.openxmlformats.org/drawingml/2006/picture">
                <pic:pic>
                  <pic:nvPicPr>
                    <pic:cNvPr descr="rapport_hebd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Tendance des cas de diarrhées aigues, 03 Oct 2016 - 03 Dec 2016 par CTC, Grand’Anse (données partielles).</w:t>
      </w:r>
    </w:p>
    <w:p>
      <w:pPr>
        <w:pStyle w:val="BodyText"/>
      </w:pP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Répartition des cas de diarrhées aigues par commune, 03 Oct 2016 - 03 Dec 2016 Grand’Anse" id="1" name="Picture"/>
            <a:graphic>
              <a:graphicData uri="http://schemas.openxmlformats.org/drawingml/2006/picture">
                <pic:pic>
                  <pic:nvPicPr>
                    <pic:cNvPr descr="rapport_hebd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Répartition des cas de diarrhées aigues par commune, 03 Oct 2016 - 03 Dec 2016 Grand’Anse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Répartition des cas de diarrhées aigues par tranche d'age, 03 Oct 2016 - 03 Dec 2016 par commune, Grand’Anse" id="1" name="Picture"/>
            <a:graphic>
              <a:graphicData uri="http://schemas.openxmlformats.org/drawingml/2006/picture">
                <pic:pic>
                  <pic:nvPicPr>
                    <pic:cNvPr descr="rapport_hebd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Répartition des cas de diarrhées aigues par tranche d'age, 03 Oct 2016 - 03 Dec 2016 par commune, Grand’Anse</w:t>
      </w:r>
    </w:p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6964d3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Situation épidémiologique de la diarrhée aiguë après l’ouragan Matthew</dc:title>
  <dc:creator/>
  <dcterms:created xsi:type="dcterms:W3CDTF">2016-12-06T08:32:38Z</dcterms:created>
  <dcterms:modified xsi:type="dcterms:W3CDTF">2016-12-06T08:32:38Z</dcterms:modified>
</cp:coreProperties>
</file>