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épidémiologique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diarrhée</w:t>
      </w:r>
      <w:r>
        <w:t xml:space="preserve"> </w:t>
      </w:r>
      <w:r>
        <w:t xml:space="preserve">aiguë</w:t>
      </w:r>
      <w:r>
        <w:t xml:space="preserve"> </w:t>
      </w:r>
      <w:r>
        <w:t xml:space="preserve">après</w:t>
      </w:r>
      <w:r>
        <w:t xml:space="preserve"> </w:t>
      </w:r>
      <w:r>
        <w:t xml:space="preserve">l’ouragan</w:t>
      </w:r>
      <w:r>
        <w:t xml:space="preserve"> </w:t>
      </w:r>
      <w:r>
        <w:t xml:space="preserve">Matthew</w:t>
      </w:r>
    </w:p>
    <w:p>
      <w:pPr>
        <w:pStyle w:val="Subtitle"/>
      </w:pP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Grand’</w:t>
      </w:r>
      <w:r>
        <w:t xml:space="preserve"> </w:t>
      </w:r>
      <w:r>
        <w:t xml:space="preserve">Anse,</w:t>
      </w:r>
      <w:r>
        <w:t xml:space="preserve"> </w:t>
      </w:r>
      <w:r>
        <w:t xml:space="preserve">Haiti</w:t>
      </w:r>
    </w:p>
    <w:p>
      <w:pPr>
        <w:pStyle w:val="Heading1"/>
      </w:pPr>
      <w:bookmarkStart w:id="21" w:name="analyse-des-donnees-de-diarrhees-aigues"/>
      <w:bookmarkEnd w:id="21"/>
      <w:r>
        <w:t xml:space="preserve">Analyse des données de diarrhées aigues: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Tendance des cas de diarrhées aigues, 03 Oct 2016 - 26 Nov 2016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2016 - 26 Nov 2016 Grand’Anse (données partielles).</w:t>
      </w:r>
    </w:p>
    <w:p>
      <w:pPr>
        <w:pStyle w:val="FigureWithCaption"/>
      </w:pPr>
      <w:r>
        <w:drawing>
          <wp:inline>
            <wp:extent cx="5334000" cy="3200400"/>
            <wp:effectExtent b="0" l="0" r="0" t="0"/>
            <wp:docPr descr="Répartition des cas de diarrhées aigues par commune, 03 Oct 2016 - 26 Nov 2016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Répartition des cas de diarrhées aigues par commune, 03 Oct 2016 - 26 Nov 2016 Grand’Anse (données partielles).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Commune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UTC/CTC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Décès inst.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Décès comm.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décès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Anse-du Clerc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Bontemps</w:t>
            </w:r>
          </w:p>
        </w:tc>
        <w:tc>
          <w:p>
            <w:pPr>
              <w:pStyle w:val="Compact"/>
              <w:jc w:val="left"/>
            </w:pPr>
            <w:r>
              <w:t xml:space="preserve">5 (0.2)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SSPE des Abrcots</w:t>
            </w:r>
          </w:p>
        </w:tc>
        <w:tc>
          <w:p>
            <w:pPr>
              <w:pStyle w:val="Compact"/>
              <w:jc w:val="left"/>
            </w:pPr>
            <w:r>
              <w:t xml:space="preserve">54 (2.7)</w:t>
            </w:r>
          </w:p>
        </w:tc>
        <w:tc>
          <w:p>
            <w:pPr>
              <w:pStyle w:val="Compact"/>
              <w:jc w:val="left"/>
            </w:pPr>
            <w:r>
              <w:t xml:space="preserve">1 (2.4)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Anse-d'Hainault</w:t>
            </w:r>
          </w:p>
        </w:tc>
        <w:tc>
          <w:p>
            <w:pPr>
              <w:pStyle w:val="Compact"/>
              <w:jc w:val="left"/>
            </w:pPr>
            <w:r>
              <w:t xml:space="preserve">HCR Anse d'Hainault</w:t>
            </w:r>
          </w:p>
        </w:tc>
        <w:tc>
          <w:p>
            <w:pPr>
              <w:pStyle w:val="Compact"/>
              <w:jc w:val="left"/>
            </w:pPr>
            <w:r>
              <w:t xml:space="preserve">434 (21.6)</w:t>
            </w:r>
          </w:p>
        </w:tc>
        <w:tc>
          <w:p>
            <w:pPr>
              <w:pStyle w:val="Compact"/>
              <w:jc w:val="left"/>
            </w:pPr>
            <w:r>
              <w:t xml:space="preserve">8 (19.5)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Anse-d'Hainault</w:t>
            </w:r>
          </w:p>
        </w:tc>
        <w:tc>
          <w:p>
            <w:pPr>
              <w:pStyle w:val="Compact"/>
              <w:jc w:val="left"/>
            </w:pPr>
            <w:r>
              <w:t xml:space="preserve">UTC Sicard</w:t>
            </w:r>
          </w:p>
        </w:tc>
        <w:tc>
          <w:p>
            <w:pPr>
              <w:pStyle w:val="Compact"/>
              <w:jc w:val="left"/>
            </w:pPr>
            <w:r>
              <w:t xml:space="preserve">1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Beaumont</w:t>
            </w:r>
          </w:p>
        </w:tc>
        <w:tc>
          <w:p>
            <w:pPr>
              <w:pStyle w:val="Compact"/>
              <w:jc w:val="left"/>
            </w:pPr>
            <w:r>
              <w:t xml:space="preserve">Citymed</w:t>
            </w:r>
          </w:p>
        </w:tc>
        <w:tc>
          <w:p>
            <w:pPr>
              <w:pStyle w:val="Compact"/>
              <w:jc w:val="left"/>
            </w:pPr>
            <w:r>
              <w:t xml:space="preserve">11 (0.5)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Beaumont</w:t>
            </w:r>
          </w:p>
        </w:tc>
        <w:tc>
          <w:p>
            <w:pPr>
              <w:pStyle w:val="Compact"/>
              <w:jc w:val="left"/>
            </w:pPr>
            <w:r>
              <w:t xml:space="preserve">Mouline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Bonbon</w:t>
            </w:r>
          </w:p>
        </w:tc>
        <w:tc>
          <w:p>
            <w:pPr>
              <w:pStyle w:val="Compact"/>
              <w:jc w:val="left"/>
            </w:pPr>
            <w:r>
              <w:t xml:space="preserve">Bonbon</w:t>
            </w:r>
          </w:p>
        </w:tc>
        <w:tc>
          <w:p>
            <w:pPr>
              <w:pStyle w:val="Compact"/>
              <w:jc w:val="left"/>
            </w:pPr>
            <w:r>
              <w:t xml:space="preserve">9 (0.4)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2 (22.2)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Chambellan</w:t>
            </w:r>
          </w:p>
        </w:tc>
        <w:tc>
          <w:p>
            <w:pPr>
              <w:pStyle w:val="Compact"/>
              <w:jc w:val="left"/>
            </w:pPr>
            <w:r>
              <w:t xml:space="preserve">Bourdon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Chambellan</w:t>
            </w:r>
          </w:p>
        </w:tc>
        <w:tc>
          <w:p>
            <w:pPr>
              <w:pStyle w:val="Compact"/>
              <w:jc w:val="left"/>
            </w:pPr>
            <w:r>
              <w:t xml:space="preserve">Centre de santé de Chambellan</w:t>
            </w:r>
          </w:p>
        </w:tc>
        <w:tc>
          <w:p>
            <w:pPr>
              <w:pStyle w:val="Compact"/>
              <w:jc w:val="left"/>
            </w:pPr>
            <w:r>
              <w:t xml:space="preserve">131 (6.5)</w:t>
            </w:r>
          </w:p>
        </w:tc>
        <w:tc>
          <w:p>
            <w:pPr>
              <w:pStyle w:val="Compact"/>
              <w:jc w:val="left"/>
            </w:pPr>
            <w:r>
              <w:t xml:space="preserve">2 (4.9)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Chambellan</w:t>
            </w:r>
          </w:p>
        </w:tc>
        <w:tc>
          <w:p>
            <w:pPr>
              <w:pStyle w:val="Compact"/>
              <w:jc w:val="left"/>
            </w:pPr>
            <w:r>
              <w:t xml:space="preserve">UTC Boucan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Corail</w:t>
            </w:r>
          </w:p>
        </w:tc>
        <w:tc>
          <w:p>
            <w:pPr>
              <w:pStyle w:val="Compact"/>
              <w:jc w:val="left"/>
            </w:pPr>
            <w:r>
              <w:t xml:space="preserve">Centre de Santé de Corail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Corail</w:t>
            </w:r>
          </w:p>
        </w:tc>
        <w:tc>
          <w:p>
            <w:pPr>
              <w:pStyle w:val="Compact"/>
              <w:jc w:val="left"/>
            </w:pPr>
            <w:r>
              <w:t xml:space="preserve">Chardonnette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Dame-Marie</w:t>
            </w:r>
          </w:p>
        </w:tc>
        <w:tc>
          <w:p>
            <w:pPr>
              <w:pStyle w:val="Compact"/>
              <w:jc w:val="left"/>
            </w:pPr>
            <w:r>
              <w:t xml:space="preserve">UTC Dame-Marie</w:t>
            </w:r>
          </w:p>
        </w:tc>
        <w:tc>
          <w:p>
            <w:pPr>
              <w:pStyle w:val="Compact"/>
              <w:jc w:val="left"/>
            </w:pPr>
            <w:r>
              <w:t xml:space="preserve">97 (4.8)</w:t>
            </w:r>
          </w:p>
        </w:tc>
        <w:tc>
          <w:p>
            <w:pPr>
              <w:pStyle w:val="Compact"/>
              <w:jc w:val="left"/>
            </w:pPr>
            <w:r>
              <w:t xml:space="preserve">5 (12.2)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Carrefour sanon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Castillon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Dispensaire Siloé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Ferme Latiboliere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Ferme Numero deux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Gond Ayer</w:t>
            </w:r>
          </w:p>
        </w:tc>
        <w:tc>
          <w:p>
            <w:pPr>
              <w:pStyle w:val="Compact"/>
              <w:jc w:val="left"/>
            </w:pPr>
            <w:r>
              <w:t xml:space="preserve">41 (2)</w:t>
            </w:r>
          </w:p>
        </w:tc>
        <w:tc>
          <w:p>
            <w:pPr>
              <w:pStyle w:val="Compact"/>
              <w:jc w:val="left"/>
            </w:pPr>
            <w:r>
              <w:t xml:space="preserve">4 (9.8)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Hôpital St-Antoine</w:t>
            </w:r>
          </w:p>
        </w:tc>
        <w:tc>
          <w:p>
            <w:pPr>
              <w:pStyle w:val="Compact"/>
              <w:jc w:val="left"/>
            </w:pPr>
            <w:r>
              <w:t xml:space="preserve">247 (12.3)</w:t>
            </w:r>
          </w:p>
        </w:tc>
        <w:tc>
          <w:p>
            <w:pPr>
              <w:pStyle w:val="Compact"/>
              <w:jc w:val="left"/>
            </w:pPr>
            <w:r>
              <w:t xml:space="preserve">1 (2.4)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Lory</w:t>
            </w:r>
          </w:p>
        </w:tc>
        <w:tc>
          <w:p>
            <w:pPr>
              <w:pStyle w:val="Compact"/>
              <w:jc w:val="left"/>
            </w:pPr>
            <w:r>
              <w:t xml:space="preserve">114 (5.7)</w:t>
            </w:r>
          </w:p>
        </w:tc>
        <w:tc>
          <w:p>
            <w:pPr>
              <w:pStyle w:val="Compact"/>
              <w:jc w:val="left"/>
            </w:pPr>
            <w:r>
              <w:t xml:space="preserve">4 (9.8)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Marfranc</w:t>
            </w:r>
          </w:p>
        </w:tc>
        <w:tc>
          <w:p>
            <w:pPr>
              <w:pStyle w:val="Compact"/>
              <w:jc w:val="left"/>
            </w:pPr>
            <w:r>
              <w:t xml:space="preserve">134 (6.7)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Painket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Previle</w:t>
            </w:r>
          </w:p>
        </w:tc>
        <w:tc>
          <w:p>
            <w:pPr>
              <w:pStyle w:val="Compact"/>
              <w:jc w:val="left"/>
            </w:pPr>
            <w:r>
              <w:t xml:space="preserve">219 (10.9)</w:t>
            </w:r>
          </w:p>
        </w:tc>
        <w:tc>
          <w:p>
            <w:pPr>
              <w:pStyle w:val="Compact"/>
              <w:jc w:val="left"/>
            </w:pPr>
            <w:r>
              <w:t xml:space="preserve">6 (14.6)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Irois</w:t>
            </w:r>
          </w:p>
        </w:tc>
        <w:tc>
          <w:p>
            <w:pPr>
              <w:pStyle w:val="Compact"/>
              <w:jc w:val="left"/>
            </w:pPr>
            <w:r>
              <w:t xml:space="preserve">Carcasse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Irois</w:t>
            </w:r>
          </w:p>
        </w:tc>
        <w:tc>
          <w:p>
            <w:pPr>
              <w:pStyle w:val="Compact"/>
              <w:jc w:val="left"/>
            </w:pPr>
            <w:r>
              <w:t xml:space="preserve">UTC Les Irois</w:t>
            </w:r>
          </w:p>
        </w:tc>
        <w:tc>
          <w:p>
            <w:pPr>
              <w:pStyle w:val="Compact"/>
              <w:jc w:val="left"/>
            </w:pPr>
            <w:r>
              <w:t xml:space="preserve">160 (8)</w:t>
            </w:r>
          </w:p>
        </w:tc>
        <w:tc>
          <w:p>
            <w:pPr>
              <w:pStyle w:val="Compact"/>
              <w:jc w:val="left"/>
            </w:pPr>
            <w:r>
              <w:t xml:space="preserve">1 (2.4)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Moron</w:t>
            </w:r>
          </w:p>
        </w:tc>
        <w:tc>
          <w:p>
            <w:pPr>
              <w:pStyle w:val="Compact"/>
              <w:jc w:val="left"/>
            </w:pPr>
            <w:r>
              <w:t xml:space="preserve">UTC Chameau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Moron</w:t>
            </w:r>
          </w:p>
        </w:tc>
        <w:tc>
          <w:p>
            <w:pPr>
              <w:pStyle w:val="Compact"/>
              <w:jc w:val="left"/>
            </w:pPr>
            <w:r>
              <w:t xml:space="preserve">UTC Moron</w:t>
            </w:r>
          </w:p>
        </w:tc>
        <w:tc>
          <w:p>
            <w:pPr>
              <w:pStyle w:val="Compact"/>
              <w:jc w:val="left"/>
            </w:pPr>
            <w:r>
              <w:t xml:space="preserve">310 (15.4)</w:t>
            </w:r>
          </w:p>
        </w:tc>
        <w:tc>
          <w:p>
            <w:pPr>
              <w:pStyle w:val="Compact"/>
              <w:jc w:val="left"/>
            </w:pPr>
            <w:r>
              <w:t xml:space="preserve">7 (17.1)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Moron</w:t>
            </w:r>
          </w:p>
        </w:tc>
        <w:tc>
          <w:p>
            <w:pPr>
              <w:pStyle w:val="Compact"/>
              <w:jc w:val="left"/>
            </w:pPr>
            <w:r>
              <w:t xml:space="preserve">UTC Tiparis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Ferme Anse-a Macon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Ferme Duchity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Tozia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UTC Pestel</w:t>
            </w:r>
          </w:p>
        </w:tc>
        <w:tc>
          <w:p>
            <w:pPr>
              <w:pStyle w:val="Compact"/>
              <w:jc w:val="left"/>
            </w:pPr>
            <w:r>
              <w:t xml:space="preserve">25 (1.2)</w:t>
            </w:r>
          </w:p>
        </w:tc>
        <w:tc>
          <w:p>
            <w:pPr>
              <w:pStyle w:val="Compact"/>
              <w:jc w:val="left"/>
            </w:pPr>
            <w:r>
              <w:t xml:space="preserve">1 (2.4)</w:t>
            </w:r>
          </w:p>
        </w:tc>
        <w:tc>
          <w:p>
            <w:pPr>
              <w:pStyle w:val="Compact"/>
              <w:jc w:val="left"/>
            </w:pPr>
            <w:r>
              <w:t xml:space="preserve">4 (44.4)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Annette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Carrefour Charles</w:t>
            </w:r>
          </w:p>
        </w:tc>
        <w:tc>
          <w:p>
            <w:pPr>
              <w:pStyle w:val="Compact"/>
              <w:jc w:val="left"/>
            </w:pPr>
            <w:r>
              <w:t xml:space="preserve">17 (0.8)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Grand Vincent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1 (2.4)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Lopino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Pousline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UTC Roseaux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2009 (100)</w:t>
            </w:r>
          </w:p>
        </w:tc>
        <w:tc>
          <w:p>
            <w:pPr>
              <w:pStyle w:val="Compact"/>
              <w:jc w:val="left"/>
            </w:pPr>
            <w:r>
              <w:t xml:space="preserve">41 (100)</w:t>
            </w:r>
          </w:p>
        </w:tc>
        <w:tc>
          <w:p>
            <w:pPr>
              <w:pStyle w:val="Compact"/>
              <w:jc w:val="left"/>
            </w:pPr>
            <w:r>
              <w:t xml:space="preserve">9 (100)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>
      <w:pPr>
        <w:pStyle w:val="FigureWithCaption"/>
      </w:pPr>
      <w:r>
        <w:drawing>
          <wp:inline>
            <wp:extent cx="5334000" cy="5334000"/>
            <wp:effectExtent b="0" l="0" r="0" t="0"/>
            <wp:docPr descr="Répresentation du taux d'attaque des cas de diarrhées aigues par 10,000 personnes, 03 Oct 2016 - 26 Nov 2016 par commune,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Répresentation du taux d'attaque des cas de diarrhées aigues par 10,000 personnes, 03 Oct 2016 - 26 Nov 2016 par commune, Grand’Anse (données partielles).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Tendance des cas de diarrhées aigues, 03 Oct 2016 - 26 Nov 2016 par commune,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2016 - 26 Nov 2016 par commune, Grand’Anse (données partielles).</w:t>
      </w:r>
    </w:p>
    <w:p>
      <w:pPr>
        <w:pStyle w:val="FigureWithCaption"/>
      </w:pPr>
      <w:r>
        <w:drawing>
          <wp:inline>
            <wp:extent cx="5334000" cy="3200400"/>
            <wp:effectExtent b="0" l="0" r="0" t="0"/>
            <wp:docPr descr="Répartition des cas de diarrhées aigues par tranche d'age, 03 Oct 2016 - 26 Nov 2016 par commune,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Répartition des cas de diarrhées aigues par tranche d'age, 03 Oct 2016 - 26 Nov 2016 par commune, Grand’Anse (données partielles).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Tendance des cas de diarrhées aigues, 03 Oct 2016 - 26 Nov 2016 par CTC,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2016 - 26 Nov 2016 par CTC, Grand’Anse (données partielles).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b72d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épidémiologique de la diarrhée aiguë après l’ouragan Matthew</dc:title>
  <dc:creator/>
  <dcterms:created xsi:type="dcterms:W3CDTF">2016-11-28T10:25:37Z</dcterms:created>
  <dcterms:modified xsi:type="dcterms:W3CDTF">2016-11-28T10:25:37Z</dcterms:modified>
</cp:coreProperties>
</file>