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Situation</w:t>
      </w:r>
      <w:r>
        <w:t xml:space="preserve"> </w:t>
      </w:r>
      <w:r>
        <w:t xml:space="preserve">épidémiologique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diarrhée</w:t>
      </w:r>
      <w:r>
        <w:t xml:space="preserve"> </w:t>
      </w:r>
      <w:r>
        <w:t xml:space="preserve">aiguë</w:t>
      </w:r>
      <w:r>
        <w:t xml:space="preserve"> </w:t>
      </w:r>
      <w:r>
        <w:t xml:space="preserve">après</w:t>
      </w:r>
      <w:r>
        <w:t xml:space="preserve"> </w:t>
      </w:r>
      <w:r>
        <w:t xml:space="preserve">l’ouragan</w:t>
      </w:r>
      <w:r>
        <w:t xml:space="preserve"> </w:t>
      </w:r>
      <w:r>
        <w:t xml:space="preserve">Matthew</w:t>
      </w:r>
    </w:p>
    <w:p>
      <w:pPr>
        <w:pStyle w:val="Subtitle"/>
      </w:pPr>
      <w:r>
        <w:t xml:space="preserve">Département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Grand’</w:t>
      </w:r>
      <w:r>
        <w:t xml:space="preserve"> </w:t>
      </w:r>
      <w:r>
        <w:t xml:space="preserve">Anse,</w:t>
      </w:r>
      <w:r>
        <w:t xml:space="preserve"> </w:t>
      </w:r>
      <w:r>
        <w:t xml:space="preserve">Haiti</w:t>
      </w:r>
    </w:p>
    <w:p>
      <w:pPr>
        <w:pStyle w:val="Heading1"/>
      </w:pPr>
      <w:bookmarkStart w:id="21" w:name="analyse-des-donnees-de-diarrhees-aigues"/>
      <w:bookmarkEnd w:id="21"/>
      <w:r>
        <w:t xml:space="preserve">Analyse des données de diarrhées aigues: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Tendance des cas de diarrhées aigues, 03 Oct 2016 - 17 Nov 2016 Grand’Anse (données partielles).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Tendance des cas de diarrhées aigues, 03 Oct 2016 - 17 Nov 2016 Grand’Anse (données partielles).</w:t>
      </w:r>
    </w:p>
    <w:p>
      <w:pPr>
        <w:pStyle w:val="FigureWithCaption"/>
      </w:pPr>
      <w:r>
        <w:drawing>
          <wp:inline>
            <wp:extent cx="5334000" cy="3200400"/>
            <wp:effectExtent b="0" l="0" r="0" t="0"/>
            <wp:docPr descr="Répartition des cas de diarrhées aigues par commune, 03 Oct 2016 - 17 Nov 2016 Grand’Anse (données partielles).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Répartition des cas de diarrhées aigues par commune, 03 Oct 2016 - 17 Nov 2016 Grand’Anse (données partielles).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Commune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UTC/CTC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Décès inst.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Décès comm.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décès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Abricots</w:t>
            </w:r>
          </w:p>
        </w:tc>
        <w:tc>
          <w:p>
            <w:pPr>
              <w:pStyle w:val="Compact"/>
              <w:jc w:val="left"/>
            </w:pPr>
            <w:r>
              <w:t xml:space="preserve">Anse-du Clerc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Abricots</w:t>
            </w:r>
          </w:p>
        </w:tc>
        <w:tc>
          <w:p>
            <w:pPr>
              <w:pStyle w:val="Compact"/>
              <w:jc w:val="left"/>
            </w:pPr>
            <w:r>
              <w:t xml:space="preserve">Bontemps</w:t>
            </w:r>
          </w:p>
        </w:tc>
        <w:tc>
          <w:p>
            <w:pPr>
              <w:pStyle w:val="Compact"/>
              <w:jc w:val="left"/>
            </w:pPr>
            <w:r>
              <w:t xml:space="preserve">5 (0.3)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Abricots</w:t>
            </w:r>
          </w:p>
        </w:tc>
        <w:tc>
          <w:p>
            <w:pPr>
              <w:pStyle w:val="Compact"/>
              <w:jc w:val="left"/>
            </w:pPr>
            <w:r>
              <w:t xml:space="preserve">SSPE des Abrcots</w:t>
            </w:r>
          </w:p>
        </w:tc>
        <w:tc>
          <w:p>
            <w:pPr>
              <w:pStyle w:val="Compact"/>
              <w:jc w:val="left"/>
            </w:pPr>
            <w:r>
              <w:t xml:space="preserve">46 (2.4)</w:t>
            </w:r>
          </w:p>
        </w:tc>
        <w:tc>
          <w:p>
            <w:pPr>
              <w:pStyle w:val="Compact"/>
              <w:jc w:val="left"/>
            </w:pPr>
            <w:r>
              <w:t xml:space="preserve">1 (3.6)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Anse-d'Hainault</w:t>
            </w:r>
          </w:p>
        </w:tc>
        <w:tc>
          <w:p>
            <w:pPr>
              <w:pStyle w:val="Compact"/>
              <w:jc w:val="left"/>
            </w:pPr>
            <w:r>
              <w:t xml:space="preserve">HCR Anse d'Hainault</w:t>
            </w:r>
          </w:p>
        </w:tc>
        <w:tc>
          <w:p>
            <w:pPr>
              <w:pStyle w:val="Compact"/>
              <w:jc w:val="left"/>
            </w:pPr>
            <w:r>
              <w:t xml:space="preserve">422 (22.3)</w:t>
            </w:r>
          </w:p>
        </w:tc>
        <w:tc>
          <w:p>
            <w:pPr>
              <w:pStyle w:val="Compact"/>
              <w:jc w:val="left"/>
            </w:pPr>
            <w:r>
              <w:t xml:space="preserve">8 (28.6)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Anse-d'Hainault</w:t>
            </w:r>
          </w:p>
        </w:tc>
        <w:tc>
          <w:p>
            <w:pPr>
              <w:pStyle w:val="Compact"/>
              <w:jc w:val="left"/>
            </w:pPr>
            <w:r>
              <w:t xml:space="preserve">UTC Sicard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Beaumont</w:t>
            </w:r>
          </w:p>
        </w:tc>
        <w:tc>
          <w:p>
            <w:pPr>
              <w:pStyle w:val="Compact"/>
              <w:jc w:val="left"/>
            </w:pPr>
            <w:r>
              <w:t xml:space="preserve">Citymed</w:t>
            </w:r>
          </w:p>
        </w:tc>
        <w:tc>
          <w:p>
            <w:pPr>
              <w:pStyle w:val="Compact"/>
              <w:jc w:val="left"/>
            </w:pPr>
            <w:r>
              <w:t xml:space="preserve">11 (0.6)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Beaumont</w:t>
            </w:r>
          </w:p>
        </w:tc>
        <w:tc>
          <w:p>
            <w:pPr>
              <w:pStyle w:val="Compact"/>
              <w:jc w:val="left"/>
            </w:pPr>
            <w:r>
              <w:t xml:space="preserve">Mouline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Bonbon</w:t>
            </w:r>
          </w:p>
        </w:tc>
        <w:tc>
          <w:p>
            <w:pPr>
              <w:pStyle w:val="Compact"/>
              <w:jc w:val="left"/>
            </w:pPr>
            <w:r>
              <w:t xml:space="preserve">Bonbon</w:t>
            </w:r>
          </w:p>
        </w:tc>
        <w:tc>
          <w:p>
            <w:pPr>
              <w:pStyle w:val="Compact"/>
              <w:jc w:val="left"/>
            </w:pPr>
            <w:r>
              <w:t xml:space="preserve">9 (0.5)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2 (22.2)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Chambellan</w:t>
            </w:r>
          </w:p>
        </w:tc>
        <w:tc>
          <w:p>
            <w:pPr>
              <w:pStyle w:val="Compact"/>
              <w:jc w:val="left"/>
            </w:pPr>
            <w:r>
              <w:t xml:space="preserve">Bourdon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Chambellan</w:t>
            </w:r>
          </w:p>
        </w:tc>
        <w:tc>
          <w:p>
            <w:pPr>
              <w:pStyle w:val="Compact"/>
              <w:jc w:val="left"/>
            </w:pPr>
            <w:r>
              <w:t xml:space="preserve">Centre de santé de Chambellan</w:t>
            </w:r>
          </w:p>
        </w:tc>
        <w:tc>
          <w:p>
            <w:pPr>
              <w:pStyle w:val="Compact"/>
              <w:jc w:val="left"/>
            </w:pPr>
            <w:r>
              <w:t xml:space="preserve">129 (6.8)</w:t>
            </w:r>
          </w:p>
        </w:tc>
        <w:tc>
          <w:p>
            <w:pPr>
              <w:pStyle w:val="Compact"/>
              <w:jc w:val="left"/>
            </w:pPr>
            <w:r>
              <w:t xml:space="preserve">2 (7.1)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Chambellan</w:t>
            </w:r>
          </w:p>
        </w:tc>
        <w:tc>
          <w:p>
            <w:pPr>
              <w:pStyle w:val="Compact"/>
              <w:jc w:val="left"/>
            </w:pPr>
            <w:r>
              <w:t xml:space="preserve">UTC Boucan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Corail</w:t>
            </w:r>
          </w:p>
        </w:tc>
        <w:tc>
          <w:p>
            <w:pPr>
              <w:pStyle w:val="Compact"/>
              <w:jc w:val="left"/>
            </w:pPr>
            <w:r>
              <w:t xml:space="preserve">Centre de Santé de Corail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Corail</w:t>
            </w:r>
          </w:p>
        </w:tc>
        <w:tc>
          <w:p>
            <w:pPr>
              <w:pStyle w:val="Compact"/>
              <w:jc w:val="left"/>
            </w:pPr>
            <w:r>
              <w:t xml:space="preserve">Chardonnette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Dame-Marie</w:t>
            </w:r>
          </w:p>
        </w:tc>
        <w:tc>
          <w:p>
            <w:pPr>
              <w:pStyle w:val="Compact"/>
              <w:jc w:val="left"/>
            </w:pPr>
            <w:r>
              <w:t xml:space="preserve">UTC Dame-Marie</w:t>
            </w:r>
          </w:p>
        </w:tc>
        <w:tc>
          <w:p>
            <w:pPr>
              <w:pStyle w:val="Compact"/>
              <w:jc w:val="left"/>
            </w:pPr>
            <w:r>
              <w:t xml:space="preserve">88 (4.6)</w:t>
            </w:r>
          </w:p>
        </w:tc>
        <w:tc>
          <w:p>
            <w:pPr>
              <w:pStyle w:val="Compact"/>
              <w:jc w:val="left"/>
            </w:pPr>
            <w:r>
              <w:t xml:space="preserve">2 (7.1)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Carrefour sanon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Castillon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Dispensaire Siloé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Ferme Latiboliere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Ferme Numero deux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Gond Ayer</w:t>
            </w:r>
          </w:p>
        </w:tc>
        <w:tc>
          <w:p>
            <w:pPr>
              <w:pStyle w:val="Compact"/>
              <w:jc w:val="left"/>
            </w:pPr>
            <w:r>
              <w:t xml:space="preserve">31 (1.6)</w:t>
            </w:r>
          </w:p>
        </w:tc>
        <w:tc>
          <w:p>
            <w:pPr>
              <w:pStyle w:val="Compact"/>
              <w:jc w:val="left"/>
            </w:pPr>
            <w:r>
              <w:t xml:space="preserve">4 (14.3)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Hôpital St-Antoine</w:t>
            </w:r>
          </w:p>
        </w:tc>
        <w:tc>
          <w:p>
            <w:pPr>
              <w:pStyle w:val="Compact"/>
              <w:jc w:val="left"/>
            </w:pPr>
            <w:r>
              <w:t xml:space="preserve">232 (12.2)</w:t>
            </w:r>
          </w:p>
        </w:tc>
        <w:tc>
          <w:p>
            <w:pPr>
              <w:pStyle w:val="Compact"/>
              <w:jc w:val="left"/>
            </w:pPr>
            <w:r>
              <w:t xml:space="preserve">1 (3.6)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Lory</w:t>
            </w:r>
          </w:p>
        </w:tc>
        <w:tc>
          <w:p>
            <w:pPr>
              <w:pStyle w:val="Compact"/>
              <w:jc w:val="left"/>
            </w:pPr>
            <w:r>
              <w:t xml:space="preserve">107 (5.6)</w:t>
            </w:r>
          </w:p>
        </w:tc>
        <w:tc>
          <w:p>
            <w:pPr>
              <w:pStyle w:val="Compact"/>
              <w:jc w:val="left"/>
            </w:pPr>
            <w:r>
              <w:t xml:space="preserve">1 (3.6)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Marfranc</w:t>
            </w:r>
          </w:p>
        </w:tc>
        <w:tc>
          <w:p>
            <w:pPr>
              <w:pStyle w:val="Compact"/>
              <w:jc w:val="left"/>
            </w:pPr>
            <w:r>
              <w:t xml:space="preserve">125 (6.6)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Painket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Previle</w:t>
            </w:r>
          </w:p>
        </w:tc>
        <w:tc>
          <w:p>
            <w:pPr>
              <w:pStyle w:val="Compact"/>
              <w:jc w:val="left"/>
            </w:pPr>
            <w:r>
              <w:t xml:space="preserve">198 (10.4)</w:t>
            </w:r>
          </w:p>
        </w:tc>
        <w:tc>
          <w:p>
            <w:pPr>
              <w:pStyle w:val="Compact"/>
              <w:jc w:val="left"/>
            </w:pPr>
            <w:r>
              <w:t xml:space="preserve">2 (7.1)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Irois</w:t>
            </w:r>
          </w:p>
        </w:tc>
        <w:tc>
          <w:p>
            <w:pPr>
              <w:pStyle w:val="Compact"/>
              <w:jc w:val="left"/>
            </w:pPr>
            <w:r>
              <w:t xml:space="preserve">Carcasse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Irois</w:t>
            </w:r>
          </w:p>
        </w:tc>
        <w:tc>
          <w:p>
            <w:pPr>
              <w:pStyle w:val="Compact"/>
              <w:jc w:val="left"/>
            </w:pPr>
            <w:r>
              <w:t xml:space="preserve">UTC Les Irois</w:t>
            </w:r>
          </w:p>
        </w:tc>
        <w:tc>
          <w:p>
            <w:pPr>
              <w:pStyle w:val="Compact"/>
              <w:jc w:val="left"/>
            </w:pPr>
            <w:r>
              <w:t xml:space="preserve">152 (8)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Moron</w:t>
            </w:r>
          </w:p>
        </w:tc>
        <w:tc>
          <w:p>
            <w:pPr>
              <w:pStyle w:val="Compact"/>
              <w:jc w:val="left"/>
            </w:pPr>
            <w:r>
              <w:t xml:space="preserve">UTC Chameau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Moron</w:t>
            </w:r>
          </w:p>
        </w:tc>
        <w:tc>
          <w:p>
            <w:pPr>
              <w:pStyle w:val="Compact"/>
              <w:jc w:val="left"/>
            </w:pPr>
            <w:r>
              <w:t xml:space="preserve">UTC Moron</w:t>
            </w:r>
          </w:p>
        </w:tc>
        <w:tc>
          <w:p>
            <w:pPr>
              <w:pStyle w:val="Compact"/>
              <w:jc w:val="left"/>
            </w:pPr>
            <w:r>
              <w:t xml:space="preserve">300 (15.8)</w:t>
            </w:r>
          </w:p>
        </w:tc>
        <w:tc>
          <w:p>
            <w:pPr>
              <w:pStyle w:val="Compact"/>
              <w:jc w:val="left"/>
            </w:pPr>
            <w:r>
              <w:t xml:space="preserve">5 (17.9)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Moron</w:t>
            </w:r>
          </w:p>
        </w:tc>
        <w:tc>
          <w:p>
            <w:pPr>
              <w:pStyle w:val="Compact"/>
              <w:jc w:val="left"/>
            </w:pPr>
            <w:r>
              <w:t xml:space="preserve">UTC Tiparis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Pestel</w:t>
            </w:r>
          </w:p>
        </w:tc>
        <w:tc>
          <w:p>
            <w:pPr>
              <w:pStyle w:val="Compact"/>
              <w:jc w:val="left"/>
            </w:pPr>
            <w:r>
              <w:t xml:space="preserve">Ferme Anse-a Macon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Pestel</w:t>
            </w:r>
          </w:p>
        </w:tc>
        <w:tc>
          <w:p>
            <w:pPr>
              <w:pStyle w:val="Compact"/>
              <w:jc w:val="left"/>
            </w:pPr>
            <w:r>
              <w:t xml:space="preserve">Ferme Duchity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Pestel</w:t>
            </w:r>
          </w:p>
        </w:tc>
        <w:tc>
          <w:p>
            <w:pPr>
              <w:pStyle w:val="Compact"/>
              <w:jc w:val="left"/>
            </w:pPr>
            <w:r>
              <w:t xml:space="preserve">Tozia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Pestel</w:t>
            </w:r>
          </w:p>
        </w:tc>
        <w:tc>
          <w:p>
            <w:pPr>
              <w:pStyle w:val="Compact"/>
              <w:jc w:val="left"/>
            </w:pPr>
            <w:r>
              <w:t xml:space="preserve">UTC Pestel</w:t>
            </w:r>
          </w:p>
        </w:tc>
        <w:tc>
          <w:p>
            <w:pPr>
              <w:pStyle w:val="Compact"/>
              <w:jc w:val="left"/>
            </w:pPr>
            <w:r>
              <w:t xml:space="preserve">23 (1.2)</w:t>
            </w:r>
          </w:p>
        </w:tc>
        <w:tc>
          <w:p>
            <w:pPr>
              <w:pStyle w:val="Compact"/>
              <w:jc w:val="left"/>
            </w:pPr>
            <w:r>
              <w:t xml:space="preserve">1 (3.6)</w:t>
            </w:r>
          </w:p>
        </w:tc>
        <w:tc>
          <w:p>
            <w:pPr>
              <w:pStyle w:val="Compact"/>
              <w:jc w:val="left"/>
            </w:pPr>
            <w:r>
              <w:t xml:space="preserve">4 (44.4)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Annette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Carrefour Charles</w:t>
            </w:r>
          </w:p>
        </w:tc>
        <w:tc>
          <w:p>
            <w:pPr>
              <w:pStyle w:val="Compact"/>
              <w:jc w:val="left"/>
            </w:pPr>
            <w:r>
              <w:t xml:space="preserve">17 (0.9)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Grand Vincent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1 (3.6)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Lopino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Pousline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UTC Roseaux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1896 (100)</w:t>
            </w:r>
          </w:p>
        </w:tc>
        <w:tc>
          <w:p>
            <w:pPr>
              <w:pStyle w:val="Compact"/>
              <w:jc w:val="left"/>
            </w:pPr>
            <w:r>
              <w:t xml:space="preserve">28 (100)</w:t>
            </w:r>
          </w:p>
        </w:tc>
        <w:tc>
          <w:p>
            <w:pPr>
              <w:pStyle w:val="Compact"/>
              <w:jc w:val="left"/>
            </w:pPr>
            <w:r>
              <w:t xml:space="preserve">9 (100)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p>
      <w:pPr>
        <w:pStyle w:val="FigureWithCaption"/>
      </w:pPr>
      <w:r>
        <w:drawing>
          <wp:inline>
            <wp:extent cx="5334000" cy="5334000"/>
            <wp:effectExtent b="0" l="0" r="0" t="0"/>
            <wp:docPr descr="Répresentation du taux d'attaque des cas de diarrhées aigues par 10,000 personnes, 03 Oct 2016 - 17 Nov 2016 par commune, Grand’Anse (données partielles).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Répresentation du taux d'attaque des cas de diarrhées aigues par 10,000 personnes, 03 Oct 2016 - 17 Nov 2016 par commune, Grand’Anse (données partielles).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Tendance des cas de diarrhées aigues, 03 Oct 2016 - 17 Nov 2016 par commune, Grand’Anse (données partielles).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Tendance des cas de diarrhées aigues, 03 Oct 2016 - 17 Nov 2016 par commune, Grand’Anse (données partielles).</w:t>
      </w:r>
    </w:p>
    <w:p>
      <w:pPr>
        <w:pStyle w:val="FigureWithCaption"/>
      </w:pPr>
      <w:r>
        <w:drawing>
          <wp:inline>
            <wp:extent cx="5334000" cy="3200400"/>
            <wp:effectExtent b="0" l="0" r="0" t="0"/>
            <wp:docPr descr="Répartition des cas de diarrhées aigues par tranche d'age, 03 Oct 2016 - 17 Nov 2016 par commune, Grand’Anse (données partielles)." id="1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Répartition des cas de diarrhées aigues par tranche d'age, 03 Oct 2016 - 17 Nov 2016 par commune, Grand’Anse (données partielles).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Tendance des cas de diarrhées aigues, 03 Oct 2016 - 17 Nov 2016 par CTC, Grand’Anse (données partielles)." id="1" name="Picture"/>
            <a:graphic>
              <a:graphicData uri="http://schemas.openxmlformats.org/drawingml/2006/picture">
                <pic:pic>
                  <pic:nvPicPr>
                    <pic:cNvPr descr="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Tendance des cas de diarrhées aigues, 03 Oct 2016 - 17 Nov 2016 par CTC, Grand’Anse (données partielles).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a45f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Situation épidémiologique de la diarrhée aiguë après l’ouragan Matthew</dc:title>
  <dc:creator/>
  <dcterms:created xsi:type="dcterms:W3CDTF">2016-11-21T19:42:42Z</dcterms:created>
  <dcterms:modified xsi:type="dcterms:W3CDTF">2016-11-21T19:42:42Z</dcterms:modified>
</cp:coreProperties>
</file>