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GLOSSARY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Build the Glossary with the Glossary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Scan, review, govern and apply CSCU's governed glossary — and author the Registry — with the app.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Solution Architect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60–90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shared lab running with CSCU loaded (</w:t>
      </w:r>
      <w:r>
        <w:rPr>
          <w:rFonts w:ascii="Consolas" w:hAnsi="Consolas"/>
          <w:color w:val="0A5560"/>
          <w:sz w:val="20"/>
          <w:szCs w:val="20"/>
        </w:rPr>
        <w:t xml:space="preserve">data_sources/lab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make up &amp;&amp; make load SCENARIO=CSCU</w:t>
      </w:r>
      <w:r>
        <w:t xml:space="preserve">), PDC reachable over HTTPS, the CSCU domain pack installed (</w:t>
      </w:r>
      <w:r>
        <w:rPr>
          <w:rFonts w:ascii="Consolas" w:hAnsi="Consolas"/>
          <w:color w:val="0A5560"/>
          <w:sz w:val="20"/>
          <w:szCs w:val="20"/>
        </w:rPr>
        <w:t xml:space="preserve">data_sources/CSCU/cscu-domain-pack.zip</w:t>
      </w:r>
      <w:r>
        <w:t xml:space="preserve"> → unzip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 is a fictional Arizona credit union with six branches (Phoenix, Tempe, Tucson, Casa Grande, Globe, Prescott), ~13 pilot members, and a core banking schema (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11 tables) plus a document store (</w:t>
      </w:r>
      <w:r>
        <w:rPr>
          <w:rFonts w:ascii="Consolas" w:hAnsi="Consolas"/>
          <w:color w:val="0A5560"/>
          <w:sz w:val="20"/>
          <w:szCs w:val="20"/>
        </w:rPr>
        <w:t xml:space="preserve">cscu-documents</w:t>
      </w:r>
      <w:r>
        <w:t xml:space="preserve"> bucket, 18 files). Its data estate has exactly the governance problems the Registry approach fixes: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PII everywhere</w:t>
      </w:r>
      <w:r>
        <w:t xml:space="preserve"> — SSNs, DOBs, card PANs, account and routing numbers spread across </w:t>
      </w:r>
      <w:r>
        <w:rPr>
          <w:rFonts w:ascii="Consolas" w:hAnsi="Consolas"/>
          <w:color w:val="0A5560"/>
          <w:sz w:val="20"/>
          <w:szCs w:val="20"/>
        </w:rPr>
        <w:t xml:space="preserve">members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accounts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planted PCI violation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cards.cvv_cd</w:t>
      </w:r>
      <w:r>
        <w:t xml:space="preserve"> stores card verification values, which PCI DSS forbids after authorization. Your steward review must catch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Cryptic core-banking names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mbr_no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prin_bal_amt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. The generator's abbreviation expansion (plus the CSCU pack) turns them into readable terms: </w:t>
      </w:r>
      <w:r>
        <w:rPr>
          <w:i/>
          <w:iCs/>
        </w:rPr>
        <w:t xml:space="preserve">Member Number</w:t>
      </w:r>
      <w:r>
        <w:t xml:space="preserve">, </w:t>
      </w:r>
      <w:r>
        <w:rPr>
          <w:i/>
          <w:iCs/>
        </w:rPr>
        <w:t xml:space="preserve">Principal Balance Amount</w:t>
      </w:r>
      <w:r>
        <w:t xml:space="preserve">, </w:t>
      </w:r>
      <w:r>
        <w:rPr>
          <w:i/>
          <w:iCs/>
        </w:rPr>
        <w:t xml:space="preserve">APR</w:t>
      </w:r>
      <w:r>
        <w:t xml:space="preserve">, </w:t>
      </w:r>
      <w:r>
        <w:rPr>
          <w:i/>
          <w:iCs/>
        </w:rPr>
        <w:t xml:space="preserve">ACH Routing Number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compliance story that spans sources</w:t>
      </w:r>
      <w:r>
        <w:t xml:space="preserve"> — SAR 97001 (structuring: two $9,450 transfers just under the $10,000 threshold) exists as database rows (</w:t>
      </w:r>
      <w:r>
        <w:rPr>
          <w:rFonts w:ascii="Consolas" w:hAnsi="Consolas"/>
          <w:color w:val="0A5560"/>
          <w:sz w:val="20"/>
          <w:szCs w:val="20"/>
        </w:rPr>
        <w:t xml:space="preserve">suspicious_activity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ach_payments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transactions</w:t>
      </w:r>
      <w:r>
        <w:t xml:space="preserve">) </w:t>
      </w:r>
      <w:r>
        <w:rPr>
          <w:i/>
          <w:iCs/>
        </w:rPr>
        <w:t xml:space="preserve">and</w:t>
      </w:r>
      <w:r>
        <w:t xml:space="preserve"> as documents (the Q2 SAR summary PDF, the ACH batch JSON). One glossary must cover both.</w:t>
      </w: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028070"/>
            <wp:docPr id="101" name="two-app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two-apps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business glossary</w:t>
      </w:r>
      <w:r>
        <w:t xml:space="preserve"> for PDC — one reviewed term per business-meaningful column and document folder, each with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…), rule-based sensitivity, CDE flags, and steward assignments — plus the </w:t>
      </w:r>
      <w:r>
        <w:rPr>
          <w:b/>
          <w:bCs/>
        </w:rPr>
        <w:t xml:space="preserve">Registry</w:t>
      </w:r>
      <w:r>
        <w:t xml:space="preserve"> the Policy Generator will later read to emit Data Identification methods.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Stand up the sources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data_sources/lab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cp .env.example .env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up                    # shared postgres + minio (all scenarios)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make load SCENARIO=CSCU    # cscu_core db + cscu-documents bucket, verified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make console</w:t>
      </w:r>
      <w:r>
        <w:t xml:space="preserve"> reprints the PDC connection values (database 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object store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).</w:t>
      </w:r>
    </w:p>
    <w:p>
      <w:pPr>
        <w:pStyle w:val="Heading2"/>
      </w:pPr>
      <w:r>
        <w:t xml:space="preserve">Step 2 — Register the sources in PDC</w:t>
      </w:r>
    </w:p>
    <w:p>
      <w:pPr>
        <w:spacing w:after="120"/>
      </w:pPr>
      <w:r>
        <w:t xml:space="preserve">Use the app's </w:t>
      </w:r>
      <w:r>
        <w:rPr>
          <w:b/>
          <w:bCs/>
        </w:rPr>
        <w:t xml:space="preserve">bulk loader</w:t>
      </w:r>
      <w:r>
        <w:t xml:space="preserve"> (Connections → Bulk-load data sources) with </w:t>
      </w:r>
      <w:r>
        <w:rPr>
          <w:rFonts w:ascii="Consolas" w:hAnsi="Consolas"/>
          <w:color w:val="0A5560"/>
          <w:sz w:val="20"/>
          <w:szCs w:val="20"/>
        </w:rPr>
        <w:t xml:space="preserve">data_sources/CSCU/cscu-datasources.csv</w:t>
      </w:r>
      <w:r>
        <w:t xml:space="preserve">, or create the two sources by hand. Then run </w:t>
      </w:r>
      <w:r>
        <w:rPr>
          <w:b/>
          <w:bCs/>
        </w:rPr>
        <w:t xml:space="preserve">Metadata Ingest → Profile → Data Identification</w:t>
      </w:r>
      <w:r>
        <w:t xml:space="preserve"> in PDC, and click </w:t>
      </w:r>
      <w:r>
        <w:rPr>
          <w:b/>
          <w:bCs/>
        </w:rPr>
        <w:t xml:space="preserve">Scan Files</w:t>
      </w:r>
      <w:r>
        <w:t xml:space="preserve"> on the document store. (Identify </w:t>
      </w:r>
      <w:r>
        <w:rPr>
          <w:i/>
          <w:iCs/>
        </w:rPr>
        <w:t xml:space="preserve">once</w:t>
      </w:r>
      <w:r>
        <w:t xml:space="preserve"> — the steward's overrides come later and must not be clobbered.)</w:t>
      </w:r>
    </w:p>
    <w:p>
      <w:pPr>
        <w:pStyle w:val="Heading2"/>
      </w:pPr>
      <w:r>
        <w:t xml:space="preserve">Step 3 — Install the scenario and start the app</w:t>
      </w:r>
    </w:p>
    <w:p>
      <w:pPr>
        <w:spacing w:after="120"/>
      </w:pPr>
      <w:r>
        <w:t xml:space="preserve">Unzip </w:t>
      </w:r>
      <w:r>
        <w:rPr>
          <w:rFonts w:ascii="Consolas" w:hAnsi="Consolas"/>
          <w:color w:val="0A5560"/>
          <w:sz w:val="20"/>
          <w:szCs w:val="20"/>
        </w:rPr>
        <w:t xml:space="preserve">cscu-domain-pack.zip</w:t>
      </w:r>
      <w:r>
        <w:t xml:space="preserve"> into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(this drops </w:t>
      </w:r>
      <w:r>
        <w:rPr>
          <w:rFonts w:ascii="Consolas" w:hAnsi="Consolas"/>
          <w:color w:val="0A5560"/>
          <w:sz w:val="20"/>
          <w:szCs w:val="20"/>
        </w:rPr>
        <w:t xml:space="preserve">domain_pack.json</w:t>
      </w:r>
      <w:r>
        <w:t xml:space="preserve"> and the </w:t>
      </w:r>
      <w:r>
        <w:rPr>
          <w:rFonts w:ascii="Consolas" w:hAnsi="Consolas"/>
          <w:color w:val="0A5560"/>
          <w:sz w:val="20"/>
          <w:szCs w:val="20"/>
        </w:rPr>
        <w:t xml:space="preserve">people.json</w:t>
      </w:r>
      <w:r>
        <w:t xml:space="preserve"> steward roster), delete any previous </w:t>
      </w:r>
      <w:r>
        <w:rPr>
          <w:rFonts w:ascii="Consolas" w:hAnsi="Consolas"/>
          <w:color w:val="0A5560"/>
          <w:sz w:val="20"/>
          <w:szCs w:val="20"/>
        </w:rPr>
        <w:t xml:space="preserve">tag_dictionary.json</w:t>
      </w:r>
      <w:r>
        <w:t xml:space="preserve">, then </w:t>
      </w:r>
      <w:r>
        <w:rPr>
          <w:rFonts w:ascii="Consolas" w:hAnsi="Consolas"/>
          <w:color w:val="0A5560"/>
          <w:sz w:val="20"/>
          <w:szCs w:val="20"/>
        </w:rPr>
        <w:t xml:space="preserve">./run.sh</w:t>
      </w:r>
      <w:r>
        <w:t xml:space="preserve">. Confirm on </w:t>
      </w:r>
      <w:r>
        <w:rPr>
          <w:rFonts w:ascii="Consolas" w:hAnsi="Consolas"/>
          <w:color w:val="0A5560"/>
          <w:sz w:val="20"/>
          <w:szCs w:val="20"/>
        </w:rPr>
        <w:t xml:space="preserve">/config</w:t>
      </w:r>
      <w:r>
        <w:t xml:space="preserve"> that </w:t>
      </w:r>
      <w:r>
        <w:rPr>
          <w:rFonts w:ascii="Consolas" w:hAnsi="Consolas"/>
          <w:color w:val="0A5560"/>
          <w:sz w:val="20"/>
          <w:szCs w:val="20"/>
        </w:rPr>
        <w:t xml:space="preserve">GLOSSARY_COMPANY=Copper State Credit Union</w:t>
      </w:r>
      <w:r>
        <w:t xml:space="preserve">.</w:t>
      </w:r>
    </w:p>
    <w:p>
      <w:pPr>
        <w:pStyle w:val="Heading2"/>
      </w:pPr>
      <w:r>
        <w:t xml:space="preserve">Step 4 — Scan &amp; review</w:t>
      </w:r>
    </w:p>
    <w:p>
      <w:pPr>
        <w:spacing w:after="120"/>
      </w:pPr>
      <w:r>
        <w:t xml:space="preserve">Connect to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 (schema </w:t>
      </w:r>
      <w:r>
        <w:rPr>
          <w:rFonts w:ascii="Consolas" w:hAnsi="Consolas"/>
          <w:color w:val="0A5560"/>
          <w:sz w:val="20"/>
          <w:szCs w:val="20"/>
        </w:rPr>
        <w:t xml:space="preserve">cscu_core</w:t>
      </w:r>
      <w:r>
        <w:t xml:space="preserve">, read-only </w:t>
      </w:r>
      <w:r>
        <w:rPr>
          <w:rFonts w:ascii="Consolas" w:hAnsi="Consolas"/>
          <w:color w:val="0A5560"/>
          <w:sz w:val="20"/>
          <w:szCs w:val="20"/>
        </w:rPr>
        <w:t xml:space="preserve">pdc_user</w:t>
      </w:r>
      <w:r>
        <w:t xml:space="preserve">), </w:t>
      </w:r>
      <w:r>
        <w:rPr>
          <w:b/>
          <w:bCs/>
        </w:rPr>
        <w:t xml:space="preserve">Scan</w:t>
      </w:r>
      <w:r>
        <w:t xml:space="preserve">, then </w:t>
      </w:r>
      <w:r>
        <w:rPr>
          <w:b/>
          <w:bCs/>
        </w:rPr>
        <w:t xml:space="preserve">Add to glossary</w:t>
      </w:r>
      <w:r>
        <w:t xml:space="preserve"> from the MinIO bucket so one glossary spans both sources. On the review grid: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expansions: </w:t>
      </w:r>
      <w:r>
        <w:rPr>
          <w:rFonts w:ascii="Consolas" w:hAnsi="Consolas"/>
          <w:color w:val="0A5560"/>
          <w:sz w:val="20"/>
          <w:szCs w:val="20"/>
        </w:rPr>
        <w:t xml:space="preserve">mbr_since_dt</w:t>
      </w:r>
      <w:r>
        <w:t xml:space="preserve"> → </w:t>
      </w:r>
      <w:r>
        <w:rPr>
          <w:i/>
          <w:iCs/>
        </w:rPr>
        <w:t xml:space="preserve">Member Since Date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apr_rt</w:t>
      </w:r>
      <w:r>
        <w:t xml:space="preserve"> → </w:t>
      </w:r>
      <w:r>
        <w:rPr>
          <w:i/>
          <w:iCs/>
        </w:rPr>
        <w:t xml:space="preserve">APR Rate</w:t>
      </w:r>
      <w:r>
        <w:t xml:space="preserve">. Edit anything weak.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sensitivity: </w:t>
      </w:r>
      <w:r>
        <w:rPr>
          <w:rFonts w:ascii="Consolas" w:hAnsi="Consolas"/>
          <w:color w:val="0A5560"/>
          <w:sz w:val="20"/>
          <w:szCs w:val="20"/>
        </w:rPr>
        <w:t xml:space="preserve">ssn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card_no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acct_no</w:t>
      </w:r>
      <w:r>
        <w:t xml:space="preserve"> must be HIGH. The profiler and the pack's sensitivity floors should already say so — verify, don't trust.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the planted violation: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cvv_cd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cards</w:t>
      </w:r>
      <w:r>
        <w:t xml:space="preserve">. Its column comment and the PCI attestation PDF both flag it. Keep the term, set sensitivity HIGH, tag 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and note the remediation in the definition — the glossary is where the finding becomes visible to everyone.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the tags the CSCU pack derived: </w:t>
      </w:r>
      <w:r>
        <w:rPr>
          <w:rFonts w:ascii="Consolas" w:hAnsi="Consolas"/>
          <w:color w:val="0A5560"/>
          <w:sz w:val="20"/>
          <w:szCs w:val="20"/>
        </w:rPr>
        <w:t xml:space="preserve">ach_rte_no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payments · ach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risk_rating_cd</w:t>
      </w:r>
      <w:r>
        <w:t xml:space="preserve"> → </w:t>
      </w:r>
      <w:r>
        <w:rPr>
          <w:rFonts w:ascii="Consolas" w:hAnsi="Consolas"/>
          <w:color w:val="0A5560"/>
          <w:sz w:val="20"/>
          <w:szCs w:val="20"/>
        </w:rPr>
        <w:t xml:space="preserve">compliance · aml</w:t>
      </w:r>
      <w:r>
        <w:t xml:space="preserve">, statements folder → </w:t>
      </w:r>
      <w:r>
        <w:rPr>
          <w:rFonts w:ascii="Consolas" w:hAnsi="Consolas"/>
          <w:color w:val="0A5560"/>
          <w:sz w:val="20"/>
          <w:szCs w:val="20"/>
        </w:rPr>
        <w:t xml:space="preserve">statement · records</w:t>
      </w:r>
      <w:r>
        <w:t xml:space="preserve">. A bare </w:t>
      </w:r>
      <w:r>
        <w:rPr>
          <w:rFonts w:ascii="Consolas" w:hAnsi="Consolas"/>
          <w:color w:val="0A5560"/>
          <w:sz w:val="20"/>
          <w:szCs w:val="20"/>
        </w:rPr>
        <w:t xml:space="preserve">document</w:t>
      </w:r>
      <w:r>
        <w:t xml:space="preserve"> tag means a vocabulary gap — extend the pack, don't hand-edit. Tags are standardised </w:t>
      </w:r>
      <w:r>
        <w:rPr>
          <w:b/>
          <w:bCs/>
        </w:rPr>
        <w:t xml:space="preserve">lower-case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never 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) — they are search facets in PDC, and case variants would fragment the facet.</w:t>
      </w:r>
    </w:p>
    <w:p>
      <w:pPr>
        <w:pStyle w:val="Heading2"/>
      </w:pPr>
      <w:r>
        <w:t xml:space="preserve">Step 4a — Put the agents to work</w:t>
      </w:r>
    </w:p>
    <w:p>
      <w:pPr>
        <w:spacing w:after="120"/>
      </w:pPr>
      <w:r>
        <w:t xml:space="preserve">The grid carries a set of local AI agents. They share one contract: the deterministic rules run first, the model only adds judgment, every proposal is guardrailed to the governed vocabulary, and </w:t>
      </w:r>
      <w:r>
        <w:rPr>
          <w:b/>
          <w:bCs/>
        </w:rPr>
        <w:t xml:space="preserve">nothing applies itself</w:t>
      </w:r>
      <w:r>
        <w:t xml:space="preserve"> — you click.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suggest (evidence)</w:t>
      </w:r>
      <w:r>
        <w:t xml:space="preserve"> — the model reads each row's </w:t>
      </w:r>
      <w:r>
        <w:rPr>
          <w:i/>
          <w:iCs/>
        </w:rPr>
        <w:t xml:space="preserve">scan evidence</w:t>
      </w:r>
      <w:r>
        <w:t xml:space="preserve"> (the induced value format such as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, profiled reference values, PII class) and proposes the business name (as a suggestion chip), governed tags, and a tighten-only sensitivity.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Duplicate groups come with advice.</w:t>
      </w:r>
      <w:r>
        <w:t xml:space="preserve"> Every duplicate header now recommends </w:t>
      </w:r>
      <w:r>
        <w:rPr>
          <w:b/>
          <w:bCs/>
        </w:rPr>
        <w:t xml:space="preserve">Merge / Disambiguate / Keep separate</w:t>
      </w:r>
      <w:r>
        <w:t xml:space="preserve">, with the reason: a foreign key between the columns (same concept by construction), matching or conflicting induced formats, overlapping or disjoint code lists. </w:t>
      </w:r>
      <w:r>
        <w:rPr>
          <w:b/>
          <w:bCs/>
        </w:rPr>
        <w:t xml:space="preserve">AI advise</w:t>
      </w:r>
      <w:r>
        <w:t xml:space="preserve"> escalates the ambiguous groups — it samples live values from the member columns over your connection and compares the actual populations, then lets the model adjudicate whatever is still unclear.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QA definitions</w:t>
      </w:r>
      <w:r>
        <w:t xml:space="preserve"> — a linter (circular, vague, echoed, copy-pasted definitions) plus the model judging whether each definition actually explains the business meaning; flagged rows get a proposed rewrite you apply per row. Run it before Generate — checkpoints 2 and 3 are easier to defend with clean definitions.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AI categorize</w:t>
      </w:r>
      <w:r>
        <w:t xml:space="preserve"> — files any uncategorized terms into the known categories.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Find similar</w:t>
      </w:r>
      <w:r>
        <w:t xml:space="preserve"> — proposes same-concept merges across </w:t>
      </w:r>
      <w:r>
        <w:rPr>
          <w:i/>
          <w:iCs/>
        </w:rPr>
        <w:t xml:space="preserve">different</w:t>
      </w:r>
      <w:r>
        <w:t xml:space="preserve"> names (</w:t>
      </w:r>
      <w:r>
        <w:rPr>
          <w:rFonts w:ascii="Consolas" w:hAnsi="Consolas"/>
          <w:color w:val="0A5560"/>
          <w:sz w:val="20"/>
          <w:szCs w:val="20"/>
        </w:rPr>
        <w:t xml:space="preserve">phone</w:t>
      </w:r>
      <w:r>
        <w:t xml:space="preserve"> vs </w:t>
      </w:r>
      <w:r>
        <w:rPr>
          <w:rFonts w:ascii="Consolas" w:hAnsi="Consolas"/>
          <w:color w:val="0A5560"/>
          <w:sz w:val="20"/>
          <w:szCs w:val="20"/>
        </w:rPr>
        <w:t xml:space="preserve">cust_phone_no</w:t>
      </w:r>
      <w:r>
        <w:t xml:space="preserve">), and now reads the data evidence too: a shape match is marked </w:t>
      </w:r>
      <w:r>
        <w:rPr>
          <w:i/>
          <w:iCs/>
        </w:rPr>
        <w:t xml:space="preserve">strong</w:t>
      </w:r>
      <w:r>
        <w:t xml:space="preserve">, while look-alike names holding different data are flagged </w:t>
      </w:r>
      <w:r>
        <w:rPr>
          <w:b/>
          <w:bCs/>
        </w:rPr>
        <w:t xml:space="preserve">different concepts</w:t>
      </w:r>
      <w:r>
        <w:t xml:space="preserve"> with the merge withheld.</w:t>
      </w:r>
    </w:p>
    <w:p>
      <w:pPr>
        <w:pStyle w:val="Heading2"/>
      </w:pPr>
      <w:r>
        <w:t xml:space="preserve">Step 5 — Govern</w:t>
      </w:r>
    </w:p>
    <w:p>
      <w:pPr>
        <w:spacing w:after="120"/>
      </w:pPr>
      <w:r>
        <w:t xml:space="preserve">The roster is pre-seeded with the CSCU team, each steward carrying the expertise keywords the matcher uses. </w:t>
      </w:r>
      <w:r>
        <w:rPr>
          <w:b/>
          <w:bCs/>
        </w:rPr>
        <w:t xml:space="preserve">Auto-assign all slots</w:t>
      </w:r>
      <w:r>
        <w:t xml:space="preserve"> and verify the result: </w:t>
      </w:r>
      <w:r>
        <w:rPr>
          <w:i/>
          <w:iCs/>
        </w:rPr>
        <w:t xml:space="preserve">Elena Ramirez</w:t>
      </w:r>
      <w:r>
        <w:t xml:space="preserve"> stewards </w:t>
      </w:r>
      <w:r>
        <w:rPr>
          <w:b/>
          <w:bCs/>
        </w:rPr>
        <w:t xml:space="preserve">Member, Accounts &amp; Deposits, Transactions, Branch Operations</w:t>
      </w:r>
      <w:r>
        <w:t xml:space="preserve">; </w:t>
      </w:r>
      <w:r>
        <w:rPr>
          <w:i/>
          <w:iCs/>
        </w:rPr>
        <w:t xml:space="preserve">Marcus Webb</w:t>
      </w:r>
      <w:r>
        <w:t xml:space="preserve"> </w:t>
      </w:r>
      <w:r>
        <w:rPr>
          <w:b/>
          <w:bCs/>
        </w:rPr>
        <w:t xml:space="preserve">Lending, Finance &amp; Ledger</w:t>
      </w:r>
      <w:r>
        <w:t xml:space="preserve">; </w:t>
      </w:r>
      <w:r>
        <w:rPr>
          <w:i/>
          <w:iCs/>
        </w:rPr>
        <w:t xml:space="preserve">Nadia Flores</w:t>
      </w:r>
      <w:r>
        <w:t xml:space="preserve"> </w:t>
      </w:r>
      <w:r>
        <w:rPr>
          <w:b/>
          <w:bCs/>
        </w:rPr>
        <w:t xml:space="preserve">Compliance &amp; Risk, Records &amp; Documents</w:t>
      </w:r>
      <w:r>
        <w:t xml:space="preserve">; </w:t>
      </w:r>
      <w:r>
        <w:rPr>
          <w:i/>
          <w:iCs/>
        </w:rPr>
        <w:t xml:space="preserve">Tom Callahan</w:t>
      </w:r>
      <w:r>
        <w:t xml:space="preserve"> </w:t>
      </w:r>
      <w:r>
        <w:rPr>
          <w:b/>
          <w:bCs/>
        </w:rPr>
        <w:t xml:space="preserve">Cards &amp; Payments</w:t>
      </w:r>
      <w:r>
        <w:t xml:space="preserve">. Elena's Data Steward role fills the </w:t>
      </w:r>
      <w:r>
        <w:rPr>
          <w:b/>
          <w:bCs/>
        </w:rPr>
        <w:t xml:space="preserve">owner</w:t>
      </w:r>
      <w:r>
        <w:t xml:space="preserve"> slots, and </w:t>
      </w:r>
      <w:r>
        <w:rPr>
          <w:i/>
          <w:iCs/>
        </w:rPr>
        <w:t xml:space="preserve">Omar Haddad</w:t>
      </w:r>
      <w:r>
        <w:t xml:space="preserve"> (Data Storage Administrator) fills every </w:t>
      </w:r>
      <w:r>
        <w:rPr>
          <w:b/>
          <w:bCs/>
        </w:rPr>
        <w:t xml:space="preserve">custodian</w:t>
      </w:r>
      <w:r>
        <w:t xml:space="preserve"> slot — every pick shows its confidence and matched terms. Set ratings (Auto/DQ), review date, and status.</w:t>
      </w:r>
    </w:p>
    <w:p>
      <w:pPr>
        <w:pStyle w:val="Heading2"/>
      </w:pPr>
      <w:r>
        <w:t xml:space="preserve">Step 6 — Generate, import, resolve, apply</w:t>
      </w:r>
    </w:p>
    <w:p>
      <w:pPr>
        <w:spacing w:after="120"/>
      </w:pPr>
      <w:r>
        <w:rPr>
          <w:b/>
          <w:bCs/>
        </w:rPr>
        <w:t xml:space="preserve">Generate JSONL</w:t>
      </w:r>
      <w:r>
        <w:t xml:space="preserve"> (writes the Registry alongside), import it in PDC (</w:t>
      </w:r>
      <w:r>
        <w:rPr>
          <w:b/>
          <w:bCs/>
        </w:rPr>
        <w:t xml:space="preserve">Business Glossary → Actions → Import</w:t>
      </w:r>
      <w:r>
        <w:t xml:space="preserve">), </w:t>
      </w:r>
      <w:r>
        <w:rPr>
          <w:b/>
          <w:bCs/>
        </w:rPr>
        <w:t xml:space="preserve">Resolve term ids</w:t>
      </w:r>
      <w:r>
        <w:t xml:space="preserve">, then </w:t>
      </w:r>
      <w:r>
        <w:rPr>
          <w:b/>
          <w:bCs/>
        </w:rPr>
        <w:t xml:space="preserve">Apply to PDC</w:t>
      </w:r>
      <w:r>
        <w:t xml:space="preserve"> — dry-run first, always. Finish with the Trust Score rollup.</w:t>
      </w:r>
    </w:p>
    <w:p>
      <w:pPr>
        <w:pStyle w:val="Heading2"/>
      </w:pPr>
      <w:r>
        <w:t xml:space="preserve">Step 7 — Draft the Data Identification rules</w:t>
      </w:r>
    </w:p>
    <w:p>
      <w:pPr>
        <w:spacing w:after="120"/>
      </w:pPr>
      <w:r>
        <w:t xml:space="preserve">Still on the Govern page, click </w:t>
      </w:r>
      <w:r>
        <w:rPr>
          <w:b/>
          <w:bCs/>
        </w:rPr>
        <w:t xml:space="preserve">Draft policies (AI)</w:t>
      </w:r>
      <w:r>
        <w:t xml:space="preserve">. Every kept term whose scan produced a detection seed becomes a ready-to-import PDC rule: the induced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becomes a </w:t>
      </w:r>
      <w:r>
        <w:rPr>
          <w:b/>
          <w:bCs/>
        </w:rPr>
        <w:t xml:space="preserve">Data Pattern</w:t>
      </w:r>
      <w:r>
        <w:t xml:space="preserve">, the profiled code lists (risk ratings, SAR statuses, …) become </w:t>
      </w:r>
      <w:r>
        <w:rPr>
          <w:b/>
          <w:bCs/>
        </w:rPr>
        <w:t xml:space="preserve">Dictionaries</w:t>
      </w:r>
      <w:r>
        <w:t xml:space="preserve"> with their values CSVs — one zip, with an INDEX. The AI agent polishes each rule's column-name hint and tag pick, guardrailed to the governed vocabulary. Review every rule, then import under </w:t>
      </w:r>
      <w:r>
        <w:rPr>
          <w:b/>
          <w:bCs/>
        </w:rPr>
        <w:t xml:space="preserve">Management → Data Identification</w:t>
      </w:r>
      <w:r>
        <w:t xml:space="preserve"> (the Technical Track's Module 03 teaches exactly what each field means).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11 tables + 18 documents scanned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Sources chip on the Glossary page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cvv_cd</w:t>
            </w:r>
            <w:r>
              <w:t xml:space="preserve"> flagged HIGH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pci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review grid row + your note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SAR terms marked CDE, HIGH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suspicious_activity</w:t>
            </w:r>
            <w:r>
              <w:t xml:space="preserve"> terms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Tags all governed (no drift)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Dictionary page: 0 off-vocabulary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Stewards assigned per domain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 page slots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written at export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registries/registry.&lt;glossary&gt;.json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Definition QA clean, policies drafted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QA panel empty · drafted-policies.zip</w:t>
            </w:r>
          </w:p>
        </w:tc>
      </w:tr>
    </w:tbl>
    <w:p>
      <w:pPr>
        <w:spacing w:after="120"/>
      </w:pPr>
    </w:p>
    <w:p>
      <w:pPr>
        <w:jc w:val="center"/>
        <w:spacing w:before="120" w:after="160"/>
      </w:pPr>
      <w:r>
        <w:drawing>
          <wp:inline xmlns:wp="http://schemas.openxmlformats.org/drawingml/2006/wordprocessingDrawing" distT="0" distB="0" distL="0" distR="0">
            <wp:extent cx="5760720" cy="3256059"/>
            <wp:docPr id="102" name="registry-spin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registry-spine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5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The Registry you just produced is the input contract for the </w:t>
      </w:r>
      <w:r>
        <w:rPr>
          <w:b/>
          <w:bCs/>
        </w:rPr>
        <w:t xml:space="preserve">Policy Generator</w:t>
      </w:r>
      <w:r>
        <w:t xml:space="preserve">. Its </w:t>
      </w:r>
      <w:r>
        <w:rPr>
          <w:i/>
          <w:iCs/>
        </w:rPr>
        <w:t xml:space="preserve">authoring</w:t>
      </w:r>
      <w:r>
        <w:t xml:space="preserve"> half already runs inside this app — </w:t>
      </w:r>
      <w:r>
        <w:rPr>
          <w:b/>
          <w:bCs/>
        </w:rPr>
        <w:t xml:space="preserve">Draft policies (AI)</w:t>
      </w:r>
      <w:r>
        <w:t xml:space="preserve"> turned your detection seeds into importable dictionaries and patterns in Step 7. The remaining half — binding the rules to reconciled term ids over the API and </w:t>
      </w:r>
      <w:r>
        <w:rPr>
          <w:b/>
          <w:bCs/>
        </w:rPr>
        <w:t xml:space="preserve">drift-checking</w:t>
      </w:r>
      <w:r>
        <w:t xml:space="preserve"> deployed methods against the Registry — is the separate Policy Generator session.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Glossary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Relationship Id="rId101" Type="http://schemas.openxmlformats.org/officeDocument/2006/relationships/image" Target="media/two-apps.png"/><Relationship Id="rId102" Type="http://schemas.openxmlformats.org/officeDocument/2006/relationships/image" Target="media/registry-spine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the Glossary with the Glossary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