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STRUCTURE &amp; METADATA</w:t>
      </w:r>
    </w:p>
    <w:p>
      <w:pPr>
        <w:spacing w:before="200"/>
      </w:pPr>
      <w:r>
        <w:rPr>
          <w:b/>
          <w:bCs/>
          <w:color w:val="5B7782"/>
          <w:spacing w:val="20"/>
          <w:sz w:val="32"/>
          <w:szCs w:val="32"/>
        </w:rPr>
        <w:t xml:space="preserve">WORKSHOP 2</w:t>
      </w:r>
    </w:p>
    <w:p>
      <w:pPr>
        <w:spacing w:before="320"/>
      </w:pPr>
      <w:r>
        <w:rPr>
          <w:rFonts w:ascii="Cambria" w:eastAsia="Cambria" w:hAnsi="Cambria" w:cs="Cambria"/>
          <w:b/>
          <w:bCs/>
          <w:color w:val="14333F"/>
          <w:sz w:val="56"/>
          <w:szCs w:val="56"/>
        </w:rPr>
        <w:t xml:space="preserve">Explore Structure &amp; Metadata</w:t>
      </w:r>
    </w:p>
    <w:p>
      <w:pPr>
        <w:spacing w:before="200"/>
      </w:pPr>
      <w:r>
        <w:rPr>
          <w:color w:val="065A82"/>
          <w:sz w:val="28"/>
          <w:szCs w:val="28"/>
        </w:rPr>
        <w:t xml:space="preserve">Read what the ingest captured — schemas, columns, comments and documents — through analyst eyes.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Copper State Credit Union (cscu_core + cscu-documents)</w:t>
      </w:r>
    </w:p>
    <w:p>
      <w:pPr>
        <w:pStyle w:val="Heading1"/>
      </w:pPr>
      <w:r>
        <w:t xml:space="preserve">Why this workshop matters</w:t>
      </w:r>
    </w:p>
    <w:p>
      <w:pPr>
        <w:spacing w:after="120"/>
      </w:pPr>
      <w:r>
        <w:t xml:space="preserve">A catalog is only as useful as the metadata it holds. In Workshop 1 you connected two data sources; now you learn to read what PDC captured about them. For a Copper State Credit Union analyst, this is the difference between staring at a table called </w:t>
      </w:r>
      <w:r>
        <w:rPr>
          <w:rFonts w:ascii="Consolas" w:hAnsi="Consolas"/>
          <w:color w:val="0A5560"/>
          <w:sz w:val="20"/>
          <w:szCs w:val="20"/>
        </w:rPr>
        <w:t xml:space="preserve">members</w:t>
      </w:r>
      <w:r>
        <w:t xml:space="preserve"> and understanding that it holds personal data, is described by governed business terms, carries a trust score, and links to accounts and transactions. Metadata is the context that turns raw data into something a business can trust and govern.</w:t>
      </w:r>
    </w:p>
    <w:p>
      <w:pPr>
        <w:pBdr>
          <w:left w:val="single" w:sz="12" w:space="8" w:color="065A82"/>
        </w:pBdr>
        <w:shd w:val="clear" w:color="auto" w:fill="EEF6FA"/>
        <w:ind w:left="240" w:right="240"/>
        <w:spacing w:before="120" w:after="160"/>
      </w:pPr>
      <w:r>
        <w:rPr>
          <w:b/>
          <w:bCs/>
        </w:rPr>
        <w:t xml:space="preserve">The business problem.</w:t>
      </w:r>
      <w:r>
        <w:t xml:space="preserve"> A new analyst joins CSCU and is handed the </w:t>
      </w:r>
      <w:r>
        <w:rPr>
          <w:rFonts w:ascii="Consolas" w:hAnsi="Consolas"/>
          <w:color w:val="0A5560"/>
          <w:sz w:val="20"/>
          <w:szCs w:val="20"/>
        </w:rPr>
        <w:t xml:space="preserve">members</w:t>
      </w:r>
      <w:r>
        <w:t xml:space="preserve"> table. Which column identifies the member? Which holds personal data? Who owns the definition of "active member"? Without metadata, every one of these questions means interrupting a colleague. With a well-described catalog, the answers are on the asset's own pages. Workshop 2 teaches you to find them.</w:t>
      </w:r>
    </w:p>
    <w:p>
      <w:pPr>
        <w:pStyle w:val="Heading1"/>
      </w:pPr>
      <w:r>
        <w:t xml:space="preserve">What you will learn</w:t>
      </w:r>
    </w:p>
    <w:p>
      <w:pPr>
        <w:pStyle w:val="ListParagraph"/>
        <w:numPr>
          <w:ilvl w:val="0"/>
          <w:numId w:val="2"/>
        </w:numPr>
        <w:spacing w:after="60"/>
      </w:pPr>
      <w:r>
        <w:t xml:space="preserve">The three layers of metadata — technical, business, and operational — and what each tells you.</w:t>
      </w:r>
    </w:p>
    <w:p>
      <w:pPr>
        <w:pStyle w:val="ListParagraph"/>
        <w:numPr>
          <w:ilvl w:val="0"/>
          <w:numId w:val="2"/>
        </w:numPr>
        <w:spacing w:after="60"/>
      </w:pPr>
      <w:r>
        <w:t xml:space="preserve">How to read a table's columns, data types, sizes, and nullability in the Data Canvas — and where key relationships appear once they are discovered.</w:t>
      </w:r>
    </w:p>
    <w:p>
      <w:pPr>
        <w:pStyle w:val="ListParagraph"/>
        <w:numPr>
          <w:ilvl w:val="0"/>
          <w:numId w:val="2"/>
        </w:numPr>
        <w:spacing w:after="60"/>
      </w:pPr>
      <w:r>
        <w:t xml:space="preserve">How to read an asset's business metadata — its Description, Remarks, linked Business Terms and Sensitivity — and where governance roles like Domain, Classification, and Business Steward actually live.</w:t>
      </w:r>
    </w:p>
    <w:p>
      <w:pPr>
        <w:pStyle w:val="ListParagraph"/>
        <w:numPr>
          <w:ilvl w:val="0"/>
          <w:numId w:val="2"/>
        </w:numPr>
        <w:spacing w:after="60"/>
      </w:pPr>
      <w:r>
        <w:t xml:space="preserve">How the same three-layer model applies to an unstructured document, not just a table.</w:t>
      </w:r>
    </w:p>
    <w:p>
      <w:pPr>
        <w:pStyle w:val="ListParagraph"/>
        <w:numPr>
          <w:ilvl w:val="0"/>
          <w:numId w:val="2"/>
        </w:numPr>
        <w:spacing w:after="60"/>
      </w:pPr>
      <w:r>
        <w:t xml:space="preserve">How to spot a metadata gap — a missing definition or owner — that needs a steward's attention.</w:t>
      </w:r>
    </w:p>
    <w:p>
      <w:pPr>
        <w:pStyle w:val="Heading1"/>
      </w:pPr>
      <w:r>
        <w:t xml:space="preserve">Background: the three layers of metadata</w:t>
      </w:r>
    </w:p>
    <w:p>
      <w:pPr>
        <w:spacing w:after="120"/>
      </w:pPr>
      <w:r>
        <w:t xml:space="preserve">PDC organizes what it knows about every asset into three layers. Learning to read all three is the core skill of this workshop:</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Layer</w:t>
            </w:r>
          </w:p>
        </w:tc>
        <w:tc>
          <w:tcPr>
            <w:tcW w:w="3430" w:type="dxa"/>
            <w:shd w:val="clear" w:color="auto" w:fill="EEF6FA"/>
            <w:tcMar>
              <w:top w:w="120" w:type="dxa"/>
              <w:left w:w="180" w:type="dxa"/>
              <w:bottom w:w="120" w:type="dxa"/>
              <w:right w:w="180" w:type="dxa"/>
            </w:tcMar>
          </w:tcPr>
          <w:p>
            <w:pPr>
              <w:spacing w:after="0"/>
            </w:pPr>
            <w:r>
              <w:rPr>
                <w:b/>
                <w:bCs/>
              </w:rPr>
              <w:t xml:space="preserve">Answers the question</w:t>
            </w:r>
          </w:p>
        </w:tc>
        <w:tc>
          <w:tcPr>
            <w:tcW w:w="3430" w:type="dxa"/>
            <w:shd w:val="clear" w:color="auto" w:fill="EEF6FA"/>
            <w:tcMar>
              <w:top w:w="120" w:type="dxa"/>
              <w:left w:w="180" w:type="dxa"/>
              <w:bottom w:w="120" w:type="dxa"/>
              <w:right w:w="180" w:type="dxa"/>
            </w:tcMar>
          </w:tcPr>
          <w:p>
            <w:pPr>
              <w:spacing w:after="0"/>
            </w:pPr>
            <w:r>
              <w:rPr>
                <w:b/>
                <w:bCs/>
              </w:rPr>
              <w:t xml:space="preserve">Example for </w:t>
            </w:r>
            <w:r>
              <w:rPr>
                <w:b/>
                <w:bCs/>
                <w:rFonts w:ascii="Consolas" w:hAnsi="Consolas"/>
                <w:color w:val="0A5560"/>
                <w:sz w:val="20"/>
                <w:szCs w:val="20"/>
              </w:rPr>
              <w:t xml:space="preserve">members</w:t>
            </w:r>
          </w:p>
        </w:tc>
      </w:tr>
      <w:tr>
        <w:tc>
          <w:tcPr>
            <w:tcW w:w="2500" w:type="dxa"/>
            <w:tcMar>
              <w:top w:w="120" w:type="dxa"/>
              <w:left w:w="180" w:type="dxa"/>
              <w:bottom w:w="120" w:type="dxa"/>
              <w:right w:w="180" w:type="dxa"/>
            </w:tcMar>
          </w:tcPr>
          <w:p>
            <w:pPr>
              <w:spacing w:after="0"/>
            </w:pPr>
            <w:r>
              <w:t xml:space="preserve">Technical</w:t>
            </w:r>
          </w:p>
        </w:tc>
        <w:tc>
          <w:tcPr>
            <w:tcW w:w="3430" w:type="dxa"/>
            <w:tcMar>
              <w:top w:w="120" w:type="dxa"/>
              <w:left w:w="180" w:type="dxa"/>
              <w:bottom w:w="120" w:type="dxa"/>
              <w:right w:w="180" w:type="dxa"/>
            </w:tcMar>
          </w:tcPr>
          <w:p>
            <w:pPr>
              <w:spacing w:after="0"/>
            </w:pPr>
            <w:r>
              <w:t xml:space="preserve">What is it, physically?</w:t>
            </w:r>
          </w:p>
        </w:tc>
        <w:tc>
          <w:tcPr>
            <w:tcW w:w="3430" w:type="dxa"/>
            <w:tcMar>
              <w:top w:w="120" w:type="dxa"/>
              <w:left w:w="180" w:type="dxa"/>
              <w:bottom w:w="120" w:type="dxa"/>
              <w:right w:w="180" w:type="dxa"/>
            </w:tcMar>
          </w:tcPr>
          <w:p>
            <w:pPr>
              <w:spacing w:after="0"/>
            </w:pPr>
            <w:r>
              <w:t xml:space="preserve">Columns, data types, primary/foreign keys, row count</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What does it mean?</w:t>
            </w:r>
          </w:p>
        </w:tc>
        <w:tc>
          <w:tcPr>
            <w:tcW w:w="3430" w:type="dxa"/>
            <w:tcMar>
              <w:top w:w="120" w:type="dxa"/>
              <w:left w:w="180" w:type="dxa"/>
              <w:bottom w:w="120" w:type="dxa"/>
              <w:right w:w="180" w:type="dxa"/>
            </w:tcMar>
          </w:tcPr>
          <w:p>
            <w:pPr>
              <w:spacing w:after="0"/>
            </w:pPr>
            <w:r>
              <w:t xml:space="preserve">Description / Remarks, linked Business Terms, Sensitivity (Domain, Classification &amp; Business Steward live on the Glossary term)</w:t>
            </w:r>
          </w:p>
        </w:tc>
      </w:tr>
      <w:tr>
        <w:tc>
          <w:tcPr>
            <w:tcW w:w="2500" w:type="dxa"/>
            <w:tcMar>
              <w:top w:w="120" w:type="dxa"/>
              <w:left w:w="180" w:type="dxa"/>
              <w:bottom w:w="120" w:type="dxa"/>
              <w:right w:w="180" w:type="dxa"/>
            </w:tcMar>
          </w:tcPr>
          <w:p>
            <w:pPr>
              <w:spacing w:after="0"/>
            </w:pPr>
            <w:r>
              <w:t xml:space="preserve">Operational</w:t>
            </w:r>
          </w:p>
        </w:tc>
        <w:tc>
          <w:tcPr>
            <w:tcW w:w="3430" w:type="dxa"/>
            <w:tcMar>
              <w:top w:w="120" w:type="dxa"/>
              <w:left w:w="180" w:type="dxa"/>
              <w:bottom w:w="120" w:type="dxa"/>
              <w:right w:w="180" w:type="dxa"/>
            </w:tcMar>
          </w:tcPr>
          <w:p>
            <w:pPr>
              <w:spacing w:after="0"/>
            </w:pPr>
            <w:r>
              <w:t xml:space="preserve">Can I trust it?</w:t>
            </w:r>
          </w:p>
        </w:tc>
        <w:tc>
          <w:tcPr>
            <w:tcW w:w="3430" w:type="dxa"/>
            <w:tcMar>
              <w:top w:w="120" w:type="dxa"/>
              <w:left w:w="180" w:type="dxa"/>
              <w:bottom w:w="120" w:type="dxa"/>
              <w:right w:w="180" w:type="dxa"/>
            </w:tcMar>
          </w:tcPr>
          <w:p>
            <w:pPr>
              <w:spacing w:after="0"/>
            </w:pPr>
            <w:r>
              <w:t xml:space="preserve">Quality score, last profiled date, lineage to other assets</w:t>
            </w:r>
          </w:p>
        </w:tc>
      </w:tr>
    </w:tbl>
    <w:p>
      <w:pPr>
        <w:spacing w:after="120"/>
      </w:pPr>
    </w:p>
    <w:p>
      <w:pPr>
        <w:spacing w:after="120"/>
      </w:pPr>
      <w:r>
        <w:t xml:space="preserve">Most technical metadata — columns, data types, sizes, and nullability — is captured automatically when you ingest a schema; row counts and the PK/FK column are added later by profiling: the PK/FK column reflects the keys declared in the source, surfaced by cross-table foreign-key detection once every related table is profiled.</w:t>
      </w:r>
    </w:p>
    <w:p>
      <w:pPr>
        <w:spacing w:after="120"/>
      </w:pPr>
      <w:r>
        <w:t xml:space="preserve">Business metadata is partly automatic and partly added by stewards — it is where human knowledge enters the catalog. Operational metadata accrues as the asset is profiled and used. Together they make an asset self-describing.</w:t>
      </w:r>
    </w:p>
    <w:p>
      <w:pPr>
        <w:pStyle w:val="Heading1"/>
      </w:pPr>
      <w:r>
        <w:t xml:space="preserve">What's populated now — and what appears after Workshop 4</w:t>
      </w:r>
    </w:p>
    <w:p>
      <w:pPr>
        <w:spacing w:after="120"/>
      </w:pPr>
      <w:r>
        <w:t xml:space="preserve">Workshop 1 ran only Metadata Ingest (for the schema) and Scan Files (for the documents). That fills in the technical layer completely, but the business and operational layers are produced by processing jobs you run in Workshops 4 and 5. So in this workshop you learn where each field lives and read what is there — and several fields will be empty until then. That is expected, not an error.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Processing job</w:t>
            </w:r>
          </w:p>
        </w:tc>
        <w:tc>
          <w:tcPr>
            <w:tcW w:w="3430" w:type="dxa"/>
            <w:shd w:val="clear" w:color="auto" w:fill="EEF6FA"/>
            <w:tcMar>
              <w:top w:w="120" w:type="dxa"/>
              <w:left w:w="180" w:type="dxa"/>
              <w:bottom w:w="120" w:type="dxa"/>
              <w:right w:w="180" w:type="dxa"/>
            </w:tcMar>
          </w:tcPr>
          <w:p>
            <w:pPr>
              <w:spacing w:after="0"/>
            </w:pPr>
            <w:r>
              <w:rPr>
                <w:b/>
                <w:bCs/>
              </w:rPr>
              <w:t xml:space="preserve">What it populates</w:t>
            </w:r>
          </w:p>
        </w:tc>
        <w:tc>
          <w:tcPr>
            <w:tcW w:w="3430" w:type="dxa"/>
            <w:shd w:val="clear" w:color="auto" w:fill="EEF6FA"/>
            <w:tcMar>
              <w:top w:w="120" w:type="dxa"/>
              <w:left w:w="180" w:type="dxa"/>
              <w:bottom w:w="120" w:type="dxa"/>
              <w:right w:w="180" w:type="dxa"/>
            </w:tcMar>
          </w:tcPr>
          <w:p>
            <w:pPr>
              <w:spacing w:after="0"/>
            </w:pPr>
            <w:r>
              <w:rPr>
                <w:b/>
                <w:bCs/>
              </w:rPr>
              <w:t xml:space="preserve">Available in Workshop 2?</w:t>
            </w:r>
          </w:p>
        </w:tc>
      </w:tr>
      <w:tr>
        <w:tc>
          <w:tcPr>
            <w:tcW w:w="2500" w:type="dxa"/>
            <w:tcMar>
              <w:top w:w="120" w:type="dxa"/>
              <w:left w:w="180" w:type="dxa"/>
              <w:bottom w:w="120" w:type="dxa"/>
              <w:right w:w="180" w:type="dxa"/>
            </w:tcMar>
          </w:tcPr>
          <w:p>
            <w:pPr>
              <w:spacing w:after="0"/>
            </w:pPr>
            <w:r>
              <w:t xml:space="preserve">Metadata Ingest (Workshop 1)</w:t>
            </w:r>
          </w:p>
        </w:tc>
        <w:tc>
          <w:tcPr>
            <w:tcW w:w="3430" w:type="dxa"/>
            <w:tcMar>
              <w:top w:w="120" w:type="dxa"/>
              <w:left w:w="180" w:type="dxa"/>
              <w:bottom w:w="120" w:type="dxa"/>
              <w:right w:w="180" w:type="dxa"/>
            </w:tcMar>
          </w:tcPr>
          <w:p>
            <w:pPr>
              <w:spacing w:after="0"/>
            </w:pPr>
            <w:r>
              <w:t xml:space="preserve">Technical layer — columns, data types, sizes, nullability; file size and format for documents</w:t>
            </w:r>
          </w:p>
        </w:tc>
        <w:tc>
          <w:tcPr>
            <w:tcW w:w="3430" w:type="dxa"/>
            <w:tcMar>
              <w:top w:w="120" w:type="dxa"/>
              <w:left w:w="180" w:type="dxa"/>
              <w:bottom w:w="120" w:type="dxa"/>
              <w:right w:w="180" w:type="dxa"/>
            </w:tcMar>
          </w:tcPr>
          <w:p>
            <w:pPr>
              <w:spacing w:after="0"/>
            </w:pPr>
            <w:r>
              <w:t xml:space="preserve">Yes — fully available now</w:t>
            </w:r>
          </w:p>
        </w:tc>
      </w:tr>
      <w:tr>
        <w:tc>
          <w:tcPr>
            <w:tcW w:w="2500" w:type="dxa"/>
            <w:tcMar>
              <w:top w:w="120" w:type="dxa"/>
              <w:left w:w="180" w:type="dxa"/>
              <w:bottom w:w="120" w:type="dxa"/>
              <w:right w:w="180" w:type="dxa"/>
            </w:tcMar>
          </w:tcPr>
          <w:p>
            <w:pPr>
              <w:spacing w:after="0"/>
            </w:pPr>
            <w:r>
              <w:t xml:space="preserve">Data Profiling / Data Discovery (Workshop 4)</w:t>
            </w:r>
          </w:p>
        </w:tc>
        <w:tc>
          <w:tcPr>
            <w:tcW w:w="3430" w:type="dxa"/>
            <w:tcMar>
              <w:top w:w="120" w:type="dxa"/>
              <w:left w:w="180" w:type="dxa"/>
              <w:bottom w:w="120" w:type="dxa"/>
              <w:right w:w="180" w:type="dxa"/>
            </w:tcMar>
          </w:tcPr>
          <w:p>
            <w:pPr>
              <w:spacing w:after="0"/>
            </w:pPr>
            <w:r>
              <w:t xml:space="preserve">Operational layer — column statistics, patterns, samples, row counts, last-profiled date; drives the foreign-key detection that fills the PK/FK column</w:t>
            </w:r>
          </w:p>
        </w:tc>
        <w:tc>
          <w:tcPr>
            <w:tcW w:w="3430" w:type="dxa"/>
            <w:tcMar>
              <w:top w:w="120" w:type="dxa"/>
              <w:left w:w="180" w:type="dxa"/>
              <w:bottom w:w="120" w:type="dxa"/>
              <w:right w:w="180" w:type="dxa"/>
            </w:tcMar>
          </w:tcPr>
          <w:p>
            <w:pPr>
              <w:spacing w:after="0"/>
            </w:pPr>
            <w:r>
              <w:t xml:space="preserve">No — empty until Workshop 4</w:t>
            </w:r>
          </w:p>
        </w:tc>
      </w:tr>
      <w:tr>
        <w:tc>
          <w:tcPr>
            <w:tcW w:w="2500" w:type="dxa"/>
            <w:tcMar>
              <w:top w:w="120" w:type="dxa"/>
              <w:left w:w="180" w:type="dxa"/>
              <w:bottom w:w="120" w:type="dxa"/>
              <w:right w:w="180" w:type="dxa"/>
            </w:tcMar>
          </w:tcPr>
          <w:p>
            <w:pPr>
              <w:spacing w:after="0"/>
            </w:pPr>
            <w:r>
              <w:t xml:space="preserve">Calculate Trust Score (Workshop 4)</w:t>
            </w:r>
          </w:p>
        </w:tc>
        <w:tc>
          <w:tcPr>
            <w:tcW w:w="3430" w:type="dxa"/>
            <w:tcMar>
              <w:top w:w="120" w:type="dxa"/>
              <w:left w:w="180" w:type="dxa"/>
              <w:bottom w:w="120" w:type="dxa"/>
              <w:right w:w="180" w:type="dxa"/>
            </w:tcMar>
          </w:tcPr>
          <w:p>
            <w:pPr>
              <w:spacing w:after="0"/>
            </w:pPr>
            <w:r>
              <w:t xml:space="preserve">Operational layer — the trust score, from data quality, ratings, lineage, and glossary terms; shown in Key Metrics</w:t>
            </w:r>
          </w:p>
        </w:tc>
        <w:tc>
          <w:tcPr>
            <w:tcW w:w="3430" w:type="dxa"/>
            <w:tcMar>
              <w:top w:w="120" w:type="dxa"/>
              <w:left w:w="180" w:type="dxa"/>
              <w:bottom w:w="120" w:type="dxa"/>
              <w:right w:w="180" w:type="dxa"/>
            </w:tcMar>
          </w:tcPr>
          <w:p>
            <w:pPr>
              <w:spacing w:after="0"/>
            </w:pPr>
            <w:r>
              <w:t xml:space="preserve">Default (0 / Untrusted) shows now; a real score needs profiling</w:t>
            </w:r>
          </w:p>
        </w:tc>
      </w:tr>
      <w:tr>
        <w:tc>
          <w:tcPr>
            <w:tcW w:w="2500" w:type="dxa"/>
            <w:tcMar>
              <w:top w:w="120" w:type="dxa"/>
              <w:left w:w="180" w:type="dxa"/>
              <w:bottom w:w="120" w:type="dxa"/>
              <w:right w:w="180" w:type="dxa"/>
            </w:tcMar>
          </w:tcPr>
          <w:p>
            <w:pPr>
              <w:spacing w:after="0"/>
            </w:pPr>
            <w:r>
              <w:t xml:space="preserve">Data Identification (Workshop 5)</w:t>
            </w:r>
          </w:p>
        </w:tc>
        <w:tc>
          <w:tcPr>
            <w:tcW w:w="3430" w:type="dxa"/>
            <w:tcMar>
              <w:top w:w="120" w:type="dxa"/>
              <w:left w:w="180" w:type="dxa"/>
              <w:bottom w:w="120" w:type="dxa"/>
              <w:right w:w="180" w:type="dxa"/>
            </w:tcMar>
          </w:tcPr>
          <w:p>
            <w:pPr>
              <w:spacing w:after="0"/>
            </w:pPr>
            <w:r>
              <w:t xml:space="preserve">Business layer — Tags and Business Terms applied from dictionaries and patterns</w:t>
            </w:r>
          </w:p>
        </w:tc>
        <w:tc>
          <w:tcPr>
            <w:tcW w:w="3430" w:type="dxa"/>
            <w:tcMar>
              <w:top w:w="120" w:type="dxa"/>
              <w:left w:w="180" w:type="dxa"/>
              <w:bottom w:w="120" w:type="dxa"/>
              <w:right w:w="180" w:type="dxa"/>
            </w:tcMar>
          </w:tcPr>
          <w:p>
            <w:pPr>
              <w:spacing w:after="0"/>
            </w:pPr>
            <w:r>
              <w:t xml:space="preserve">No — empty until Workshop 5</w:t>
            </w:r>
          </w:p>
        </w:tc>
      </w:tr>
      <w:tr>
        <w:tc>
          <w:tcPr>
            <w:tcW w:w="2500" w:type="dxa"/>
            <w:tcMar>
              <w:top w:w="120" w:type="dxa"/>
              <w:left w:w="180" w:type="dxa"/>
              <w:bottom w:w="120" w:type="dxa"/>
              <w:right w:w="180" w:type="dxa"/>
            </w:tcMar>
          </w:tcPr>
          <w:p>
            <w:pPr>
              <w:spacing w:after="0"/>
            </w:pPr>
            <w:r>
              <w:t xml:space="preserve">PII Detection</w:t>
            </w:r>
          </w:p>
        </w:tc>
        <w:tc>
          <w:tcPr>
            <w:tcW w:w="3430" w:type="dxa"/>
            <w:tcMar>
              <w:top w:w="120" w:type="dxa"/>
              <w:left w:w="180" w:type="dxa"/>
              <w:bottom w:w="120" w:type="dxa"/>
              <w:right w:w="180" w:type="dxa"/>
            </w:tcMar>
          </w:tcPr>
          <w:p>
            <w:pPr>
              <w:spacing w:after="0"/>
            </w:pPr>
            <w:r>
              <w:t xml:space="preserve">Column-level PII flags — scope-limited (JDBC tables and CSV/TSV in specific languages)</w:t>
            </w:r>
          </w:p>
        </w:tc>
        <w:tc>
          <w:tcPr>
            <w:tcW w:w="3430" w:type="dxa"/>
            <w:tcMar>
              <w:top w:w="120" w:type="dxa"/>
              <w:left w:w="180" w:type="dxa"/>
              <w:bottom w:w="120" w:type="dxa"/>
              <w:right w:w="180" w:type="dxa"/>
            </w:tcMar>
          </w:tcPr>
          <w:p>
            <w:pPr>
              <w:spacing w:after="0"/>
            </w:pPr>
            <w:r>
              <w:t xml:space="preserve">Not applicable to CSCU's English documents</w:t>
            </w:r>
          </w:p>
        </w:tc>
      </w:tr>
    </w:tbl>
    <w:p>
      <w:pPr>
        <w:spacing w:after="120"/>
      </w:pPr>
    </w:p>
    <w:p>
      <w:pPr>
        <w:spacing w:after="120"/>
      </w:pPr>
      <w:r>
        <w:t xml:space="preserve">One exception: business metadata a steward types in — a Description, a Purpose, a steward name — does not depend on a processing job, so it may already be filled in. Part B is partly about spotting where those human-entered fields are still missing.</w:t>
      </w:r>
    </w:p>
    <w:p>
      <w:pPr>
        <w:pBdr>
          <w:left w:val="single" w:sz="12" w:space="8" w:color="065A82"/>
        </w:pBdr>
        <w:shd w:val="clear" w:color="auto" w:fill="EEF6FA"/>
        <w:ind w:left="240" w:right="240"/>
        <w:spacing w:before="120" w:after="160"/>
      </w:pPr>
      <w:r>
        <w:rPr>
          <w:b/>
          <w:bCs/>
        </w:rPr>
        <w:t xml:space="preserve">Why the Trust Score reads 0 / Untrusted before profiling.</w:t>
      </w:r>
      <w:r>
        <w:t xml:space="preserve"> Every asset carries a Trust Score from the moment it is cataloged: it defaults to Untrusted (0), exactly as Sensitivity defaults to Unknown and Data Lineage to Unverified. The score is a roll-up of four inputs — Data Quality, User Ratings, Data Lineage, and whether a Glossary Term is assigned — and it is a table- and file-level metric, computed for the asset as a whole, never per column. Running Calculate Trust Score recomputes the roll-up from whatever exists right now; on a freshly ingested table none of the inputs are populated, so it stays 0. Only the Data Quality input needs profiling, which is why a meaningful score appears after Workshop 4 — though you can nudge it off 0 earlier by verifying lineage, adding a rating, or linking a table-level term.</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 1 complete — both CSCU sources connected and visible in the Data Canvas.</w:t>
      </w:r>
    </w:p>
    <w:p>
      <w:pPr>
        <w:pStyle w:val="ListParagraph"/>
        <w:numPr>
          <w:ilvl w:val="0"/>
          <w:numId w:val="2"/>
        </w:numPr>
        <w:spacing w:after="60"/>
      </w:pPr>
      <w:r>
        <w:t xml:space="preserve">Work as </w:t>
      </w:r>
      <w:r>
        <w:rPr>
          <w:rFonts w:ascii="Consolas" w:hAnsi="Consolas"/>
          <w:color w:val="0A5560"/>
          <w:sz w:val="20"/>
          <w:szCs w:val="20"/>
        </w:rPr>
        <w:t xml:space="preserve">jordan.blake</w:t>
      </w:r>
      <w:r>
        <w:t xml:space="preserve"> (Data User — the Business Analyst persona).</w:t>
      </w:r>
    </w:p>
    <w:p>
      <w:pPr>
        <w:pStyle w:val="Heading2"/>
      </w:pPr>
      <w:r>
        <w:t xml:space="preserve">Assets used in this workshop</w:t>
      </w:r>
    </w:p>
    <w:p>
      <w:pPr>
        <w:pStyle w:val="ListParagraph"/>
        <w:numPr>
          <w:ilvl w:val="0"/>
          <w:numId w:val="2"/>
        </w:numPr>
        <w:spacing w:after="60"/>
      </w:pPr>
      <w:r>
        <w:t xml:space="preserve">The connected </w:t>
      </w:r>
      <w:r>
        <w:rPr>
          <w:rFonts w:ascii="Consolas" w:hAnsi="Consolas"/>
          <w:color w:val="0A5560"/>
          <w:sz w:val="20"/>
          <w:szCs w:val="20"/>
        </w:rPr>
        <w:t xml:space="preserve">cscu_core</w:t>
      </w:r>
      <w:r>
        <w:t xml:space="preserve"> database (the </w:t>
      </w:r>
      <w:r>
        <w:rPr>
          <w:rFonts w:ascii="Consolas" w:hAnsi="Consolas"/>
          <w:color w:val="0A5560"/>
          <w:sz w:val="20"/>
          <w:szCs w:val="20"/>
        </w:rPr>
        <w:t xml:space="preserve">members</w:t>
      </w:r>
      <w:r>
        <w:t xml:space="preserve"> table is the focus).</w:t>
      </w:r>
    </w:p>
    <w:p>
      <w:pPr>
        <w:pStyle w:val="ListParagraph"/>
        <w:numPr>
          <w:ilvl w:val="0"/>
          <w:numId w:val="2"/>
        </w:numPr>
        <w:spacing w:after="60"/>
      </w:pPr>
      <w:r>
        <w:t xml:space="preserve">The PCI attestation PDF from </w:t>
      </w:r>
      <w:r>
        <w:rPr>
          <w:rFonts w:ascii="Consolas" w:hAnsi="Consolas"/>
          <w:color w:val="0A5560"/>
          <w:sz w:val="20"/>
          <w:szCs w:val="20"/>
        </w:rPr>
        <w:t xml:space="preserve">cscu-documents/compliance/</w:t>
      </w:r>
      <w:r>
        <w:t xml:space="preserve"> (to read document metadata).</w:t>
      </w:r>
    </w:p>
    <w:p>
      <w:pPr>
        <w:pStyle w:val="Heading1"/>
      </w:pPr>
      <w:r>
        <w:t xml:space="preserve">Step-by-step</w:t>
      </w:r>
    </w:p>
    <w:p>
      <w:pPr>
        <w:pStyle w:val="Heading2"/>
      </w:pPr>
      <w:r>
        <w:t xml:space="preserve">Part A — Read a table's technical metadata</w:t>
      </w:r>
    </w:p>
    <w:p>
      <w:pPr>
        <w:pStyle w:val="ListParagraph"/>
        <w:numPr>
          <w:ilvl w:val="0"/>
          <w:numId w:val="100"/>
        </w:numPr>
        <w:spacing w:after="80" w:line="264" w:lineRule="auto"/>
      </w:pPr>
      <w:r>
        <w:t xml:space="preserve">In the left navigation menu, click </w:t>
      </w:r>
      <w:r>
        <w:rPr>
          <w:b/>
          <w:bCs/>
        </w:rPr>
        <w:t xml:space="preserve">Data Canvas</w:t>
      </w:r>
      <w:r>
        <w:t xml:space="preserve"> and open the </w:t>
      </w:r>
      <w:r>
        <w:rPr>
          <w:rFonts w:ascii="Consolas" w:hAnsi="Consolas"/>
          <w:color w:val="0A5560"/>
          <w:sz w:val="20"/>
          <w:szCs w:val="20"/>
        </w:rPr>
        <w:t xml:space="preserve">CopperState_Core_Banking</w:t>
      </w:r>
      <w:r>
        <w:t xml:space="preserve"> source.</w:t>
      </w:r>
    </w:p>
    <w:p>
      <w:pPr>
        <w:pStyle w:val="ListParagraph"/>
        <w:numPr>
          <w:ilvl w:val="0"/>
          <w:numId w:val="100"/>
        </w:numPr>
        <w:spacing w:after="80" w:line="264" w:lineRule="auto"/>
      </w:pPr>
      <w:r>
        <w:t xml:space="preserve">Select the </w:t>
      </w:r>
      <w:r>
        <w:rPr>
          <w:rFonts w:ascii="Consolas" w:hAnsi="Consolas"/>
          <w:color w:val="0A5560"/>
          <w:sz w:val="20"/>
          <w:szCs w:val="20"/>
        </w:rPr>
        <w:t xml:space="preserve">members</w:t>
      </w:r>
      <w:r>
        <w:t xml:space="preserve"> table. The Summary tab opens with an overview of the asset.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members table — Summary tab</w:t>
      </w:r>
    </w:p>
    <w:p>
      <w:pPr>
        <w:pStyle w:val="ListParagraph"/>
        <w:numPr>
          <w:ilvl w:val="0"/>
          <w:numId w:val="100"/>
        </w:numPr>
        <w:spacing w:after="80" w:line="264" w:lineRule="auto"/>
      </w:pPr>
      <w:r>
        <w:t xml:space="preserve">Open the </w:t>
      </w:r>
      <w:r>
        <w:rPr>
          <w:b/>
          <w:bCs/>
        </w:rPr>
        <w:t xml:space="preserve">Details</w:t>
      </w:r>
      <w:r>
        <w:t xml:space="preserve"> tab to see the Contained Items — every column with its Data Type, Column Size, and Nullable flag. Notice the PK/FK column is still blank: it reflects the keys declared in the source, but PDC only surfaces them through foreign-key detection, which runs on profiling output across related tables in Workshop 4. For now, predict which column is the key (</w:t>
      </w:r>
      <w:r>
        <w:rPr>
          <w:rFonts w:ascii="Consolas" w:hAnsi="Consolas"/>
          <w:color w:val="0A5560"/>
          <w:sz w:val="20"/>
          <w:szCs w:val="20"/>
        </w:rPr>
        <w:t xml:space="preserve">mbr_id</w:t>
      </w:r>
      <w:r>
        <w:t xml:space="preserve">) and which look like foreign keys (</w:t>
      </w:r>
      <w:r>
        <w:rPr>
          <w:rFonts w:ascii="Consolas" w:hAnsi="Consolas"/>
          <w:color w:val="0A5560"/>
          <w:sz w:val="20"/>
          <w:szCs w:val="20"/>
        </w:rPr>
        <w:t xml:space="preserve">br_id</w:t>
      </w:r>
      <w:r>
        <w:t xml:space="preserve">); you will confirm them once every related table has been profiled.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members Details tab — columns and types</w:t>
      </w:r>
    </w:p>
    <w:p>
      <w:pPr>
        <w:pStyle w:val="ListParagraph"/>
        <w:numPr>
          <w:ilvl w:val="0"/>
          <w:numId w:val="100"/>
        </w:numPr>
        <w:spacing w:after="80" w:line="264" w:lineRule="auto"/>
      </w:pPr>
      <w:r>
        <w:t xml:space="preserve">Find a column whose meaning is not obvious from its name — CSCU's schema is full of them: </w:t>
      </w:r>
      <w:r>
        <w:rPr>
          <w:rFonts w:ascii="Consolas" w:hAnsi="Consolas"/>
          <w:color w:val="0A5560"/>
          <w:sz w:val="20"/>
          <w:szCs w:val="20"/>
        </w:rPr>
        <w:t xml:space="preserve">mbr_no</w:t>
      </w:r>
      <w:r>
        <w:t xml:space="preserve">, </w:t>
      </w:r>
      <w:r>
        <w:rPr>
          <w:rFonts w:ascii="Consolas" w:hAnsi="Consolas"/>
          <w:color w:val="0A5560"/>
          <w:sz w:val="20"/>
          <w:szCs w:val="20"/>
        </w:rPr>
        <w:t xml:space="preserve">mbr_since_dt</w:t>
      </w:r>
      <w:r>
        <w:t xml:space="preserve">, </w:t>
      </w:r>
      <w:r>
        <w:rPr>
          <w:rFonts w:ascii="Consolas" w:hAnsi="Consolas"/>
          <w:color w:val="0A5560"/>
          <w:sz w:val="20"/>
          <w:szCs w:val="20"/>
        </w:rPr>
        <w:t xml:space="preserve">opted_out_marketing</w:t>
      </w:r>
      <w:r>
        <w:t xml:space="preserve">. The technical layer tells you </w:t>
      </w:r>
      <w:r>
        <w:rPr>
          <w:rFonts w:ascii="Consolas" w:hAnsi="Consolas"/>
          <w:color w:val="0A5560"/>
          <w:sz w:val="20"/>
          <w:szCs w:val="20"/>
        </w:rPr>
        <w:t xml:space="preserve">opted_out_marketing</w:t>
      </w:r>
      <w:r>
        <w:t xml:space="preserve"> is a boolean, but not what it is for. That is the business layer's job — and the ingested column comment (</w:t>
      </w:r>
      <w:r>
        <w:rPr>
          <w:i/>
          <w:iCs/>
        </w:rPr>
        <w:t xml:space="preserve">"GDPR/CCPA marketing-consent flag… CRITICAL compliance control"</w:t>
      </w:r>
      <w:r>
        <w:t xml:space="preserve">) is your first taste of it.</w:t>
      </w:r>
    </w:p>
    <w:p>
      <w:pPr>
        <w:pStyle w:val="Heading2"/>
      </w:pPr>
      <w:r>
        <w:t xml:space="preserve">Part B — Read the business and operational layers</w:t>
      </w:r>
    </w:p>
    <w:p>
      <w:pPr>
        <w:pStyle w:val="ListParagraph"/>
        <w:numPr>
          <w:ilvl w:val="0"/>
          <w:numId w:val="101"/>
        </w:numPr>
        <w:spacing w:after="80" w:line="264" w:lineRule="auto"/>
      </w:pPr>
      <w:r>
        <w:t xml:space="preserve">On the </w:t>
      </w:r>
      <w:r>
        <w:rPr>
          <w:rFonts w:ascii="Consolas" w:hAnsi="Consolas"/>
          <w:color w:val="0A5560"/>
          <w:sz w:val="20"/>
          <w:szCs w:val="20"/>
        </w:rPr>
        <w:t xml:space="preserve">members</w:t>
      </w:r>
      <w:r>
        <w:t xml:space="preserve"> Summary tab, read the asset's own business metadata: the Description, the Properties (Remarks), and the </w:t>
      </w:r>
      <w:r>
        <w:rPr>
          <w:b/>
          <w:bCs/>
        </w:rPr>
        <w:t xml:space="preserve">Key Metrics</w:t>
      </w:r>
      <w:r>
        <w:t xml:space="preserve"> panel — Data Quality, Data Lineage, Sensitivity, and Trust Score. A table has a Sensitivity level (Unknown until set), not a Classification field.</w:t>
      </w:r>
    </w:p>
    <w:p>
      <w:pPr>
        <w:pStyle w:val="ListParagraph"/>
        <w:numPr>
          <w:ilvl w:val="0"/>
          <w:numId w:val="101"/>
        </w:numPr>
        <w:spacing w:after="80" w:line="264" w:lineRule="auto"/>
      </w:pPr>
      <w:r>
        <w:t xml:space="preserve">Open the </w:t>
      </w:r>
      <w:r>
        <w:rPr>
          <w:b/>
          <w:bCs/>
        </w:rPr>
        <w:t xml:space="preserve">Business Terms</w:t>
      </w:r>
      <w:r>
        <w:t xml:space="preserve"> panel (or the Glossary tab). A table carries no Domain, Classification, or Business Steward of its own — those are built-in properties of the Glossary term you link to it. Terms arrive in Workshop 3; after that, open a linked term to see its Domain, Classification, Business Steward, and Owner.</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members Summary — Key Metrics and Business Terms panels</w:t>
      </w:r>
    </w:p>
    <w:p>
      <w:pPr>
        <w:pStyle w:val="ListParagraph"/>
        <w:numPr>
          <w:ilvl w:val="0"/>
          <w:numId w:val="101"/>
        </w:numPr>
        <w:spacing w:after="80" w:line="264" w:lineRule="auto"/>
      </w:pPr>
      <w:r>
        <w:t xml:space="preserve">Find where the data quality / trust score and the last-profiled date appear in the operational layer. Expect them empty for now — they are produced by Data Profiling and Calculate Trust Score in Workshop 4. Note where lineage would appear.</w:t>
      </w:r>
    </w:p>
    <w:p>
      <w:pPr>
        <w:pStyle w:val="ListParagraph"/>
        <w:numPr>
          <w:ilvl w:val="0"/>
          <w:numId w:val="101"/>
        </w:numPr>
        <w:spacing w:after="80" w:line="264" w:lineRule="auto"/>
      </w:pPr>
      <w:r>
        <w:t xml:space="preserve">Identify at least one gap — an empty Description, no linked Business Terms, Sensitivity still Unknown, or a Trust Score of Untrusted — and note it as work for a steward. On </w:t>
      </w:r>
      <w:r>
        <w:rPr>
          <w:rFonts w:ascii="Consolas" w:hAnsi="Consolas"/>
          <w:color w:val="0A5560"/>
          <w:sz w:val="20"/>
          <w:szCs w:val="20"/>
        </w:rPr>
        <w:t xml:space="preserve">cards</w:t>
      </w:r>
      <w:r>
        <w:t xml:space="preserve">, the </w:t>
      </w:r>
      <w:r>
        <w:rPr>
          <w:rFonts w:ascii="Consolas" w:hAnsi="Consolas"/>
          <w:color w:val="0A5560"/>
          <w:sz w:val="20"/>
          <w:szCs w:val="20"/>
        </w:rPr>
        <w:t xml:space="preserve">cvv_cd</w:t>
      </w:r>
      <w:r>
        <w:t xml:space="preserve"> column comment flags a defect the stewards must own: bookmark it for Workshops 4 and 5.</w:t>
      </w:r>
    </w:p>
    <w:p>
      <w:pPr>
        <w:pStyle w:val="Heading2"/>
      </w:pPr>
      <w:r>
        <w:t xml:space="preserve">Part C — The same three layers for a document</w:t>
      </w:r>
    </w:p>
    <w:p>
      <w:pPr>
        <w:spacing w:after="120"/>
      </w:pPr>
      <w:r>
        <w:t xml:space="preserve">Metadata is not just for tables. Open a document and see the same model expressed differently.</w:t>
      </w:r>
    </w:p>
    <w:p>
      <w:pPr>
        <w:pStyle w:val="ListParagraph"/>
        <w:numPr>
          <w:ilvl w:val="0"/>
          <w:numId w:val="102"/>
        </w:numPr>
        <w:spacing w:after="80" w:line="264" w:lineRule="auto"/>
      </w:pPr>
      <w:r>
        <w:t xml:space="preserve">In the Data Canvas, open the </w:t>
      </w:r>
      <w:r>
        <w:rPr>
          <w:rFonts w:ascii="Consolas" w:hAnsi="Consolas"/>
          <w:color w:val="0A5560"/>
          <w:sz w:val="20"/>
          <w:szCs w:val="20"/>
        </w:rPr>
        <w:t xml:space="preserve">compliance/</w:t>
      </w:r>
      <w:r>
        <w:t xml:space="preserve"> folder and select </w:t>
      </w:r>
      <w:r>
        <w:rPr>
          <w:rFonts w:ascii="Consolas" w:hAnsi="Consolas"/>
          <w:color w:val="0A5560"/>
          <w:sz w:val="20"/>
          <w:szCs w:val="20"/>
        </w:rPr>
        <w:t xml:space="preserve">pci_dss_saq_attestation_2026.pdf</w:t>
      </w:r>
      <w:r>
        <w:t xml:space="preserve">.</w:t>
      </w:r>
    </w:p>
    <w:p>
      <w:pPr>
        <w:pStyle w:val="ListParagraph"/>
        <w:numPr>
          <w:ilvl w:val="0"/>
          <w:numId w:val="102"/>
        </w:numPr>
        <w:spacing w:after="80" w:line="264" w:lineRule="auto"/>
      </w:pPr>
      <w:r>
        <w:t xml:space="preserve">On its Summary tab, find the </w:t>
      </w:r>
      <w:r>
        <w:rPr>
          <w:b/>
          <w:bCs/>
        </w:rPr>
        <w:t xml:space="preserve">Document Properties</w:t>
      </w:r>
      <w:r>
        <w:t xml:space="preserve"> pane — file size, format, and (after document processing) page count and owner. This is the document's technical layer.</w:t>
      </w:r>
    </w:p>
    <w:p>
      <w:pPr>
        <w:pStyle w:val="ListParagraph"/>
        <w:numPr>
          <w:ilvl w:val="0"/>
          <w:numId w:val="102"/>
        </w:numPr>
        <w:spacing w:after="80" w:line="264" w:lineRule="auto"/>
      </w:pPr>
      <w:r>
        <w:t xml:space="preserve">Find the </w:t>
      </w:r>
      <w:r>
        <w:rPr>
          <w:b/>
          <w:bCs/>
        </w:rPr>
        <w:t xml:space="preserve">Business Terms</w:t>
      </w:r>
      <w:r>
        <w:t xml:space="preserve">, </w:t>
      </w:r>
      <w:r>
        <w:rPr>
          <w:b/>
          <w:bCs/>
        </w:rPr>
        <w:t xml:space="preserve">Tags</w:t>
      </w:r>
      <w:r>
        <w:t xml:space="preserve">, and </w:t>
      </w:r>
      <w:r>
        <w:rPr>
          <w:b/>
          <w:bCs/>
        </w:rPr>
        <w:t xml:space="preserve">Custom Properties</w:t>
      </w:r>
      <w:r>
        <w:t xml:space="preserve"> panels — the business layer, identical to a table's. Business Terms and Tags are applied by Data Identification in Workshop 5, so they may be empty now; Custom Properties can be set by a steward at any time.</w:t>
      </w:r>
    </w:p>
    <w:p>
      <w:pPr>
        <w:pStyle w:val="ListParagraph"/>
        <w:numPr>
          <w:ilvl w:val="0"/>
          <w:numId w:val="102"/>
        </w:numPr>
        <w:spacing w:after="80" w:line="264" w:lineRule="auto"/>
      </w:pPr>
      <w:r>
        <w:t xml:space="preserve">Read the first page of the attestation: it names the same </w:t>
      </w:r>
      <w:r>
        <w:rPr>
          <w:rFonts w:ascii="Consolas" w:hAnsi="Consolas"/>
          <w:color w:val="0A5560"/>
          <w:sz w:val="20"/>
          <w:szCs w:val="20"/>
        </w:rPr>
        <w:t xml:space="preserve">cards.cvv_cd</w:t>
      </w:r>
      <w:r>
        <w:t xml:space="preserve"> issue you found in Part B — structured and unstructured evidence of one governance story, side by side in one catalog.</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PCI attestation — Summary tab with Document Properties</w:t>
      </w:r>
    </w:p>
    <w:p>
      <w:pPr>
        <w:pStyle w:val="Heading2"/>
      </w:pPr>
      <w:r>
        <w:t xml:space="preserve">Part D — The role boundary, seen from a browser</w:t>
      </w:r>
    </w:p>
    <w:p>
      <w:pPr>
        <w:spacing w:after="120"/>
      </w:pPr>
      <w:r>
        <w:t xml:space="preserve">Sign out and repeat Part A's first step as </w:t>
      </w:r>
      <w:r>
        <w:rPr>
          <w:rFonts w:ascii="Consolas" w:hAnsi="Consolas"/>
          <w:color w:val="0A5560"/>
          <w:sz w:val="20"/>
          <w:szCs w:val="20"/>
        </w:rPr>
        <w:t xml:space="preserve">riley.morgan</w:t>
      </w:r>
      <w:r>
        <w:t xml:space="preserve"> (</w:t>
      </w:r>
      <w:r>
        <w:rPr>
          <w:b/>
          <w:bCs/>
        </w:rPr>
        <w:t xml:space="preserve">Business User</w:t>
      </w:r>
      <w:r>
        <w:t xml:space="preserve">): the glossary and policies are visible, but the data sources are absent — the Business tier's boundary, live.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riley.morgan view — no data sources</w:t>
      </w:r>
    </w:p>
    <w:p>
      <w:pPr>
        <w:pStyle w:val="Heading1"/>
      </w:pPr>
      <w:r>
        <w:t xml:space="preserve">Verify your work</w:t>
      </w:r>
    </w:p>
    <w:p>
      <w:pPr>
        <w:pStyle w:val="ListParagraph"/>
        <w:numPr>
          <w:ilvl w:val="0"/>
          <w:numId w:val="2"/>
        </w:numPr>
        <w:spacing w:after="60"/>
      </w:pPr>
      <w:r>
        <w:t xml:space="preserve">☐  You can state the data type, size, and nullability of any column in </w:t>
      </w:r>
      <w:r>
        <w:rPr>
          <w:rFonts w:ascii="Consolas" w:hAnsi="Consolas"/>
          <w:color w:val="0A5560"/>
          <w:sz w:val="20"/>
          <w:szCs w:val="20"/>
        </w:rPr>
        <w:t xml:space="preserve">members</w:t>
      </w:r>
      <w:r>
        <w:t xml:space="preserve">, and explain that key roles (PK/FK) surface once every related table has been profiled in Workshop 4.</w:t>
      </w:r>
    </w:p>
    <w:p>
      <w:pPr>
        <w:pStyle w:val="ListParagraph"/>
        <w:numPr>
          <w:ilvl w:val="0"/>
          <w:numId w:val="2"/>
        </w:numPr>
        <w:spacing w:after="60"/>
      </w:pPr>
      <w:r>
        <w:t xml:space="preserve">☐  You can read the table's Sensitivity, Trust Score, Data Quality and Data Lineage in Key Metrics, and explain that Domain, Classification, and Business Steward live on the linked Glossary term.</w:t>
      </w:r>
    </w:p>
    <w:p>
      <w:pPr>
        <w:pStyle w:val="ListParagraph"/>
        <w:numPr>
          <w:ilvl w:val="0"/>
          <w:numId w:val="2"/>
        </w:numPr>
        <w:spacing w:after="60"/>
      </w:pPr>
      <w:r>
        <w:t xml:space="preserve">☐  You can locate where the quality score will appear (it populates in Workshop 4) and explain which tab shows lineage.</w:t>
      </w:r>
    </w:p>
    <w:p>
      <w:pPr>
        <w:pStyle w:val="ListParagraph"/>
        <w:numPr>
          <w:ilvl w:val="0"/>
          <w:numId w:val="2"/>
        </w:numPr>
        <w:spacing w:after="60"/>
      </w:pPr>
      <w:r>
        <w:t xml:space="preserve">☐  You identified at least one metadata gap to hand to a steward — including the </w:t>
      </w:r>
      <w:r>
        <w:rPr>
          <w:rFonts w:ascii="Consolas" w:hAnsi="Consolas"/>
          <w:color w:val="0A5560"/>
          <w:sz w:val="20"/>
          <w:szCs w:val="20"/>
        </w:rPr>
        <w:t xml:space="preserve">cvv_cd</w:t>
      </w:r>
      <w:r>
        <w:t xml:space="preserve"> comment.</w:t>
      </w:r>
    </w:p>
    <w:p>
      <w:pPr>
        <w:pStyle w:val="ListParagraph"/>
        <w:numPr>
          <w:ilvl w:val="0"/>
          <w:numId w:val="2"/>
        </w:numPr>
        <w:spacing w:after="60"/>
      </w:pPr>
      <w:r>
        <w:t xml:space="preserve">☐  You opened the PCI attestation PDF and found its Summary tab and Document Properties.</w:t>
      </w:r>
    </w:p>
    <w:p>
      <w:pPr>
        <w:pStyle w:val="ListParagraph"/>
        <w:numPr>
          <w:ilvl w:val="0"/>
          <w:numId w:val="2"/>
        </w:numPr>
        <w:spacing w:after="60"/>
      </w:pPr>
      <w:r>
        <w:t xml:space="preserve">☐  You saw the Business User vs Data User boundary as </w:t>
      </w:r>
      <w:r>
        <w:rPr>
          <w:rFonts w:ascii="Consolas" w:hAnsi="Consolas"/>
          <w:color w:val="0A5560"/>
          <w:sz w:val="20"/>
          <w:szCs w:val="20"/>
        </w:rPr>
        <w:t xml:space="preserve">riley.morgan</w:t>
      </w:r>
      <w:r>
        <w:t xml:space="preserve">.</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The members table is missing</w:t>
            </w:r>
          </w:p>
        </w:tc>
        <w:tc>
          <w:tcPr>
            <w:tcW w:w="6460" w:type="dxa"/>
            <w:tcMar>
              <w:top w:w="120" w:type="dxa"/>
              <w:left w:w="180" w:type="dxa"/>
              <w:bottom w:w="120" w:type="dxa"/>
              <w:right w:w="180" w:type="dxa"/>
            </w:tcMar>
          </w:tcPr>
          <w:p>
            <w:pPr>
              <w:spacing w:after="0"/>
            </w:pPr>
            <w:r>
              <w:t xml:space="preserve">Schema ingest did not complete in Workshop 1, or it ingested </w:t>
            </w:r>
            <w:r>
              <w:rPr>
                <w:rFonts w:ascii="Consolas" w:hAnsi="Consolas"/>
                <w:color w:val="0A5560"/>
                <w:sz w:val="20"/>
                <w:szCs w:val="20"/>
              </w:rPr>
              <w:t xml:space="preserve">public</w:t>
            </w:r>
            <w:r>
              <w:t xml:space="preserve">. Re-ingest the </w:t>
            </w:r>
            <w:r>
              <w:rPr>
                <w:rFonts w:ascii="Consolas" w:hAnsi="Consolas"/>
                <w:color w:val="0A5560"/>
                <w:sz w:val="20"/>
                <w:szCs w:val="20"/>
              </w:rPr>
              <w:t xml:space="preserve">cscu_core</w:t>
            </w:r>
            <w:r>
              <w:t xml:space="preserve"> schema</w:t>
            </w:r>
          </w:p>
        </w:tc>
      </w:tr>
      <w:tr>
        <w:tc>
          <w:tcPr>
            <w:tcW w:w="2900" w:type="dxa"/>
            <w:tcMar>
              <w:top w:w="120" w:type="dxa"/>
              <w:left w:w="180" w:type="dxa"/>
              <w:bottom w:w="120" w:type="dxa"/>
              <w:right w:w="180" w:type="dxa"/>
            </w:tcMar>
          </w:tcPr>
          <w:p>
            <w:pPr>
              <w:spacing w:after="0"/>
            </w:pPr>
            <w:r>
              <w:t xml:space="preserve">No quality score shown</w:t>
            </w:r>
          </w:p>
        </w:tc>
        <w:tc>
          <w:tcPr>
            <w:tcW w:w="6460" w:type="dxa"/>
            <w:tcMar>
              <w:top w:w="120" w:type="dxa"/>
              <w:left w:w="180" w:type="dxa"/>
              <w:bottom w:w="120" w:type="dxa"/>
              <w:right w:w="180" w:type="dxa"/>
            </w:tcMar>
          </w:tcPr>
          <w:p>
            <w:pPr>
              <w:spacing w:after="0"/>
            </w:pPr>
            <w:r>
              <w:t xml:space="preserve">The table has not been profiled yet. That happens in Workshop 4; the field is empty until then</w:t>
            </w:r>
          </w:p>
        </w:tc>
      </w:tr>
      <w:tr>
        <w:tc>
          <w:tcPr>
            <w:tcW w:w="2900" w:type="dxa"/>
            <w:tcMar>
              <w:top w:w="120" w:type="dxa"/>
              <w:left w:w="180" w:type="dxa"/>
              <w:bottom w:w="120" w:type="dxa"/>
              <w:right w:w="180" w:type="dxa"/>
            </w:tcMar>
          </w:tcPr>
          <w:p>
            <w:pPr>
              <w:spacing w:after="0"/>
            </w:pPr>
            <w:r>
              <w:t xml:space="preserve">Document has no page count or owner</w:t>
            </w:r>
          </w:p>
        </w:tc>
        <w:tc>
          <w:tcPr>
            <w:tcW w:w="6460" w:type="dxa"/>
            <w:tcMar>
              <w:top w:w="120" w:type="dxa"/>
              <w:left w:w="180" w:type="dxa"/>
              <w:bottom w:w="120" w:type="dxa"/>
              <w:right w:w="180" w:type="dxa"/>
            </w:tcMar>
          </w:tcPr>
          <w:p>
            <w:pPr>
              <w:spacing w:after="0"/>
            </w:pPr>
            <w:r>
              <w:t xml:space="preserve">Those come from document processing, run later. Format and size are available now</w:t>
            </w:r>
          </w:p>
        </w:tc>
      </w:tr>
      <w:tr>
        <w:tc>
          <w:tcPr>
            <w:tcW w:w="2900" w:type="dxa"/>
            <w:tcMar>
              <w:top w:w="120" w:type="dxa"/>
              <w:left w:w="180" w:type="dxa"/>
              <w:bottom w:w="120" w:type="dxa"/>
              <w:right w:w="180" w:type="dxa"/>
            </w:tcMar>
          </w:tcPr>
          <w:p>
            <w:pPr>
              <w:spacing w:after="0"/>
            </w:pPr>
            <w:r>
              <w:t xml:space="preserve">riley.morgan sees data sources</w:t>
            </w:r>
          </w:p>
        </w:tc>
        <w:tc>
          <w:tcPr>
            <w:tcW w:w="6460" w:type="dxa"/>
            <w:tcMar>
              <w:top w:w="120" w:type="dxa"/>
              <w:left w:w="180" w:type="dxa"/>
              <w:bottom w:w="120" w:type="dxa"/>
              <w:right w:w="180" w:type="dxa"/>
            </w:tcMar>
          </w:tcPr>
          <w:p>
            <w:pPr>
              <w:spacing w:after="0"/>
            </w:pPr>
            <w:r>
              <w:t xml:space="preserve">The account carries an extra role. Check its roles in Users &amp; Communities — Business User only</w:t>
            </w:r>
          </w:p>
        </w:tc>
      </w:tr>
    </w:tbl>
    <w:p>
      <w:pPr>
        <w:spacing w:after="120"/>
      </w:pPr>
    </w:p>
    <w:p>
      <w:pPr>
        <w:pStyle w:val="Heading1"/>
      </w:pPr>
      <w:r>
        <w:t xml:space="preserve">Why it matters &amp; discussion</w:t>
      </w:r>
    </w:p>
    <w:p>
      <w:pPr>
        <w:spacing w:after="120"/>
      </w:pPr>
      <w:r>
        <w:t xml:space="preserve">A new analyst asks, </w:t>
      </w:r>
      <w:r>
        <w:rPr>
          <w:i/>
          <w:iCs/>
        </w:rPr>
        <w:t xml:space="preserve">"Can I email everyone in the members table about a new credit-card offer?"</w:t>
      </w:r>
      <w:r>
        <w:t xml:space="preserve"> Which single column answers that question, and which metadata layer does it belong to? Discuss why the answer (</w:t>
      </w:r>
      <w:r>
        <w:rPr>
          <w:rFonts w:ascii="Consolas" w:hAnsi="Consolas"/>
          <w:color w:val="0A5560"/>
          <w:sz w:val="20"/>
          <w:szCs w:val="20"/>
        </w:rPr>
        <w:t xml:space="preserve">opted_out_marketing</w:t>
      </w:r>
      <w:r>
        <w:t xml:space="preserve">, a piece of business metadata with a compliance purpose) is far more valuable than any technical detail — and what it would cost CSCU, under GDPR/CCPA and its own privacy notice, to get that answer wrong. Workshop 4 turns exactly this question into a scheduled business rule.</w:t>
      </w:r>
    </w:p>
    <w:p>
      <w:pPr>
        <w:pStyle w:val="Heading1"/>
      </w:pPr>
      <w:r>
        <w:t xml:space="preserve">What's next</w:t>
      </w:r>
    </w:p>
    <w:p>
      <w:pPr>
        <w:spacing w:after="120"/>
      </w:pPr>
      <w:r>
        <w:t xml:space="preserve">You can now read what the catalog knows. Workshop 3 builds the business glossary — the governed terms, sensitivity, and stewardship you link to CSCU's tables. Workshop 4 then measures how much you can trust the data — profiling its quality and scoring the compliance rules.</w:t>
      </w:r>
    </w:p>
    <w:p>
      <w:pPr>
        <w:spacing w:after="120"/>
      </w:pPr>
      <w:r>
        <w:t xml:space="preserve">All Copper State Credit Union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2: Explore Structure &amp; Metadata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Structure &amp; Metadata</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