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PROFILING &amp; QUALITY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WORKSHOP 4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Profile Data &amp; Assess Quality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Measure the data — and turn CSCU's compliance obligations into scheduled, scored business rules.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Business Analyst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90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spacing w:after="120"/>
      </w:pPr>
      <w:r>
        <w:t xml:space="preserve">You profile the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 tables, read what the profiler found, then turn CSCU's compliance obligations into </w:t>
      </w:r>
      <w:r>
        <w:rPr>
          <w:b/>
          <w:bCs/>
        </w:rPr>
        <w:t xml:space="preserve">Business Rules</w:t>
      </w:r>
      <w:r>
        <w:t xml:space="preserve"> the Rules Engine scores.</w:t>
      </w:r>
    </w:p>
    <w:p>
      <w:pPr>
        <w:pStyle w:val="Heading1"/>
      </w:pPr>
      <w:r>
        <w:t xml:space="preserve">Why this workshop matters</w:t>
      </w:r>
    </w:p>
    <w:p>
      <w:pPr>
        <w:spacing w:after="120"/>
      </w:pPr>
      <w:r>
        <w:t xml:space="preserve">Profiling turns "we have a members table" into "members is 100% complete on </w:t>
      </w:r>
      <w:r>
        <w:rPr>
          <w:rFonts w:ascii="Consolas" w:hAnsi="Consolas"/>
          <w:color w:val="0A5560"/>
          <w:sz w:val="20"/>
          <w:szCs w:val="20"/>
        </w:rPr>
        <w:t xml:space="preserve">mbr_no</w:t>
      </w:r>
      <w:r>
        <w:t xml:space="preserve">, 8 distinct transaction types, SSNs match the expected pattern". Business rules then turn obligations into numbers that recompute on a schedule — compliance you can trend, not assert.</w:t>
      </w:r>
    </w:p>
    <w:p>
      <w:pPr>
        <w:spacing w:after="120"/>
      </w:pPr>
      <w:r>
        <w:rPr>
          <w:b/>
          <w:bCs/>
        </w:rPr>
        <w:t xml:space="preserve">The business problem.</w:t>
      </w:r>
      <w:r>
        <w:t xml:space="preserve"> Two of CSCU's obligations are already broken in the data, and nobody can see it: three opted-out members still hold live marketing emails (GDPR/CCPA exposure), and six stored CVV codes violate PCI DSS outright. This workshop makes both failures </w:t>
      </w:r>
      <w:r>
        <w:rPr>
          <w:i/>
          <w:iCs/>
        </w:rPr>
        <w:t xml:space="preserve">measurable</w:t>
      </w:r>
      <w:r>
        <w:t xml:space="preserve"> — the prerequisite for fixing them and proving the fix.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the profiler captures per column — completeness, cardinality, patterns — and how to read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PDC business rules work: the three-column SQL contract (</w:t>
      </w:r>
      <w:r>
        <w:rPr>
          <w:rFonts w:ascii="Consolas" w:hAnsi="Consolas"/>
          <w:color w:val="0A5560"/>
          <w:sz w:val="20"/>
          <w:szCs w:val="20"/>
        </w:rPr>
        <w:t xml:space="preserve">total_count / scopeCount / nonCompliant</w:t>
      </w:r>
      <w:r>
        <w:t xml:space="preserve">) the Rules Engine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the rules are authored by a </w:t>
      </w:r>
      <w:r>
        <w:rPr>
          <w:b/>
          <w:bCs/>
        </w:rPr>
        <w:t xml:space="preserve">Data Developer</w:t>
      </w:r>
      <w:r>
        <w:t xml:space="preserve"> (Dana) — v11's role-gating in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the flagship opt-out rule and the PCI no-stored-CVV rule report the planted violations.</w:t>
      </w:r>
    </w:p>
    <w:p>
      <w:pPr>
        <w:pStyle w:val="Heading1"/>
      </w:pPr>
      <w:r>
        <w:t xml:space="preserve">Part A — profile the tables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As </w:t>
      </w:r>
      <w:r>
        <w:rPr>
          <w:rFonts w:ascii="Consolas" w:hAnsi="Consolas"/>
          <w:color w:val="0A5560"/>
          <w:sz w:val="20"/>
          <w:szCs w:val="20"/>
        </w:rPr>
        <w:t xml:space="preserve">elena.ramirez</w:t>
      </w:r>
      <w:r>
        <w:t xml:space="preserve">: select the 11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 tables → </w:t>
      </w:r>
      <w:r>
        <w:rPr>
          <w:b/>
          <w:bCs/>
        </w:rPr>
        <w:t xml:space="preserve">Data Profiling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When the jobs finish, review per-column statistics on </w:t>
      </w:r>
      <w:r>
        <w:rPr>
          <w:b/>
          <w:bCs/>
        </w:rPr>
        <w:t xml:space="preserve">members</w:t>
      </w:r>
      <w:r>
        <w:t xml:space="preserve">: completeness (every member has </w:t>
      </w:r>
      <w:r>
        <w:rPr>
          <w:rFonts w:ascii="Consolas" w:hAnsi="Consolas"/>
          <w:color w:val="0A5560"/>
          <w:sz w:val="20"/>
          <w:szCs w:val="20"/>
        </w:rPr>
        <w:t xml:space="preserve">mbr_no</w:t>
      </w:r>
      <w:r>
        <w:t xml:space="preserve">; some </w:t>
      </w:r>
      <w:r>
        <w:rPr>
          <w:rFonts w:ascii="Consolas" w:hAnsi="Consolas"/>
          <w:color w:val="0A5560"/>
          <w:sz w:val="20"/>
          <w:szCs w:val="20"/>
        </w:rPr>
        <w:t xml:space="preserve">email</w:t>
      </w:r>
      <w:r>
        <w:t xml:space="preserve"> gaps), cardinality (</w:t>
      </w:r>
      <w:r>
        <w:rPr>
          <w:rFonts w:ascii="Consolas" w:hAnsi="Consolas"/>
          <w:color w:val="0A5560"/>
          <w:sz w:val="20"/>
          <w:szCs w:val="20"/>
        </w:rPr>
        <w:t xml:space="preserve">mbr_no</w:t>
      </w:r>
      <w:r>
        <w:t xml:space="preserve"> unique; </w:t>
      </w:r>
      <w:r>
        <w:rPr>
          <w:rFonts w:ascii="Consolas" w:hAnsi="Consolas"/>
          <w:color w:val="0A5560"/>
          <w:sz w:val="20"/>
          <w:szCs w:val="20"/>
        </w:rPr>
        <w:t xml:space="preserve">st</w:t>
      </w:r>
      <w:r>
        <w:t xml:space="preserve"> low-cardinality enum), patterns (SSN, phone).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members profile — column statistics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On </w:t>
      </w:r>
      <w:r>
        <w:rPr>
          <w:b/>
          <w:bCs/>
        </w:rPr>
        <w:t xml:space="preserve">transactions</w:t>
      </w:r>
      <w:r>
        <w:t xml:space="preserve">, check </w:t>
      </w:r>
      <w:r>
        <w:rPr>
          <w:rFonts w:ascii="Consolas" w:hAnsi="Consolas"/>
          <w:color w:val="0A5560"/>
          <w:sz w:val="20"/>
          <w:szCs w:val="20"/>
        </w:rPr>
        <w:t xml:space="preserve">txn_amt</w:t>
      </w:r>
      <w:r>
        <w:t xml:space="preserve"> min/max (negative = debits) and </w:t>
      </w:r>
      <w:r>
        <w:rPr>
          <w:rFonts w:ascii="Consolas" w:hAnsi="Consolas"/>
          <w:color w:val="0A5560"/>
          <w:sz w:val="20"/>
          <w:szCs w:val="20"/>
        </w:rPr>
        <w:t xml:space="preserve">txn_type_cd</w:t>
      </w:r>
      <w:r>
        <w:t xml:space="preserve">'s eight distinct values — that enum becomes a dictionary in Workshop 5.</w:t>
      </w:r>
    </w:p>
    <w:p>
      <w:pPr>
        <w:pStyle w:val="Heading1"/>
      </w:pPr>
      <w:r>
        <w:t xml:space="preserve">Part B — business rules (the point of the workshop)</w:t>
      </w:r>
    </w:p>
    <w:p>
      <w:pPr>
        <w:spacing w:after="120"/>
      </w:pPr>
      <w:r>
        <w:t xml:space="preserve">Switch to </w:t>
      </w:r>
      <w:r>
        <w:rPr>
          <w:rFonts w:ascii="Consolas" w:hAnsi="Consolas"/>
          <w:color w:val="0A5560"/>
          <w:sz w:val="20"/>
          <w:szCs w:val="20"/>
        </w:rPr>
        <w:t xml:space="preserve">dana.ortiz</w:t>
      </w:r>
      <w:r>
        <w:t xml:space="preserve"> (</w:t>
      </w:r>
      <w:r>
        <w:rPr>
          <w:b/>
          <w:bCs/>
        </w:rPr>
        <w:t xml:space="preserve">Data Developer</w:t>
      </w:r>
      <w:r>
        <w:t xml:space="preserve"> — in PDC v11 this role owns Business Rules; notably the Admin role can view but not create them). </w:t>
      </w:r>
      <w:r>
        <w:rPr>
          <w:rFonts w:ascii="Consolas" w:hAnsi="Consolas"/>
          <w:color w:val="0A5560"/>
          <w:sz w:val="20"/>
          <w:szCs w:val="20"/>
        </w:rPr>
        <w:t xml:space="preserve">assets/Copper-State-Credit-Union-Business-Rules.sql</w:t>
      </w:r>
      <w:r>
        <w:t xml:space="preserve"> carries six ready conditions in PDC's three-column shape (</w:t>
      </w:r>
      <w:r>
        <w:rPr>
          <w:rFonts w:ascii="Consolas" w:hAnsi="Consolas"/>
          <w:color w:val="0A5560"/>
          <w:sz w:val="20"/>
          <w:szCs w:val="20"/>
        </w:rPr>
        <w:t xml:space="preserve">total_count / scopeCount / nonCompliant</w:t>
      </w:r>
      <w:r>
        <w:t xml:space="preserve">). Configure each via </w:t>
      </w:r>
      <w:r>
        <w:rPr>
          <w:b/>
          <w:bCs/>
        </w:rPr>
        <w:t xml:space="preserve">Data Operations → Business Rules</w:t>
      </w:r>
      <w:r>
        <w:t xml:space="preserve">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protects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CSCU-Marketing-OptOut-Compliance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Conformity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Flagship:</w:t>
            </w:r>
            <w:r>
              <w:t xml:space="preserve"> opted-out members must not be contactable on marketing extracts (GDPR/CCPA)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CSCU-PCI-No-Stored-CVV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Validity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PCI DSS 3.2 — fails by design until the CVV purge runs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CSCU-SSN-Format-Validity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Conformity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NNN-NN-NNNN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CSCU-Available-Not-Above-Ledger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Consistency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available ≤ ledger balance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CSCU-APR-Within-Program-Limits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Validity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0 &lt; APR ≤ 36% (Reg Z sanity)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CSCU-ACH-Routing-Number-Format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Conformity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nine-digit ABA numbers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each: </w:t>
      </w:r>
      <w:r>
        <w:rPr>
          <w:b/>
          <w:bCs/>
        </w:rPr>
        <w:t xml:space="preserve">Add Business Rule</w:t>
      </w:r>
      <w:r>
        <w:t xml:space="preserve"> → name → </w:t>
      </w:r>
      <w:r>
        <w:rPr>
          <w:b/>
          <w:bCs/>
        </w:rPr>
        <w:t xml:space="preserve">Configure</w:t>
      </w:r>
      <w:r>
        <w:t xml:space="preserve"> → type + dimension → schedule → paste the SQL → run.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Business Rule configuration — flagship rule SQL</w:t>
      </w:r>
    </w:p>
    <w:p>
      <w:pPr>
        <w:spacing w:after="120"/>
      </w:pPr>
      <w:r>
        <w:t xml:space="preserve">Review results: the flagship rule reports </w:t>
      </w:r>
      <w:r>
        <w:rPr>
          <w:b/>
          <w:bCs/>
        </w:rPr>
        <w:t xml:space="preserve">3 in scope</w:t>
      </w:r>
      <w:r>
        <w:t xml:space="preserve"> (opted-out members) and </w:t>
      </w:r>
      <w:r>
        <w:rPr>
          <w:b/>
          <w:bCs/>
        </w:rPr>
        <w:t xml:space="preserve">3 non-compliant</w:t>
      </w:r>
      <w:r>
        <w:t xml:space="preserve"> (all still have live emails) — exactly the gap the marketing extract must handle. </w:t>
      </w:r>
      <w:r>
        <w:rPr>
          <w:rFonts w:ascii="Consolas" w:hAnsi="Consolas"/>
          <w:color w:val="0A5560"/>
          <w:sz w:val="20"/>
          <w:szCs w:val="20"/>
        </w:rPr>
        <w:t xml:space="preserve">CSCU-PCI-No-Stored-CVV</w:t>
      </w:r>
      <w:r>
        <w:t xml:space="preserve"> reports </w:t>
      </w:r>
      <w:r>
        <w:rPr>
          <w:b/>
          <w:bCs/>
        </w:rPr>
        <w:t xml:space="preserve">6/6 non-compliant</w:t>
      </w:r>
      <w:r>
        <w:t xml:space="preserve">: the planted violation, now measured.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Business Rules dashboard — pass/fail statuses</w:t>
      </w:r>
    </w:p>
    <w:p>
      <w:pPr>
        <w:pStyle w:val="Heading1"/>
      </w:pPr>
      <w: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All 11 tables profiled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Six business rules configured and evaluated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Flagship + PCI rules show the expected failures (and you can say why)</w:t>
      </w:r>
    </w:p>
    <w:p>
      <w:pPr>
        <w:spacing w:after="120"/>
      </w:pPr>
      <w:r>
        <w:t xml:space="preserve">All Copper State Credit Union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Workshop 4: Profile Data &amp; Assess Quality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 Data &amp; Assess Quality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