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GLOSSARY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the Glossary with the Glossary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Scan, review, govern and apply CSCU's governed glossary — and author the Registry — with the app.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Solution Architect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60–90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shared lab running with CSCU loaded (</w:t>
      </w:r>
      <w:r>
        <w:rPr>
          <w:rFonts w:ascii="Consolas" w:hAnsi="Consolas"/>
          <w:color w:val="0A5560"/>
          <w:sz w:val="20"/>
          <w:szCs w:val="20"/>
        </w:rPr>
        <w:t xml:space="preserve">data_sources/lab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make up &amp;&amp; make load SCENARIO=CSCU</w:t>
      </w:r>
      <w:r>
        <w:t xml:space="preserve">), PDC reachable over HTTPS, the CSCU domain pack installed (</w:t>
      </w:r>
      <w:r>
        <w:rPr>
          <w:rFonts w:ascii="Consolas" w:hAnsi="Consolas"/>
          <w:color w:val="0A5560"/>
          <w:sz w:val="20"/>
          <w:szCs w:val="20"/>
        </w:rPr>
        <w:t xml:space="preserve">data_sources/CSCU/cscu-domain-pack.zip</w:t>
      </w:r>
      <w:r>
        <w:t xml:space="preserve"> → unzip into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).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 is a fictional Arizona credit union with six branches (Phoenix, Tempe, Tucson, Casa Grande, Globe, Prescott), ~13 pilot members, and a core banking schema (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, 11 tables) plus a document store (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bucket, 18 files). Its data estate has exactly the governance problems the Registry approach fixes: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PII everywhere</w:t>
      </w:r>
      <w:r>
        <w:t xml:space="preserve"> — SSNs, DOBs, card PANs, account and routing numbers spread across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accounts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ach_payments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planted PCI violation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stores card verification values, which PCI DSS forbids after authorization. Your steward review must catch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Cryptic core-banking names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mbr_no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prin_bal_amt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apr_rt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ach_rte_no</w:t>
      </w:r>
      <w:r>
        <w:t xml:space="preserve">. The generator's abbreviation expansion (plus the CSCU pack) turns them into readable terms: </w:t>
      </w:r>
      <w:r>
        <w:rPr>
          <w:i/>
          <w:iCs/>
        </w:rPr>
        <w:t xml:space="preserve">Member Number</w:t>
      </w:r>
      <w:r>
        <w:t xml:space="preserve">, </w:t>
      </w:r>
      <w:r>
        <w:rPr>
          <w:i/>
          <w:iCs/>
        </w:rPr>
        <w:t xml:space="preserve">Principal Balance Amount</w:t>
      </w:r>
      <w:r>
        <w:t xml:space="preserve">, </w:t>
      </w:r>
      <w:r>
        <w:rPr>
          <w:i/>
          <w:iCs/>
        </w:rPr>
        <w:t xml:space="preserve">APR</w:t>
      </w:r>
      <w:r>
        <w:t xml:space="preserve">, </w:t>
      </w:r>
      <w:r>
        <w:rPr>
          <w:i/>
          <w:iCs/>
        </w:rPr>
        <w:t xml:space="preserve">ACH Routing Number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compliance story that spans sources</w:t>
      </w:r>
      <w:r>
        <w:t xml:space="preserve"> — SAR 97001 (structuring: two $9,450 transfers just under the $10,000 threshold) exists as database rows (</w:t>
      </w:r>
      <w:r>
        <w:rPr>
          <w:rFonts w:ascii="Consolas" w:hAnsi="Consolas"/>
          <w:color w:val="0A5560"/>
          <w:sz w:val="20"/>
          <w:szCs w:val="20"/>
        </w:rPr>
        <w:t xml:space="preserve">suspicious_activity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ach_payments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transactions</w:t>
      </w:r>
      <w:r>
        <w:t xml:space="preserve">) </w:t>
      </w:r>
      <w:r>
        <w:rPr>
          <w:i/>
          <w:iCs/>
        </w:rPr>
        <w:t xml:space="preserve">and</w:t>
      </w:r>
      <w:r>
        <w:t xml:space="preserve"> as documents (the Q2 SAR summary PDF, the ACH batch JSON). One glossary must cover both.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028070"/>
            <wp:docPr id="101" name="two-app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two-apps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business glossary</w:t>
      </w:r>
      <w:r>
        <w:t xml:space="preserve"> for PDC — one reviewed term per business-meaningful column and document folder, each with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…), rule-based sensitivity, CDE flags, and steward assignments — plus the </w:t>
      </w:r>
      <w:r>
        <w:rPr>
          <w:b/>
          <w:bCs/>
        </w:rPr>
        <w:t xml:space="preserve">Registry</w:t>
      </w:r>
      <w:r>
        <w:t xml:space="preserve"> the Policy Generator will later read to emit Data Identification methods.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Stand up the sources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data_sources/lab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cp .env.example .env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make up                    # shared postgres + minio (all scenarios)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make load SCENARIO=CSCU    # cscu_core db + cscu-documents bucket, verified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make console</w:t>
      </w:r>
      <w:r>
        <w:t xml:space="preserve"> reprints the PDC connection values (database 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object store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).</w:t>
      </w:r>
    </w:p>
    <w:p>
      <w:pPr>
        <w:pStyle w:val="Heading2"/>
      </w:pPr>
      <w:r>
        <w:t xml:space="preserve">Step 2 — Register the sources in PDC</w:t>
      </w:r>
    </w:p>
    <w:p>
      <w:pPr>
        <w:spacing w:after="120"/>
      </w:pPr>
      <w:r>
        <w:t xml:space="preserve">Use the app's </w:t>
      </w:r>
      <w:r>
        <w:rPr>
          <w:b/>
          <w:bCs/>
        </w:rPr>
        <w:t xml:space="preserve">bulk loader</w:t>
      </w:r>
      <w:r>
        <w:t xml:space="preserve"> (Connections → Bulk-load data sources) with </w:t>
      </w:r>
      <w:r>
        <w:rPr>
          <w:rFonts w:ascii="Consolas" w:hAnsi="Consolas"/>
          <w:color w:val="0A5560"/>
          <w:sz w:val="20"/>
          <w:szCs w:val="20"/>
        </w:rPr>
        <w:t xml:space="preserve">data_sources/CSCU/cscu-datasources.csv</w:t>
      </w:r>
      <w:r>
        <w:t xml:space="preserve">, or create the two sources by hand. Then run </w:t>
      </w:r>
      <w:r>
        <w:rPr>
          <w:b/>
          <w:bCs/>
        </w:rPr>
        <w:t xml:space="preserve">Metadata Ingest → Profile → Data Identification</w:t>
      </w:r>
      <w:r>
        <w:t xml:space="preserve"> in PDC, and click </w:t>
      </w:r>
      <w:r>
        <w:rPr>
          <w:b/>
          <w:bCs/>
        </w:rPr>
        <w:t xml:space="preserve">Scan Files</w:t>
      </w:r>
      <w:r>
        <w:t xml:space="preserve"> on the document store. (Identify </w:t>
      </w:r>
      <w:r>
        <w:rPr>
          <w:i/>
          <w:iCs/>
        </w:rPr>
        <w:t xml:space="preserve">once</w:t>
      </w:r>
      <w:r>
        <w:t xml:space="preserve"> — the steward's overrides come later and must not be clobbered.)</w:t>
      </w:r>
    </w:p>
    <w:p>
      <w:pPr>
        <w:pStyle w:val="Heading2"/>
      </w:pPr>
      <w:r>
        <w:t xml:space="preserve">Step 3 — Install the scenario and start the app</w:t>
      </w:r>
    </w:p>
    <w:p>
      <w:pPr>
        <w:spacing w:after="120"/>
      </w:pPr>
      <w:r>
        <w:t xml:space="preserve">Unzip </w:t>
      </w:r>
      <w:r>
        <w:rPr>
          <w:rFonts w:ascii="Consolas" w:hAnsi="Consolas"/>
          <w:color w:val="0A5560"/>
          <w:sz w:val="20"/>
          <w:szCs w:val="20"/>
        </w:rPr>
        <w:t xml:space="preserve">cscu-domain-pack.zip</w:t>
      </w:r>
      <w:r>
        <w:t xml:space="preserve"> into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(this drops </w:t>
      </w:r>
      <w:r>
        <w:rPr>
          <w:rFonts w:ascii="Consolas" w:hAnsi="Consolas"/>
          <w:color w:val="0A5560"/>
          <w:sz w:val="20"/>
          <w:szCs w:val="20"/>
        </w:rPr>
        <w:t xml:space="preserve">domain_pack.json</w:t>
      </w:r>
      <w:r>
        <w:t xml:space="preserve"> and the </w:t>
      </w:r>
      <w:r>
        <w:rPr>
          <w:rFonts w:ascii="Consolas" w:hAnsi="Consolas"/>
          <w:color w:val="0A5560"/>
          <w:sz w:val="20"/>
          <w:szCs w:val="20"/>
        </w:rPr>
        <w:t xml:space="preserve">people.json</w:t>
      </w:r>
      <w:r>
        <w:t xml:space="preserve"> steward roster), delete any previous </w:t>
      </w:r>
      <w:r>
        <w:rPr>
          <w:rFonts w:ascii="Consolas" w:hAnsi="Consolas"/>
          <w:color w:val="0A5560"/>
          <w:sz w:val="20"/>
          <w:szCs w:val="20"/>
        </w:rPr>
        <w:t xml:space="preserve">tag_dictionary.json</w:t>
      </w:r>
      <w:r>
        <w:t xml:space="preserve">, then </w:t>
      </w:r>
      <w:r>
        <w:rPr>
          <w:rFonts w:ascii="Consolas" w:hAnsi="Consolas"/>
          <w:color w:val="0A5560"/>
          <w:sz w:val="20"/>
          <w:szCs w:val="20"/>
        </w:rPr>
        <w:t xml:space="preserve">./run.sh</w:t>
      </w:r>
      <w:r>
        <w:t xml:space="preserve">. Confirm on </w:t>
      </w:r>
      <w:r>
        <w:rPr>
          <w:rFonts w:ascii="Consolas" w:hAnsi="Consolas"/>
          <w:color w:val="0A5560"/>
          <w:sz w:val="20"/>
          <w:szCs w:val="20"/>
        </w:rPr>
        <w:t xml:space="preserve">/config</w:t>
      </w:r>
      <w:r>
        <w:t xml:space="preserve"> that </w:t>
      </w:r>
      <w:r>
        <w:rPr>
          <w:rFonts w:ascii="Consolas" w:hAnsi="Consolas"/>
          <w:color w:val="0A5560"/>
          <w:sz w:val="20"/>
          <w:szCs w:val="20"/>
        </w:rPr>
        <w:t xml:space="preserve">GLOSSARY_COMPANY=Copper State Credit Union</w:t>
      </w:r>
      <w:r>
        <w:t xml:space="preserve">.</w:t>
      </w:r>
    </w:p>
    <w:p>
      <w:pPr>
        <w:pStyle w:val="Heading2"/>
      </w:pPr>
      <w:r>
        <w:t xml:space="preserve">Step 4 — Scan &amp; review</w:t>
      </w:r>
    </w:p>
    <w:p>
      <w:pPr>
        <w:spacing w:after="120"/>
      </w:pPr>
      <w:r>
        <w:t xml:space="preserve">Connect to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(schema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, read-only </w:t>
      </w:r>
      <w:r>
        <w:rPr>
          <w:rFonts w:ascii="Consolas" w:hAnsi="Consolas"/>
          <w:color w:val="0A5560"/>
          <w:sz w:val="20"/>
          <w:szCs w:val="20"/>
        </w:rPr>
        <w:t xml:space="preserve">pdc_user</w:t>
      </w:r>
      <w:r>
        <w:t xml:space="preserve">), </w:t>
      </w:r>
      <w:r>
        <w:rPr>
          <w:b/>
          <w:bCs/>
        </w:rPr>
        <w:t xml:space="preserve">Scan</w:t>
      </w:r>
      <w:r>
        <w:t xml:space="preserve">, then </w:t>
      </w:r>
      <w:r>
        <w:rPr>
          <w:b/>
          <w:bCs/>
        </w:rPr>
        <w:t xml:space="preserve">Add to glossary</w:t>
      </w:r>
      <w:r>
        <w:t xml:space="preserve"> from the MinIO bucket so one glossary spans both sources. On the review grid: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expansions: </w:t>
      </w:r>
      <w:r>
        <w:rPr>
          <w:rFonts w:ascii="Consolas" w:hAnsi="Consolas"/>
          <w:color w:val="0A5560"/>
          <w:sz w:val="20"/>
          <w:szCs w:val="20"/>
        </w:rPr>
        <w:t xml:space="preserve">mbr_since_dt</w:t>
      </w:r>
      <w:r>
        <w:t xml:space="preserve"> → </w:t>
      </w:r>
      <w:r>
        <w:rPr>
          <w:i/>
          <w:iCs/>
        </w:rPr>
        <w:t xml:space="preserve">Member Since Date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apr_rt</w:t>
      </w:r>
      <w:r>
        <w:t xml:space="preserve"> → </w:t>
      </w:r>
      <w:r>
        <w:rPr>
          <w:i/>
          <w:iCs/>
        </w:rPr>
        <w:t xml:space="preserve">APR Rate</w:t>
      </w:r>
      <w:r>
        <w:t xml:space="preserve">. Edit anything weak.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sensitivity: </w:t>
      </w:r>
      <w:r>
        <w:rPr>
          <w:rFonts w:ascii="Consolas" w:hAnsi="Consolas"/>
          <w:color w:val="0A5560"/>
          <w:sz w:val="20"/>
          <w:szCs w:val="20"/>
        </w:rPr>
        <w:t xml:space="preserve">ssn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card_no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acct_no</w:t>
      </w:r>
      <w:r>
        <w:t xml:space="preserve"> must be HIGH. The profiler and the pack's sensitivity floors should already say so — verify, don't trust.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 the planted violation: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cvv_cd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cards</w:t>
      </w:r>
      <w:r>
        <w:t xml:space="preserve">. Its column comment and the PCI attestation PDF both flag it. Keep the term, set sensitivity HIGH, tag 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and note the remediation in the definition — the glossary is where the finding becomes visible to everyone.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tags the CSCU pack derived: </w:t>
      </w:r>
      <w:r>
        <w:rPr>
          <w:rFonts w:ascii="Consolas" w:hAnsi="Consolas"/>
          <w:color w:val="0A5560"/>
          <w:sz w:val="20"/>
          <w:szCs w:val="20"/>
        </w:rPr>
        <w:t xml:space="preserve">ach_rte_no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payments · ach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risk_rating_cd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compliance · aml</w:t>
      </w:r>
      <w:r>
        <w:t xml:space="preserve">, statements folder → </w:t>
      </w:r>
      <w:r>
        <w:rPr>
          <w:rFonts w:ascii="Consolas" w:hAnsi="Consolas"/>
          <w:color w:val="0A5560"/>
          <w:sz w:val="20"/>
          <w:szCs w:val="20"/>
        </w:rPr>
        <w:t xml:space="preserve">statement · records</w:t>
      </w:r>
      <w:r>
        <w:t xml:space="preserve">. A bare </w:t>
      </w:r>
      <w:r>
        <w:rPr>
          <w:rFonts w:ascii="Consolas" w:hAnsi="Consolas"/>
          <w:color w:val="0A5560"/>
          <w:sz w:val="20"/>
          <w:szCs w:val="20"/>
        </w:rPr>
        <w:t xml:space="preserve">document</w:t>
      </w:r>
      <w:r>
        <w:t xml:space="preserve"> tag means a vocabulary gap — extend the pack, don't hand-edit.</w:t>
      </w:r>
    </w:p>
    <w:p>
      <w:pPr>
        <w:pStyle w:val="Heading2"/>
      </w:pPr>
      <w:r>
        <w:t xml:space="preserve">Step 5 — Govern</w:t>
      </w:r>
    </w:p>
    <w:p>
      <w:pPr>
        <w:spacing w:after="120"/>
      </w:pPr>
      <w:r>
        <w:t xml:space="preserve">The roster is pre-seeded with the CSCU team, each steward carrying the expertise keywords the matcher uses. </w:t>
      </w:r>
      <w:r>
        <w:rPr>
          <w:b/>
          <w:bCs/>
        </w:rPr>
        <w:t xml:space="preserve">Auto-assign all slots</w:t>
      </w:r>
      <w:r>
        <w:t xml:space="preserve"> and verify the result: </w:t>
      </w:r>
      <w:r>
        <w:rPr>
          <w:i/>
          <w:iCs/>
        </w:rPr>
        <w:t xml:space="preserve">Elena Ramirez</w:t>
      </w:r>
      <w:r>
        <w:t xml:space="preserve"> stewards </w:t>
      </w:r>
      <w:r>
        <w:rPr>
          <w:b/>
          <w:bCs/>
        </w:rPr>
        <w:t xml:space="preserve">Member, Accounts &amp; Deposits, Transactions, Branch Operations</w:t>
      </w:r>
      <w:r>
        <w:t xml:space="preserve">; </w:t>
      </w:r>
      <w:r>
        <w:rPr>
          <w:i/>
          <w:iCs/>
        </w:rPr>
        <w:t xml:space="preserve">Marcus Webb</w:t>
      </w:r>
      <w:r>
        <w:t xml:space="preserve"> </w:t>
      </w:r>
      <w:r>
        <w:rPr>
          <w:b/>
          <w:bCs/>
        </w:rPr>
        <w:t xml:space="preserve">Lending, Finance &amp; Ledger</w:t>
      </w:r>
      <w:r>
        <w:t xml:space="preserve">; </w:t>
      </w:r>
      <w:r>
        <w:rPr>
          <w:i/>
          <w:iCs/>
        </w:rPr>
        <w:t xml:space="preserve">Nadia Flores</w:t>
      </w:r>
      <w:r>
        <w:t xml:space="preserve"> </w:t>
      </w:r>
      <w:r>
        <w:rPr>
          <w:b/>
          <w:bCs/>
        </w:rPr>
        <w:t xml:space="preserve">Compliance &amp; Risk, Records &amp; Documents</w:t>
      </w:r>
      <w:r>
        <w:t xml:space="preserve">; </w:t>
      </w:r>
      <w:r>
        <w:rPr>
          <w:i/>
          <w:iCs/>
        </w:rPr>
        <w:t xml:space="preserve">Tom Callahan</w:t>
      </w:r>
      <w:r>
        <w:t xml:space="preserve"> </w:t>
      </w:r>
      <w:r>
        <w:rPr>
          <w:b/>
          <w:bCs/>
        </w:rPr>
        <w:t xml:space="preserve">Cards &amp; Payments</w:t>
      </w:r>
      <w:r>
        <w:t xml:space="preserve">. Elena's Data Steward role fills the </w:t>
      </w:r>
      <w:r>
        <w:rPr>
          <w:b/>
          <w:bCs/>
        </w:rPr>
        <w:t xml:space="preserve">owner</w:t>
      </w:r>
      <w:r>
        <w:t xml:space="preserve"> slots, and </w:t>
      </w:r>
      <w:r>
        <w:rPr>
          <w:i/>
          <w:iCs/>
        </w:rPr>
        <w:t xml:space="preserve">Omar Haddad</w:t>
      </w:r>
      <w:r>
        <w:t xml:space="preserve"> (Data Storage Administrator) fills every </w:t>
      </w:r>
      <w:r>
        <w:rPr>
          <w:b/>
          <w:bCs/>
        </w:rPr>
        <w:t xml:space="preserve">custodian</w:t>
      </w:r>
      <w:r>
        <w:t xml:space="preserve"> slot — every pick shows its confidence and matched terms. Set ratings (Auto/DQ), review date, and status.</w:t>
      </w:r>
    </w:p>
    <w:p>
      <w:pPr>
        <w:pStyle w:val="Heading2"/>
      </w:pPr>
      <w:r>
        <w:t xml:space="preserve">Step 6 — Generate, import, resolve, apply</w:t>
      </w:r>
    </w:p>
    <w:p>
      <w:pPr>
        <w:spacing w:after="120"/>
      </w:pPr>
      <w:r>
        <w:rPr>
          <w:b/>
          <w:bCs/>
        </w:rPr>
        <w:t xml:space="preserve">Generate JSONL</w:t>
      </w:r>
      <w:r>
        <w:t xml:space="preserve"> (writes the Registry alongside), import it in PDC (</w:t>
      </w:r>
      <w:r>
        <w:rPr>
          <w:b/>
          <w:bCs/>
        </w:rPr>
        <w:t xml:space="preserve">Business Glossary → Actions → Import</w:t>
      </w:r>
      <w:r>
        <w:t xml:space="preserve">), </w:t>
      </w:r>
      <w:r>
        <w:rPr>
          <w:b/>
          <w:bCs/>
        </w:rPr>
        <w:t xml:space="preserve">Resolve term ids</w:t>
      </w:r>
      <w:r>
        <w:t xml:space="preserve">, then </w:t>
      </w:r>
      <w:r>
        <w:rPr>
          <w:b/>
          <w:bCs/>
        </w:rPr>
        <w:t xml:space="preserve">Apply to PDC</w:t>
      </w:r>
      <w:r>
        <w:t xml:space="preserve"> — dry-run first, always. Finish with the Trust Score rollup.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11 tables + 18 documents scanned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Sources chip on the Glossary page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cvv_cd</w:t>
            </w:r>
            <w:r>
              <w:t xml:space="preserve"> flagged HIGH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pci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review grid row + your note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terms marked CDE, HIGH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suspicious_activity</w:t>
            </w:r>
            <w:r>
              <w:t xml:space="preserve"> terms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Tags all governed (no drift)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Dictionary page: 0 off-vocabulary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Stewards assigned per domain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 page slots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written at export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registries/registry.&lt;glossary&gt;.json</w:t>
            </w:r>
          </w:p>
        </w:tc>
      </w:tr>
    </w:tbl>
    <w:p>
      <w:pPr>
        <w:spacing w:after="120"/>
      </w:pP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256059"/>
            <wp:docPr id="102" name="registry-spin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registry-spine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The Registry you just produced is the input contract for the </w:t>
      </w:r>
      <w:r>
        <w:rPr>
          <w:b/>
          <w:bCs/>
        </w:rPr>
        <w:t xml:space="preserve">Policy Generator</w:t>
      </w:r>
      <w:r>
        <w:t xml:space="preserve">, which emits the Data Identification dictionaries and patterns (card PAN, routing number, SSN) bound to these term ids — and then drift-checks them. That is a separate session.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Glossary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Relationship Id="rId101" Type="http://schemas.openxmlformats.org/officeDocument/2006/relationships/image" Target="media/two-apps.png"/><Relationship Id="rId102" Type="http://schemas.openxmlformats.org/officeDocument/2006/relationships/image" Target="media/registry-spine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the Glossary with the Glossary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