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02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Data Identification: the Engine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How dictionaries and patterns combine into policies that tag CSCU's data — and where the steward takes over.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Admin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1. What identification is</w:t>
      </w:r>
    </w:p>
    <w:p>
      <w:pPr>
        <w:spacing w:after="120"/>
      </w:pPr>
      <w:r>
        <w:t xml:space="preserve">Data Identification stamps </w:t>
      </w:r>
      <w:r>
        <w:rPr>
          <w:b/>
          <w:bCs/>
        </w:rPr>
        <w:t xml:space="preserve">tags</w:t>
      </w:r>
      <w:r>
        <w:t xml:space="preserve"> and </w:t>
      </w:r>
      <w:r>
        <w:rPr>
          <w:b/>
          <w:bCs/>
        </w:rPr>
        <w:t xml:space="preserve">business terms</w:t>
      </w:r>
      <w:r>
        <w:t xml:space="preserve"> (and drives sensitivity) onto profiled columns and discovered documents. Two method types: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— match by content.</w:t>
      </w:r>
      <w:r>
        <w:t xml:space="preserve"> A value list; a column whose profiled values sit inside the list scores high similarity. Right tool for enums: 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acct_type_cd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risk_rating_cd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Patterns — match by shape.</w:t>
      </w:r>
      <w:r>
        <w:t xml:space="preserve"> Weighted signals: column-name regex, position analysis (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), content regex. Right tool for identifiers: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ACC-00070001</w:t>
      </w:r>
      <w:r>
        <w:t xml:space="preserve">, nine-digit routing numbers, card PANs.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Operations → Data Identification Methods</w:t>
      </w:r>
    </w:p>
    <w:p>
      <w:pPr>
        <w:pStyle w:val="Heading1"/>
      </w:pPr>
      <w:r>
        <w:t xml:space="preserve">2. Anatomy of a rule</w:t>
      </w:r>
    </w:p>
    <w:p>
      <w:pPr>
        <w:spacing w:after="120"/>
      </w:pPr>
      <w:r>
        <w:t xml:space="preserve">Walk </w:t>
      </w:r>
      <w:r>
        <w:rPr>
          <w:rFonts w:ascii="Consolas" w:hAnsi="Consolas"/>
          <w:color w:val="0A5560"/>
          <w:sz w:val="20"/>
          <w:szCs w:val="20"/>
        </w:rPr>
        <w:t xml:space="preserve">cscu_transaction_types_rule.json</w:t>
      </w:r>
      <w:r>
        <w:t xml:space="preserve"> (Module 03): confidence formula (0.8 × similarity + 0.2 × metadata), column-name regex with a score, fire condition (confidence ≥ 0.6 OR metadata ≥ 0.7), actions (apply tags, assign business term). Then </w:t>
      </w:r>
      <w:r>
        <w:rPr>
          <w:rFonts w:ascii="Consolas" w:hAnsi="Consolas"/>
          <w:color w:val="0A5560"/>
          <w:sz w:val="20"/>
          <w:szCs w:val="20"/>
        </w:rPr>
        <w:t xml:space="preserve">cscu_member_number.json</w:t>
      </w:r>
      <w:r>
        <w:t xml:space="preserve">: three weighted signals (name 0.3, shape 0.4, regex 0.3) against a 0.7 threshold.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method rule editor</w:t>
      </w:r>
    </w:p>
    <w:p>
      <w:pPr>
        <w:pStyle w:val="Heading1"/>
      </w:pPr>
      <w:r>
        <w:t xml:space="preserve">3. Policies and the run</w:t>
      </w:r>
    </w:p>
    <w:p>
      <w:pPr>
        <w:spacing w:after="120"/>
      </w:pPr>
      <w:r>
        <w:t xml:space="preserve">Methods are grouped into a </w:t>
      </w:r>
      <w:r>
        <w:rPr>
          <w:b/>
          <w:bCs/>
        </w:rPr>
        <w:t xml:space="preserve">policy</w:t>
      </w:r>
      <w:r>
        <w:t xml:space="preserve">; the policy runs as a job over selected sources. On CSCU: system methods (SSN, email, phone, credit card) find </w:t>
      </w:r>
      <w:r>
        <w:rPr>
          <w:rFonts w:ascii="Consolas" w:hAnsi="Consolas"/>
          <w:color w:val="0A5560"/>
          <w:sz w:val="20"/>
          <w:szCs w:val="20"/>
        </w:rPr>
        <w:t xml:space="preserve">members.ssn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members.email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; the custom methods from Module 03 pick up the enums and CSCU identifiers.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 + results on members</w:t>
      </w:r>
    </w:p>
    <w:p>
      <w:pPr>
        <w:pStyle w:val="Heading1"/>
      </w:pPr>
      <w:r>
        <w:t xml:space="preserve">4. The rules that matter in operation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first</w:t>
      </w:r>
      <w:r>
        <w:t xml:space="preserve"> — identification reads profiled values; an unprofiled table gives the engine nothing to 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Identify once</w:t>
      </w:r>
      <w:r>
        <w:t xml:space="preserve"> — re-running after steward overrides (the Glossary Generator's Apply) clobbers their work. Baseline once, then curate.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 merge, sensitivity overwrites</w:t>
      </w:r>
      <w:r>
        <w:t xml:space="preserve"> — remember this when the app writes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Trust Score last</w:t>
      </w:r>
      <w:r>
        <w:t xml:space="preserve"> — it rolls up quality + ratings + lineage + classification + term links.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302812"/>
            <wp:docPr id="101" name="challenge-and-goa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hallenge-and-goal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Where the steward fits</w:t>
      </w:r>
    </w:p>
    <w:p>
      <w:pPr>
        <w:spacing w:after="120"/>
      </w:pPr>
      <w:r>
        <w:t xml:space="preserve">Identification is the </w:t>
      </w:r>
      <w:r>
        <w:rPr>
          <w:b/>
          <w:bCs/>
        </w:rPr>
        <w:t xml:space="preserve">baseline</w:t>
      </w:r>
      <w:r>
        <w:t xml:space="preserve">, not the verdict. The CSCU story: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a 3-digit column generic methods may miss — is caught by the failing PCI business rule (Workshop 4), the PCI attestation document, and the steward's review in the Glossary Generator. Module 01 applies that curation over the PDC API.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02: Data Identification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101" Type="http://schemas.openxmlformats.org/officeDocument/2006/relationships/image" Target="media/challenge-and-goal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Identification: the Engine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