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1200"/>
      </w:pPr>
      <w:r>
        <w:rPr>
          <w:b/>
          <w:bCs/>
          <w:color w:val="1C7293"/>
          <w:spacing w:val="30"/>
        </w:rPr>
        <w:t xml:space="preserve">PENTAHO DATA CATALOG 11.0.0  ·  BUSINESS ANALYST</w:t>
      </w:r>
    </w:p>
    <w:p>
      <w:pPr>
        <w:spacing w:before="80"/>
      </w:pPr>
      <w:r>
        <w:rPr>
          <w:b/>
          <w:bCs/>
          <w:color w:val="5B7886"/>
          <w:spacing w:val="30"/>
        </w:rPr>
        <w:t xml:space="preserve">PDC PROCESS  ·  METADATA INGEST</w:t>
      </w:r>
    </w:p>
    <w:p>
      <w:pPr>
        <w:spacing w:before="200"/>
      </w:pPr>
      <w:r>
        <w:rPr>
          <w:b/>
          <w:bCs/>
          <w:color w:val="5B7782"/>
          <w:spacing w:val="20"/>
          <w:sz w:val="32"/>
          <w:szCs w:val="32"/>
        </w:rPr>
        <w:t xml:space="preserve">WORKSHOP 1</w:t>
      </w:r>
    </w:p>
    <w:p>
      <w:pPr>
        <w:spacing w:before="320"/>
      </w:pPr>
      <w:r>
        <w:rPr>
          <w:rFonts w:ascii="Cambria" w:eastAsia="Cambria" w:hAnsi="Cambria" w:cs="Cambria"/>
          <w:b/>
          <w:bCs/>
          <w:color w:val="14333F"/>
          <w:sz w:val="56"/>
          <w:szCs w:val="56"/>
        </w:rPr>
        <w:t xml:space="preserve">Connect the Data Sources</w:t>
      </w:r>
    </w:p>
    <w:p>
      <w:pPr>
        <w:spacing w:before="200"/>
      </w:pPr>
      <w:r>
        <w:rPr>
          <w:color w:val="065A82"/>
          <w:sz w:val="28"/>
          <w:szCs w:val="28"/>
        </w:rPr>
        <w:t xml:space="preserve">Bring the Copper State Credit Union database and document store under catalog governance.</w:t>
      </w:r>
    </w:p>
    <w:p>
      <w:pPr>
        <w:pBdr>
          <w:top w:val="single" w:sz="6" w:space="8" w:color="1C7293"/>
        </w:pBdr>
        <w:spacing w:before="500"/>
      </w:pPr>
    </w:p>
    <w:p>
      <w:pPr>
        <w:spacing w:before="200"/>
      </w:pPr>
      <w:r>
        <w:rPr>
          <w:b/>
          <w:bCs/>
          <w:color w:val="5B7782"/>
          <w:sz w:val="24"/>
          <w:szCs w:val="24"/>
        </w:rPr>
        <w:t xml:space="preserve">Primary role:  </w:t>
      </w:r>
      <w:r>
        <w:rPr>
          <w:color w:val="14333F"/>
          <w:sz w:val="24"/>
          <w:szCs w:val="24"/>
        </w:rPr>
        <w:t xml:space="preserve">Data Steward / IT Administrator</w:t>
      </w:r>
    </w:p>
    <w:p>
      <w:pPr>
        <w:spacing w:before="80"/>
      </w:pPr>
      <w:r>
        <w:rPr>
          <w:b/>
          <w:bCs/>
          <w:color w:val="5B7782"/>
          <w:sz w:val="24"/>
          <w:szCs w:val="24"/>
        </w:rPr>
        <w:t xml:space="preserve">Estimated time:  </w:t>
      </w:r>
      <w:r>
        <w:rPr>
          <w:color w:val="14333F"/>
          <w:sz w:val="24"/>
          <w:szCs w:val="24"/>
        </w:rPr>
        <w:t xml:space="preserve">120 minutes</w:t>
      </w:r>
    </w:p>
    <w:p>
      <w:pPr>
        <w:spacing w:before="80"/>
      </w:pPr>
      <w:r>
        <w:rPr>
          <w:b/>
          <w:bCs/>
          <w:color w:val="5B7782"/>
          <w:sz w:val="24"/>
          <w:szCs w:val="24"/>
        </w:rPr>
        <w:t xml:space="preserve">Dataset:  </w:t>
      </w:r>
      <w:r>
        <w:rPr>
          <w:color w:val="14333F"/>
          <w:sz w:val="24"/>
          <w:szCs w:val="24"/>
        </w:rPr>
        <w:t xml:space="preserve">Copper State Credit Union (cscu_core + cscu-documents)</w:t>
      </w:r>
    </w:p>
    <w:p>
      <w:pPr>
        <w:pStyle w:val="Heading1"/>
      </w:pPr>
      <w:r>
        <w:t xml:space="preserve">Why this workshop matters</w:t>
      </w:r>
    </w:p>
    <w:p>
      <w:pPr>
        <w:spacing w:after="120"/>
      </w:pPr>
      <w:r>
        <w:t xml:space="preserve">Every governance journey begins the same way: you cannot catalog, profile, protect, or trace data that the catalog cannot see. Workshop 1 is where Pentaho Data Catalog (PDC) first meets the Copper State Credit Union (CSCU) data estate. By the end, two very different worlds of data will be visible in one place — and everything you do in the remaining workshops depends on the connections you make here.</w:t>
      </w:r>
    </w:p>
    <w:p>
      <w:pPr>
        <w:spacing w:after="120"/>
      </w:pPr>
      <w:r>
        <w:t xml:space="preserve">CSCU is a fictional Arizona credit union with six branches, from Phoenix and Tempe to Globe and Prescott. Like every financial institution, it runs on two kinds of information. The first is structured core-banking data — members, accounts, cards, transactions, loans, compliance cases — living in a PostgreSQL database. The second, and in most institutions far larger, is unstructured content: loan applications, member statements, adverse-action letters, SAR filings, PCI attestations, ACH extracts. Industry studies put unstructured content at 80–90% of what an organization generates, and a credit union is no exception.</w:t>
      </w:r>
    </w:p>
    <w:p>
      <w:pPr>
        <w:pBdr>
          <w:left w:val="single" w:sz="12" w:space="8" w:color="065A82"/>
        </w:pBdr>
        <w:shd w:val="clear" w:color="auto" w:fill="EEF6FA"/>
        <w:ind w:left="240" w:right="240"/>
        <w:spacing w:before="120" w:after="160"/>
      </w:pPr>
      <w:r>
        <w:rPr>
          <w:b/>
          <w:bCs/>
        </w:rPr>
        <w:t xml:space="preserve">The business problem.</w:t>
      </w:r>
      <w:r>
        <w:t xml:space="preserve"> Before PDC, a CSCU analyst asked </w:t>
      </w:r>
      <w:r>
        <w:rPr>
          <w:i/>
          <w:iCs/>
        </w:rPr>
        <w:t xml:space="preserve">"what do we hold about member Alicia Mendoza?"</w:t>
      </w:r>
      <w:r>
        <w:t xml:space="preserve"> had to search the core banking database, then a document share, then someone's email. The answer was scattered, and nobody could be sure it was complete. Connecting both the database and the document store to one catalog is the first concrete step toward answering that question in one place — and toward proving, to an NCUA examiner, that CSCU knows where all of its member data lives.</w:t>
      </w:r>
    </w:p>
    <w:p>
      <w:pPr>
        <w:pStyle w:val="Heading1"/>
      </w:pPr>
      <w:r>
        <w:t xml:space="preserve">What you will learn</w:t>
      </w:r>
    </w:p>
    <w:p>
      <w:pPr>
        <w:pStyle w:val="ListParagraph"/>
        <w:numPr>
          <w:ilvl w:val="0"/>
          <w:numId w:val="2"/>
        </w:numPr>
        <w:spacing w:after="60"/>
      </w:pPr>
      <w:r>
        <w:t xml:space="preserve">How PDC models a data source, and why connection details are encrypted and tested before a source goes live.</w:t>
      </w:r>
    </w:p>
    <w:p>
      <w:pPr>
        <w:pStyle w:val="ListParagraph"/>
        <w:numPr>
          <w:ilvl w:val="0"/>
          <w:numId w:val="2"/>
        </w:numPr>
        <w:spacing w:after="60"/>
      </w:pPr>
      <w:r>
        <w:t xml:space="preserve">How to register both sources in one pass with the Glossary Generator's </w:t>
      </w:r>
      <w:r>
        <w:rPr>
          <w:b/>
          <w:bCs/>
        </w:rPr>
        <w:t xml:space="preserve">bulk loader</w:t>
      </w:r>
      <w:r>
        <w:t xml:space="preserve"> — the standard method — and what it does per CSV row.</w:t>
      </w:r>
    </w:p>
    <w:p>
      <w:pPr>
        <w:pStyle w:val="ListParagraph"/>
        <w:numPr>
          <w:ilvl w:val="0"/>
          <w:numId w:val="2"/>
        </w:numPr>
        <w:spacing w:after="60"/>
      </w:pPr>
      <w:r>
        <w:t xml:space="preserve">How to connect a PostgreSQL database and ingest its schema so the </w:t>
      </w:r>
      <w:r>
        <w:rPr>
          <w:rFonts w:ascii="Consolas" w:hAnsi="Consolas"/>
          <w:color w:val="0A5560"/>
          <w:sz w:val="20"/>
          <w:szCs w:val="20"/>
        </w:rPr>
        <w:t xml:space="preserve">cscu_core</w:t>
      </w:r>
      <w:r>
        <w:t xml:space="preserve"> tables become catalog assets.</w:t>
      </w:r>
    </w:p>
    <w:p>
      <w:pPr>
        <w:pStyle w:val="ListParagraph"/>
        <w:numPr>
          <w:ilvl w:val="0"/>
          <w:numId w:val="2"/>
        </w:numPr>
        <w:spacing w:after="60"/>
      </w:pPr>
      <w:r>
        <w:t xml:space="preserve">How file and object-store sources differ from databases — why they are scanned rather than schema-ingested, and which engine processes them.</w:t>
      </w:r>
    </w:p>
    <w:p>
      <w:pPr>
        <w:pStyle w:val="ListParagraph"/>
        <w:numPr>
          <w:ilvl w:val="0"/>
          <w:numId w:val="2"/>
        </w:numPr>
        <w:spacing w:after="60"/>
      </w:pPr>
      <w:r>
        <w:t xml:space="preserve">How to connect the MinIO object store holding CSCU's documents, and preview how those documents are processed.</w:t>
      </w:r>
    </w:p>
    <w:p>
      <w:pPr>
        <w:pStyle w:val="ListParagraph"/>
        <w:numPr>
          <w:ilvl w:val="0"/>
          <w:numId w:val="2"/>
        </w:numPr>
        <w:spacing w:after="60"/>
      </w:pPr>
      <w:r>
        <w:t xml:space="preserve">Why a read-only connection user is the right choice for a catalog, and how it reflects good governance from step one.</w:t>
      </w:r>
    </w:p>
    <w:p>
      <w:pPr>
        <w:pStyle w:val="Heading1"/>
      </w:pPr>
      <w:r>
        <w:t xml:space="preserve">Background: how PDC sees data</w:t>
      </w:r>
    </w:p>
    <w:p>
      <w:pPr>
        <w:spacing w:after="120"/>
      </w:pPr>
      <w:r>
        <w:t xml:space="preserve">A data source in PDC is a stored, encrypted definition of how to reach a system — its type, host, credentials, and options. PDC encrypts the user name and password before storing them, and a source stays OFFLINE until a successful </w:t>
      </w:r>
      <w:r>
        <w:rPr>
          <w:b/>
          <w:bCs/>
        </w:rPr>
        <w:t xml:space="preserve">Test Connection</w:t>
      </w:r>
      <w:r>
        <w:t xml:space="preserve"> proves the details work. This is deliberate: a catalog that holds connection secrets for every system in the business must protect them, and must never present a half-working connection as trustworthy.</w:t>
      </w:r>
    </w:p>
    <w:p>
      <w:pPr>
        <w:pStyle w:val="Heading2"/>
      </w:pPr>
      <w:r>
        <w:t xml:space="preserve">Two on-ramps: schema ingest vs. file scan</w:t>
      </w:r>
    </w:p>
    <w:p>
      <w:pPr>
        <w:spacing w:after="120"/>
      </w:pPr>
      <w:r>
        <w:t xml:space="preserve">How a source is brought in depends on what kind of data it holds, and this distinction runs through the whole course:</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t xml:space="preserve"/>
            </w:r>
          </w:p>
        </w:tc>
        <w:tc>
          <w:tcPr>
            <w:tcW w:w="3430" w:type="dxa"/>
            <w:shd w:val="clear" w:color="auto" w:fill="EEF6FA"/>
            <w:tcMar>
              <w:top w:w="120" w:type="dxa"/>
              <w:left w:w="180" w:type="dxa"/>
              <w:bottom w:w="120" w:type="dxa"/>
              <w:right w:w="180" w:type="dxa"/>
            </w:tcMar>
          </w:tcPr>
          <w:p>
            <w:pPr>
              <w:spacing w:after="0"/>
            </w:pPr>
            <w:r>
              <w:rPr>
                <w:b/>
                <w:bCs/>
              </w:rPr>
              <w:t xml:space="preserve">Structured database</w:t>
            </w:r>
          </w:p>
        </w:tc>
        <w:tc>
          <w:tcPr>
            <w:tcW w:w="3430" w:type="dxa"/>
            <w:shd w:val="clear" w:color="auto" w:fill="EEF6FA"/>
            <w:tcMar>
              <w:top w:w="120" w:type="dxa"/>
              <w:left w:w="180" w:type="dxa"/>
              <w:bottom w:w="120" w:type="dxa"/>
              <w:right w:w="180" w:type="dxa"/>
            </w:tcMar>
          </w:tcPr>
          <w:p>
            <w:pPr>
              <w:spacing w:after="0"/>
            </w:pPr>
            <w:r>
              <w:rPr>
                <w:b/>
                <w:bCs/>
              </w:rPr>
              <w:t xml:space="preserve">File / object store</w:t>
            </w:r>
          </w:p>
        </w:tc>
      </w:tr>
      <w:tr>
        <w:tc>
          <w:tcPr>
            <w:tcW w:w="2500" w:type="dxa"/>
            <w:tcMar>
              <w:top w:w="120" w:type="dxa"/>
              <w:left w:w="180" w:type="dxa"/>
              <w:bottom w:w="120" w:type="dxa"/>
              <w:right w:w="180" w:type="dxa"/>
            </w:tcMar>
          </w:tcPr>
          <w:p>
            <w:pPr>
              <w:spacing w:after="0"/>
            </w:pPr>
            <w:r>
              <w:t xml:space="preserve">Example at CSCU</w:t>
            </w:r>
          </w:p>
        </w:tc>
        <w:tc>
          <w:tcPr>
            <w:tcW w:w="3430" w:type="dxa"/>
            <w:tcMar>
              <w:top w:w="120" w:type="dxa"/>
              <w:left w:w="180" w:type="dxa"/>
              <w:bottom w:w="120" w:type="dxa"/>
              <w:right w:w="180" w:type="dxa"/>
            </w:tcMar>
          </w:tcPr>
          <w:p>
            <w:pPr>
              <w:spacing w:after="0"/>
            </w:pPr>
            <w:r>
              <w:t xml:space="preserve">PostgreSQL </w:t>
            </w:r>
            <w:r>
              <w:rPr>
                <w:rFonts w:ascii="Consolas" w:hAnsi="Consolas"/>
                <w:color w:val="0A5560"/>
                <w:sz w:val="20"/>
                <w:szCs w:val="20"/>
              </w:rPr>
              <w:t xml:space="preserve">cscu_core</w:t>
            </w:r>
          </w:p>
        </w:tc>
        <w:tc>
          <w:tcPr>
            <w:tcW w:w="3430" w:type="dxa"/>
            <w:tcMar>
              <w:top w:w="120" w:type="dxa"/>
              <w:left w:w="180" w:type="dxa"/>
              <w:bottom w:w="120" w:type="dxa"/>
              <w:right w:w="180" w:type="dxa"/>
            </w:tcMar>
          </w:tcPr>
          <w:p>
            <w:pPr>
              <w:spacing w:after="0"/>
            </w:pPr>
            <w:r>
              <w:t xml:space="preserve">MinIO </w:t>
            </w:r>
            <w:r>
              <w:rPr>
                <w:rFonts w:ascii="Consolas" w:hAnsi="Consolas"/>
                <w:color w:val="0A5560"/>
                <w:sz w:val="20"/>
                <w:szCs w:val="20"/>
              </w:rPr>
              <w:t xml:space="preserve">cscu-documents</w:t>
            </w:r>
            <w:r>
              <w:t xml:space="preserve"> bucket</w:t>
            </w:r>
          </w:p>
        </w:tc>
      </w:tr>
      <w:tr>
        <w:tc>
          <w:tcPr>
            <w:tcW w:w="2500" w:type="dxa"/>
            <w:tcMar>
              <w:top w:w="120" w:type="dxa"/>
              <w:left w:w="180" w:type="dxa"/>
              <w:bottom w:w="120" w:type="dxa"/>
              <w:right w:w="180" w:type="dxa"/>
            </w:tcMar>
          </w:tcPr>
          <w:p>
            <w:pPr>
              <w:spacing w:after="0"/>
            </w:pPr>
            <w:r>
              <w:t xml:space="preserve">Load step</w:t>
            </w:r>
          </w:p>
        </w:tc>
        <w:tc>
          <w:tcPr>
            <w:tcW w:w="3430" w:type="dxa"/>
            <w:tcMar>
              <w:top w:w="120" w:type="dxa"/>
              <w:left w:w="180" w:type="dxa"/>
              <w:bottom w:w="120" w:type="dxa"/>
              <w:right w:w="180" w:type="dxa"/>
            </w:tcMar>
          </w:tcPr>
          <w:p>
            <w:pPr>
              <w:spacing w:after="0"/>
            </w:pPr>
            <w:r>
              <w:t xml:space="preserve">Ingest Schema</w:t>
            </w:r>
          </w:p>
        </w:tc>
        <w:tc>
          <w:tcPr>
            <w:tcW w:w="3430" w:type="dxa"/>
            <w:tcMar>
              <w:top w:w="120" w:type="dxa"/>
              <w:left w:w="180" w:type="dxa"/>
              <w:bottom w:w="120" w:type="dxa"/>
              <w:right w:w="180" w:type="dxa"/>
            </w:tcMar>
          </w:tcPr>
          <w:p>
            <w:pPr>
              <w:spacing w:after="0"/>
            </w:pPr>
            <w:r>
              <w:t xml:space="preserve">Scan Files</w:t>
            </w:r>
          </w:p>
        </w:tc>
      </w:tr>
      <w:tr>
        <w:tc>
          <w:tcPr>
            <w:tcW w:w="2500" w:type="dxa"/>
            <w:tcMar>
              <w:top w:w="120" w:type="dxa"/>
              <w:left w:w="180" w:type="dxa"/>
              <w:bottom w:w="120" w:type="dxa"/>
              <w:right w:w="180" w:type="dxa"/>
            </w:tcMar>
          </w:tcPr>
          <w:p>
            <w:pPr>
              <w:spacing w:after="0"/>
            </w:pPr>
            <w:r>
              <w:t xml:space="preserve">What loads</w:t>
            </w:r>
          </w:p>
        </w:tc>
        <w:tc>
          <w:tcPr>
            <w:tcW w:w="3430" w:type="dxa"/>
            <w:tcMar>
              <w:top w:w="120" w:type="dxa"/>
              <w:left w:w="180" w:type="dxa"/>
              <w:bottom w:w="120" w:type="dxa"/>
              <w:right w:w="180" w:type="dxa"/>
            </w:tcMar>
          </w:tcPr>
          <w:p>
            <w:pPr>
              <w:spacing w:after="0"/>
            </w:pPr>
            <w:r>
              <w:t xml:space="preserve">Tables, columns, types, keys</w:t>
            </w:r>
          </w:p>
        </w:tc>
        <w:tc>
          <w:tcPr>
            <w:tcW w:w="3430" w:type="dxa"/>
            <w:tcMar>
              <w:top w:w="120" w:type="dxa"/>
              <w:left w:w="180" w:type="dxa"/>
              <w:bottom w:w="120" w:type="dxa"/>
              <w:right w:w="180" w:type="dxa"/>
            </w:tcMar>
          </w:tcPr>
          <w:p>
            <w:pPr>
              <w:spacing w:after="0"/>
            </w:pPr>
            <w:r>
              <w:t xml:space="preserve">Files, formats, sizes, paths</w:t>
            </w:r>
          </w:p>
        </w:tc>
      </w:tr>
      <w:tr>
        <w:tc>
          <w:tcPr>
            <w:tcW w:w="2500" w:type="dxa"/>
            <w:tcMar>
              <w:top w:w="120" w:type="dxa"/>
              <w:left w:w="180" w:type="dxa"/>
              <w:bottom w:w="120" w:type="dxa"/>
              <w:right w:w="180" w:type="dxa"/>
            </w:tcMar>
          </w:tcPr>
          <w:p>
            <w:pPr>
              <w:spacing w:after="0"/>
            </w:pPr>
            <w:r>
              <w:t xml:space="preserve">Processing engine</w:t>
            </w:r>
          </w:p>
        </w:tc>
        <w:tc>
          <w:tcPr>
            <w:tcW w:w="3430" w:type="dxa"/>
            <w:tcMar>
              <w:top w:w="120" w:type="dxa"/>
              <w:left w:w="180" w:type="dxa"/>
              <w:bottom w:w="120" w:type="dxa"/>
              <w:right w:w="180" w:type="dxa"/>
            </w:tcMar>
          </w:tcPr>
          <w:p>
            <w:pPr>
              <w:spacing w:after="0"/>
            </w:pPr>
            <w:r>
              <w:t xml:space="preserve">Data Integration</w:t>
            </w:r>
          </w:p>
        </w:tc>
        <w:tc>
          <w:tcPr>
            <w:tcW w:w="3430" w:type="dxa"/>
            <w:tcMar>
              <w:top w:w="120" w:type="dxa"/>
              <w:left w:w="180" w:type="dxa"/>
              <w:bottom w:w="120" w:type="dxa"/>
              <w:right w:w="180" w:type="dxa"/>
            </w:tcMar>
          </w:tcPr>
          <w:p>
            <w:pPr>
              <w:spacing w:after="0"/>
            </w:pPr>
            <w:r>
              <w:t xml:space="preserve">Data Optimizer</w:t>
            </w:r>
          </w:p>
        </w:tc>
      </w:tr>
      <w:tr>
        <w:tc>
          <w:tcPr>
            <w:tcW w:w="2500" w:type="dxa"/>
            <w:tcMar>
              <w:top w:w="120" w:type="dxa"/>
              <w:left w:w="180" w:type="dxa"/>
              <w:bottom w:w="120" w:type="dxa"/>
              <w:right w:w="180" w:type="dxa"/>
            </w:tcMar>
          </w:tcPr>
          <w:p>
            <w:pPr>
              <w:spacing w:after="0"/>
            </w:pPr>
            <w:r>
              <w:t xml:space="preserve">Profiling later</w:t>
            </w:r>
          </w:p>
        </w:tc>
        <w:tc>
          <w:tcPr>
            <w:tcW w:w="3430" w:type="dxa"/>
            <w:tcMar>
              <w:top w:w="120" w:type="dxa"/>
              <w:left w:w="180" w:type="dxa"/>
              <w:bottom w:w="120" w:type="dxa"/>
              <w:right w:w="180" w:type="dxa"/>
            </w:tcMar>
          </w:tcPr>
          <w:p>
            <w:pPr>
              <w:spacing w:after="0"/>
            </w:pPr>
            <w:r>
              <w:t xml:space="preserve">Column profiling</w:t>
            </w:r>
          </w:p>
        </w:tc>
        <w:tc>
          <w:tcPr>
            <w:tcW w:w="3430" w:type="dxa"/>
            <w:tcMar>
              <w:top w:w="120" w:type="dxa"/>
              <w:left w:w="180" w:type="dxa"/>
              <w:bottom w:w="120" w:type="dxa"/>
              <w:right w:w="180" w:type="dxa"/>
            </w:tcMar>
          </w:tcPr>
          <w:p>
            <w:pPr>
              <w:spacing w:after="0"/>
            </w:pPr>
            <w:r>
              <w:t xml:space="preserve">Document Processing</w:t>
            </w:r>
          </w:p>
        </w:tc>
      </w:tr>
    </w:tbl>
    <w:p>
      <w:pPr>
        <w:spacing w:after="120"/>
      </w:pPr>
    </w:p>
    <w:p>
      <w:pPr>
        <w:spacing w:after="120"/>
      </w:pPr>
      <w:r>
        <w:t xml:space="preserve">Understanding this split is the single most useful concept in Workshop 1. A database is described by its schema, so PDC ingests that schema. A bucket of PDFs and CSVs has no schema, so PDC scans the files and reads their content with a different engine. Same catalog, two on-ramps.</w:t>
      </w:r>
    </w:p>
    <w:p>
      <w:pPr>
        <w:jc w:val="center"/>
        <w:spacing w:before="120" w:after="160"/>
      </w:pPr>
      <w:r>
        <w:drawing>
          <wp:inline xmlns:wp="http://schemas.openxmlformats.org/drawingml/2006/wordprocessingDrawing" distT="0" distB="0" distL="0" distR="0">
            <wp:extent cx="5760720" cy="3231552"/>
            <wp:docPr id="101" name="lab-topology"/>
            <a:graphic xmlns:a="http://schemas.openxmlformats.org/drawingml/2006/main">
              <a:graphicData uri="http://schemas.openxmlformats.org/drawingml/2006/picture">
                <pic:pic xmlns:pic="http://schemas.openxmlformats.org/drawingml/2006/picture">
                  <pic:nvPicPr>
                    <pic:cNvPr id="101" name="lab-topology"/>
                    <pic:cNvPicPr/>
                  </pic:nvPicPr>
                  <pic:blipFill>
                    <a:blip r:embed="rId101"/>
                    <a:stretch>
                      <a:fillRect/>
                    </a:stretch>
                  </pic:blipFill>
                  <pic:spPr>
                    <a:xfrm>
                      <a:off x="0" y="0"/>
                      <a:ext cx="5760720" cy="3231552"/>
                    </a:xfrm>
                    <a:prstGeom prst="rect">
                      <a:avLst/>
                    </a:prstGeom>
                  </pic:spPr>
                </pic:pic>
              </a:graphicData>
            </a:graphic>
          </wp:inline>
        </w:drawing>
      </w:r>
    </w:p>
    <w:p>
      <w:pPr>
        <w:pStyle w:val="Heading1"/>
      </w:pPr>
      <w:r>
        <w:t xml:space="preserve">Before you begin</w:t>
      </w:r>
    </w:p>
    <w:p>
      <w:pPr>
        <w:pStyle w:val="Heading2"/>
      </w:pPr>
      <w:r>
        <w:t xml:space="preserve">Prerequisites</w:t>
      </w:r>
    </w:p>
    <w:p>
      <w:pPr>
        <w:pStyle w:val="ListParagraph"/>
        <w:numPr>
          <w:ilvl w:val="0"/>
          <w:numId w:val="2"/>
        </w:numPr>
        <w:spacing w:after="60"/>
      </w:pPr>
      <w:r>
        <w:t xml:space="preserve">The shared lab running with CSCU loaded (</w:t>
      </w:r>
      <w:r>
        <w:rPr>
          <w:rFonts w:ascii="Consolas" w:hAnsi="Consolas"/>
          <w:color w:val="0A5560"/>
          <w:sz w:val="20"/>
          <w:szCs w:val="20"/>
        </w:rPr>
        <w:t xml:space="preserve">data_sources/lab</w:t>
      </w:r>
      <w:r>
        <w:t xml:space="preserve">: </w:t>
      </w:r>
      <w:r>
        <w:rPr>
          <w:rFonts w:ascii="Consolas" w:hAnsi="Consolas"/>
          <w:color w:val="0A5560"/>
          <w:sz w:val="20"/>
          <w:szCs w:val="20"/>
        </w:rPr>
        <w:t xml:space="preserve">make up &amp;&amp; make load SCENARIO=CSCU</w:t>
      </w:r>
      <w:r>
        <w:t xml:space="preserve">), so PostgreSQL and MinIO are both up and verified.</w:t>
      </w:r>
    </w:p>
    <w:p>
      <w:pPr>
        <w:pStyle w:val="ListParagraph"/>
        <w:numPr>
          <w:ilvl w:val="0"/>
          <w:numId w:val="2"/>
        </w:numPr>
        <w:spacing w:after="60"/>
      </w:pPr>
      <w:r>
        <w:t xml:space="preserve">Workshop 0 users exist. Work as </w:t>
      </w:r>
      <w:r>
        <w:rPr>
          <w:rFonts w:ascii="Consolas" w:hAnsi="Consolas"/>
          <w:color w:val="0A5560"/>
          <w:sz w:val="20"/>
          <w:szCs w:val="20"/>
        </w:rPr>
        <w:t xml:space="preserve">omar.haddad</w:t>
      </w:r>
      <w:r>
        <w:t xml:space="preserve"> (</w:t>
      </w:r>
      <w:r>
        <w:rPr>
          <w:b/>
          <w:bCs/>
        </w:rPr>
        <w:t xml:space="preserve">Data Storage Administrator</w:t>
      </w:r>
      <w:r>
        <w:t xml:space="preserve"> — creating and ingesting data sources is his job; </w:t>
      </w:r>
      <w:r>
        <w:rPr>
          <w:rFonts w:ascii="Consolas" w:hAnsi="Consolas"/>
          <w:color w:val="0A5560"/>
          <w:sz w:val="20"/>
          <w:szCs w:val="20"/>
        </w:rPr>
        <w:t xml:space="preserve">elena.ramirez</w:t>
      </w:r>
      <w:r>
        <w:t xml:space="preserve">'s Data Steward role also carries the rights).</w:t>
      </w:r>
    </w:p>
    <w:p>
      <w:pPr>
        <w:pStyle w:val="ListParagraph"/>
        <w:numPr>
          <w:ilvl w:val="0"/>
          <w:numId w:val="2"/>
        </w:numPr>
        <w:spacing w:after="60"/>
      </w:pPr>
      <w:r>
        <w:t xml:space="preserve">Network reachability from PDC to the two services. The shared lab publishes PostgreSQL on the VM IP at port </w:t>
      </w:r>
      <w:r>
        <w:rPr>
          <w:b/>
          <w:bCs/>
        </w:rPr>
        <w:t xml:space="preserve">5433</w:t>
      </w:r>
      <w:r>
        <w:t xml:space="preserve"> (PDC's own database owns 5432) and MinIO at port 9000. Always use the VM IP </w:t>
      </w:r>
      <w:r>
        <w:rPr>
          <w:rFonts w:ascii="Consolas" w:hAnsi="Consolas"/>
          <w:color w:val="0A5560"/>
          <w:sz w:val="20"/>
          <w:szCs w:val="20"/>
        </w:rPr>
        <w:t xml:space="preserve">192.168.1.200</w:t>
      </w:r>
      <w:r>
        <w:t xml:space="preserve"> — container names resolve only inside the lab's Docker network.</w:t>
      </w:r>
    </w:p>
    <w:p>
      <w:pPr>
        <w:pStyle w:val="Heading2"/>
      </w:pPr>
      <w:r>
        <w:t xml:space="preserve">Assets used in this workshop</w:t>
      </w:r>
    </w:p>
    <w:p>
      <w:pPr>
        <w:pStyle w:val="ListParagraph"/>
        <w:numPr>
          <w:ilvl w:val="0"/>
          <w:numId w:val="2"/>
        </w:numPr>
        <w:spacing w:after="60"/>
      </w:pPr>
      <w:r>
        <w:rPr>
          <w:rFonts w:ascii="Consolas" w:hAnsi="Consolas"/>
          <w:color w:val="0A5560"/>
          <w:sz w:val="20"/>
          <w:szCs w:val="20"/>
        </w:rPr>
        <w:t xml:space="preserve">data_sources/CSCU/postgres-init/</w:t>
      </w:r>
      <w:r>
        <w:t xml:space="preserve"> — the core banking schema and sample data (loaded automatically by the lab loader).</w:t>
      </w:r>
    </w:p>
    <w:p>
      <w:pPr>
        <w:pStyle w:val="ListParagraph"/>
        <w:numPr>
          <w:ilvl w:val="0"/>
          <w:numId w:val="2"/>
        </w:numPr>
        <w:spacing w:after="60"/>
      </w:pPr>
      <w:r>
        <w:rPr>
          <w:rFonts w:ascii="Consolas" w:hAnsi="Consolas"/>
          <w:color w:val="0A5560"/>
          <w:sz w:val="20"/>
          <w:szCs w:val="20"/>
        </w:rPr>
        <w:t xml:space="preserve">data_sources/CSCU/cscu-documents/</w:t>
      </w:r>
      <w:r>
        <w:t xml:space="preserve"> — the full document set (18 files across compliance, correspondence, loan-applications, statements, payments, and rates).</w:t>
      </w:r>
    </w:p>
    <w:p>
      <w:pPr>
        <w:pStyle w:val="ListParagraph"/>
        <w:numPr>
          <w:ilvl w:val="0"/>
          <w:numId w:val="2"/>
        </w:numPr>
        <w:spacing w:after="60"/>
      </w:pPr>
      <w:r>
        <w:rPr>
          <w:rFonts w:ascii="Consolas" w:hAnsi="Consolas"/>
          <w:color w:val="0A5560"/>
          <w:sz w:val="20"/>
          <w:szCs w:val="20"/>
        </w:rPr>
        <w:t xml:space="preserve">assets/cscu-datasources.csv</w:t>
      </w:r>
      <w:r>
        <w:t xml:space="preserve"> — both connections pre-filled for the Glossary Generator's </w:t>
      </w:r>
      <w:r>
        <w:rPr>
          <w:b/>
          <w:bCs/>
        </w:rPr>
        <w:t xml:space="preserve">bulk loader</w:t>
      </w:r>
      <w:r>
        <w:t xml:space="preserve">, the standard method in Part A.</w:t>
      </w:r>
    </w:p>
    <w:p>
      <w:pPr>
        <w:spacing w:after="120"/>
      </w:pPr>
      <w:r>
        <w:t xml:space="preserve">Keep the two tables below handy — you will enter these values in the steps. </w:t>
      </w:r>
      <w:r>
        <w:rPr>
          <w:b/>
          <w:bCs/>
        </w:rPr>
        <w:t xml:space="preserve">Test Connection must succeed before either source comes online.</w:t>
      </w:r>
    </w:p>
    <w:p>
      <w:pPr>
        <w:pStyle w:val="Heading2"/>
      </w:pPr>
      <w:r>
        <w:t xml:space="preserve">Database — CopperState_Core_Banking (PostgreSQL)</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Field</w:t>
            </w:r>
          </w:p>
        </w:tc>
        <w:tc>
          <w:tcPr>
            <w:tcW w:w="3430" w:type="dxa"/>
            <w:shd w:val="clear" w:color="auto" w:fill="EEF6FA"/>
            <w:tcMar>
              <w:top w:w="120" w:type="dxa"/>
              <w:left w:w="180" w:type="dxa"/>
              <w:bottom w:w="120" w:type="dxa"/>
              <w:right w:w="180" w:type="dxa"/>
            </w:tcMar>
          </w:tcPr>
          <w:p>
            <w:pPr>
              <w:spacing w:after="0"/>
            </w:pPr>
            <w:r>
              <w:rPr>
                <w:b/>
                <w:bCs/>
              </w:rPr>
              <w:t xml:space="preserve">Value</w:t>
            </w:r>
          </w:p>
        </w:tc>
        <w:tc>
          <w:tcPr>
            <w:tcW w:w="3430" w:type="dxa"/>
            <w:shd w:val="clear" w:color="auto" w:fill="EEF6FA"/>
            <w:tcMar>
              <w:top w:w="120" w:type="dxa"/>
              <w:left w:w="180" w:type="dxa"/>
              <w:bottom w:w="120" w:type="dxa"/>
              <w:right w:w="180" w:type="dxa"/>
            </w:tcMar>
          </w:tcPr>
          <w:p>
            <w:pPr>
              <w:spacing w:after="0"/>
            </w:pPr>
            <w:r>
              <w:rPr>
                <w:b/>
                <w:bCs/>
              </w:rPr>
              <w:t xml:space="preserve">Notes</w:t>
            </w:r>
          </w:p>
        </w:tc>
      </w:tr>
      <w:tr>
        <w:tc>
          <w:tcPr>
            <w:tcW w:w="2500" w:type="dxa"/>
            <w:tcMar>
              <w:top w:w="120" w:type="dxa"/>
              <w:left w:w="180" w:type="dxa"/>
              <w:bottom w:w="120" w:type="dxa"/>
              <w:right w:w="180" w:type="dxa"/>
            </w:tcMar>
          </w:tcPr>
          <w:p>
            <w:pPr>
              <w:spacing w:after="0"/>
            </w:pPr>
            <w:r>
              <w:t xml:space="preserve">Data Source Name</w:t>
            </w:r>
          </w:p>
        </w:tc>
        <w:tc>
          <w:tcPr>
            <w:tcW w:w="3430" w:type="dxa"/>
            <w:tcMar>
              <w:top w:w="120" w:type="dxa"/>
              <w:left w:w="180" w:type="dxa"/>
              <w:bottom w:w="120" w:type="dxa"/>
              <w:right w:w="180" w:type="dxa"/>
            </w:tcMar>
          </w:tcPr>
          <w:p>
            <w:pPr>
              <w:spacing w:after="0"/>
            </w:pPr>
            <w:r>
              <w:t xml:space="preserve">CopperState_Core_Banking</w:t>
            </w:r>
          </w:p>
        </w:tc>
        <w:tc>
          <w:tcPr>
            <w:tcW w:w="3430" w:type="dxa"/>
            <w:tcMar>
              <w:top w:w="120" w:type="dxa"/>
              <w:left w:w="180" w:type="dxa"/>
              <w:bottom w:w="120" w:type="dxa"/>
              <w:right w:w="180" w:type="dxa"/>
            </w:tcMar>
          </w:tcPr>
          <w:p>
            <w:pPr>
              <w:spacing w:after="0"/>
            </w:pPr>
            <w:r>
              <w:t xml:space="preserve">Letters, digits, underscores only — no spaces</w:t>
            </w:r>
          </w:p>
        </w:tc>
      </w:tr>
      <w:tr>
        <w:tc>
          <w:tcPr>
            <w:tcW w:w="2500" w:type="dxa"/>
            <w:tcMar>
              <w:top w:w="120" w:type="dxa"/>
              <w:left w:w="180" w:type="dxa"/>
              <w:bottom w:w="120" w:type="dxa"/>
              <w:right w:w="180" w:type="dxa"/>
            </w:tcMar>
          </w:tcPr>
          <w:p>
            <w:pPr>
              <w:spacing w:after="0"/>
            </w:pPr>
            <w:r>
              <w:t xml:space="preserve">Data Source Type</w:t>
            </w:r>
          </w:p>
        </w:tc>
        <w:tc>
          <w:tcPr>
            <w:tcW w:w="3430" w:type="dxa"/>
            <w:tcMar>
              <w:top w:w="120" w:type="dxa"/>
              <w:left w:w="180" w:type="dxa"/>
              <w:bottom w:w="120" w:type="dxa"/>
              <w:right w:w="180" w:type="dxa"/>
            </w:tcMar>
          </w:tcPr>
          <w:p>
            <w:pPr>
              <w:spacing w:after="0"/>
            </w:pPr>
            <w:r>
              <w:t xml:space="preserve">PostgreSQL</w:t>
            </w:r>
          </w:p>
        </w:tc>
        <w:tc>
          <w:tcPr>
            <w:tcW w:w="3430" w:type="dxa"/>
            <w:tcMar>
              <w:top w:w="120" w:type="dxa"/>
              <w:left w:w="180" w:type="dxa"/>
              <w:bottom w:w="120" w:type="dxa"/>
              <w:right w:w="180" w:type="dxa"/>
            </w:tcMar>
          </w:tcPr>
          <w:p>
            <w:pPr>
              <w:spacing w:after="0"/>
            </w:pPr>
            <w:r>
              <w:t xml:space="preserve"/>
            </w:r>
          </w:p>
        </w:tc>
      </w:tr>
      <w:tr>
        <w:tc>
          <w:tcPr>
            <w:tcW w:w="2500" w:type="dxa"/>
            <w:tcMar>
              <w:top w:w="120" w:type="dxa"/>
              <w:left w:w="180" w:type="dxa"/>
              <w:bottom w:w="120" w:type="dxa"/>
              <w:right w:w="180" w:type="dxa"/>
            </w:tcMar>
          </w:tcPr>
          <w:p>
            <w:pPr>
              <w:spacing w:after="0"/>
            </w:pPr>
            <w:r>
              <w:t xml:space="preserve">Host</w:t>
            </w:r>
          </w:p>
        </w:tc>
        <w:tc>
          <w:tcPr>
            <w:tcW w:w="3430" w:type="dxa"/>
            <w:tcMar>
              <w:top w:w="120" w:type="dxa"/>
              <w:left w:w="180" w:type="dxa"/>
              <w:bottom w:w="120" w:type="dxa"/>
              <w:right w:w="180" w:type="dxa"/>
            </w:tcMar>
          </w:tcPr>
          <w:p>
            <w:pPr>
              <w:spacing w:after="0"/>
            </w:pPr>
            <w:r>
              <w:t xml:space="preserve">192.168.1.200</w:t>
            </w:r>
          </w:p>
        </w:tc>
        <w:tc>
          <w:tcPr>
            <w:tcW w:w="3430" w:type="dxa"/>
            <w:tcMar>
              <w:top w:w="120" w:type="dxa"/>
              <w:left w:w="180" w:type="dxa"/>
              <w:bottom w:w="120" w:type="dxa"/>
              <w:right w:w="180" w:type="dxa"/>
            </w:tcMar>
          </w:tcPr>
          <w:p>
            <w:pPr>
              <w:spacing w:after="0"/>
            </w:pPr>
            <w:r>
              <w:t xml:space="preserve">The VM IP. Container names don't resolve from PDC</w:t>
            </w:r>
          </w:p>
        </w:tc>
      </w:tr>
      <w:tr>
        <w:tc>
          <w:tcPr>
            <w:tcW w:w="2500" w:type="dxa"/>
            <w:tcMar>
              <w:top w:w="120" w:type="dxa"/>
              <w:left w:w="180" w:type="dxa"/>
              <w:bottom w:w="120" w:type="dxa"/>
              <w:right w:w="180" w:type="dxa"/>
            </w:tcMar>
          </w:tcPr>
          <w:p>
            <w:pPr>
              <w:spacing w:after="0"/>
            </w:pPr>
            <w:r>
              <w:t xml:space="preserve">Port</w:t>
            </w:r>
          </w:p>
        </w:tc>
        <w:tc>
          <w:tcPr>
            <w:tcW w:w="3430" w:type="dxa"/>
            <w:tcMar>
              <w:top w:w="120" w:type="dxa"/>
              <w:left w:w="180" w:type="dxa"/>
              <w:bottom w:w="120" w:type="dxa"/>
              <w:right w:w="180" w:type="dxa"/>
            </w:tcMar>
          </w:tcPr>
          <w:p>
            <w:pPr>
              <w:spacing w:after="0"/>
            </w:pPr>
            <w:r>
              <w:t xml:space="preserve">5433</w:t>
            </w:r>
          </w:p>
        </w:tc>
        <w:tc>
          <w:tcPr>
            <w:tcW w:w="3430" w:type="dxa"/>
            <w:tcMar>
              <w:top w:w="120" w:type="dxa"/>
              <w:left w:w="180" w:type="dxa"/>
              <w:bottom w:w="120" w:type="dxa"/>
              <w:right w:w="180" w:type="dxa"/>
            </w:tcMar>
          </w:tcPr>
          <w:p>
            <w:pPr>
              <w:spacing w:after="0"/>
            </w:pPr>
            <w:r>
              <w:t xml:space="preserve">The lab's published port — 5432 belongs to PDC's own database</w:t>
            </w:r>
          </w:p>
        </w:tc>
      </w:tr>
      <w:tr>
        <w:tc>
          <w:tcPr>
            <w:tcW w:w="2500" w:type="dxa"/>
            <w:tcMar>
              <w:top w:w="120" w:type="dxa"/>
              <w:left w:w="180" w:type="dxa"/>
              <w:bottom w:w="120" w:type="dxa"/>
              <w:right w:w="180" w:type="dxa"/>
            </w:tcMar>
          </w:tcPr>
          <w:p>
            <w:pPr>
              <w:spacing w:after="0"/>
            </w:pPr>
            <w:r>
              <w:t xml:space="preserve">Database Name</w:t>
            </w:r>
          </w:p>
        </w:tc>
        <w:tc>
          <w:tcPr>
            <w:tcW w:w="3430" w:type="dxa"/>
            <w:tcMar>
              <w:top w:w="120" w:type="dxa"/>
              <w:left w:w="180" w:type="dxa"/>
              <w:bottom w:w="120" w:type="dxa"/>
              <w:right w:w="180" w:type="dxa"/>
            </w:tcMar>
          </w:tcPr>
          <w:p>
            <w:pPr>
              <w:spacing w:after="0"/>
            </w:pPr>
            <w:r>
              <w:t xml:space="preserve">cscu_core</w:t>
            </w:r>
          </w:p>
        </w:tc>
        <w:tc>
          <w:tcPr>
            <w:tcW w:w="3430" w:type="dxa"/>
            <w:tcMar>
              <w:top w:w="120" w:type="dxa"/>
              <w:left w:w="180" w:type="dxa"/>
              <w:bottom w:w="120" w:type="dxa"/>
              <w:right w:w="180" w:type="dxa"/>
            </w:tcMar>
          </w:tcPr>
          <w:p>
            <w:pPr>
              <w:spacing w:after="0"/>
            </w:pPr>
            <w:r>
              <w:t xml:space="preserve">The CSCU core banking database</w:t>
            </w:r>
          </w:p>
        </w:tc>
      </w:tr>
      <w:tr>
        <w:tc>
          <w:tcPr>
            <w:tcW w:w="2500" w:type="dxa"/>
            <w:tcMar>
              <w:top w:w="120" w:type="dxa"/>
              <w:left w:w="180" w:type="dxa"/>
              <w:bottom w:w="120" w:type="dxa"/>
              <w:right w:w="180" w:type="dxa"/>
            </w:tcMar>
          </w:tcPr>
          <w:p>
            <w:pPr>
              <w:spacing w:after="0"/>
            </w:pPr>
            <w:r>
              <w:t xml:space="preserve">Schemas</w:t>
            </w:r>
          </w:p>
        </w:tc>
        <w:tc>
          <w:tcPr>
            <w:tcW w:w="3430" w:type="dxa"/>
            <w:tcMar>
              <w:top w:w="120" w:type="dxa"/>
              <w:left w:w="180" w:type="dxa"/>
              <w:bottom w:w="120" w:type="dxa"/>
              <w:right w:w="180" w:type="dxa"/>
            </w:tcMar>
          </w:tcPr>
          <w:p>
            <w:pPr>
              <w:spacing w:after="0"/>
            </w:pPr>
            <w:r>
              <w:t xml:space="preserve">cscu_core</w:t>
            </w:r>
          </w:p>
        </w:tc>
        <w:tc>
          <w:tcPr>
            <w:tcW w:w="3430" w:type="dxa"/>
            <w:tcMar>
              <w:top w:w="120" w:type="dxa"/>
              <w:left w:w="180" w:type="dxa"/>
              <w:bottom w:w="120" w:type="dxa"/>
              <w:right w:w="180" w:type="dxa"/>
            </w:tcMar>
          </w:tcPr>
          <w:p>
            <w:pPr>
              <w:spacing w:after="0"/>
            </w:pPr>
            <w:r>
              <w:t xml:space="preserve">Not </w:t>
            </w:r>
            <w:r>
              <w:rPr>
                <w:rFonts w:ascii="Consolas" w:hAnsi="Consolas"/>
                <w:color w:val="0A5560"/>
                <w:sz w:val="20"/>
                <w:szCs w:val="20"/>
              </w:rPr>
              <w:t xml:space="preserve">public</w:t>
            </w:r>
            <w:r>
              <w:t xml:space="preserve"> — an empty schema ingests "OK" and harvests nothing</w:t>
            </w:r>
          </w:p>
        </w:tc>
      </w:tr>
      <w:tr>
        <w:tc>
          <w:tcPr>
            <w:tcW w:w="2500" w:type="dxa"/>
            <w:tcMar>
              <w:top w:w="120" w:type="dxa"/>
              <w:left w:w="180" w:type="dxa"/>
              <w:bottom w:w="120" w:type="dxa"/>
              <w:right w:w="180" w:type="dxa"/>
            </w:tcMar>
          </w:tcPr>
          <w:p>
            <w:pPr>
              <w:spacing w:after="0"/>
            </w:pPr>
            <w:r>
              <w:t xml:space="preserve">User Name</w:t>
            </w:r>
          </w:p>
        </w:tc>
        <w:tc>
          <w:tcPr>
            <w:tcW w:w="3430" w:type="dxa"/>
            <w:tcMar>
              <w:top w:w="120" w:type="dxa"/>
              <w:left w:w="180" w:type="dxa"/>
              <w:bottom w:w="120" w:type="dxa"/>
              <w:right w:w="180" w:type="dxa"/>
            </w:tcMar>
          </w:tcPr>
          <w:p>
            <w:pPr>
              <w:spacing w:after="0"/>
            </w:pPr>
            <w:r>
              <w:t xml:space="preserve">pdc_user</w:t>
            </w:r>
          </w:p>
        </w:tc>
        <w:tc>
          <w:tcPr>
            <w:tcW w:w="3430" w:type="dxa"/>
            <w:tcMar>
              <w:top w:w="120" w:type="dxa"/>
              <w:left w:w="180" w:type="dxa"/>
              <w:bottom w:w="120" w:type="dxa"/>
              <w:right w:w="180" w:type="dxa"/>
            </w:tcMar>
          </w:tcPr>
          <w:p>
            <w:pPr>
              <w:spacing w:after="0"/>
            </w:pPr>
            <w:r>
              <w:t xml:space="preserve">Read-only — CONNECT, USAGE, SELECT</w:t>
            </w:r>
          </w:p>
        </w:tc>
      </w:tr>
      <w:tr>
        <w:tc>
          <w:tcPr>
            <w:tcW w:w="2500" w:type="dxa"/>
            <w:tcMar>
              <w:top w:w="120" w:type="dxa"/>
              <w:left w:w="180" w:type="dxa"/>
              <w:bottom w:w="120" w:type="dxa"/>
              <w:right w:w="180" w:type="dxa"/>
            </w:tcMar>
          </w:tcPr>
          <w:p>
            <w:pPr>
              <w:spacing w:after="0"/>
            </w:pPr>
            <w:r>
              <w:t xml:space="preserve">Password</w:t>
            </w:r>
          </w:p>
        </w:tc>
        <w:tc>
          <w:tcPr>
            <w:tcW w:w="3430" w:type="dxa"/>
            <w:tcMar>
              <w:top w:w="120" w:type="dxa"/>
              <w:left w:w="180" w:type="dxa"/>
              <w:bottom w:w="120" w:type="dxa"/>
              <w:right w:w="180" w:type="dxa"/>
            </w:tcMar>
          </w:tcPr>
          <w:p>
            <w:pPr>
              <w:spacing w:after="0"/>
            </w:pPr>
            <w:r>
              <w:t xml:space="preserve">catalog123!</w:t>
            </w:r>
          </w:p>
        </w:tc>
        <w:tc>
          <w:tcPr>
            <w:tcW w:w="3430" w:type="dxa"/>
            <w:tcMar>
              <w:top w:w="120" w:type="dxa"/>
              <w:left w:w="180" w:type="dxa"/>
              <w:bottom w:w="120" w:type="dxa"/>
              <w:right w:w="180" w:type="dxa"/>
            </w:tcMar>
          </w:tcPr>
          <w:p>
            <w:pPr>
              <w:spacing w:after="0"/>
            </w:pPr>
            <w:r>
              <w:t xml:space="preserve">Lab credential — change in production</w:t>
            </w:r>
          </w:p>
        </w:tc>
      </w:tr>
    </w:tbl>
    <w:p>
      <w:pPr>
        <w:spacing w:after="120"/>
      </w:pPr>
    </w:p>
    <w:p>
      <w:pPr>
        <w:pStyle w:val="Heading2"/>
      </w:pPr>
      <w:r>
        <w:t xml:space="preserve">Object store — CopperState_Documents (MinIO via the AWS S3 type)</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Field</w:t>
            </w:r>
          </w:p>
        </w:tc>
        <w:tc>
          <w:tcPr>
            <w:tcW w:w="3430" w:type="dxa"/>
            <w:shd w:val="clear" w:color="auto" w:fill="EEF6FA"/>
            <w:tcMar>
              <w:top w:w="120" w:type="dxa"/>
              <w:left w:w="180" w:type="dxa"/>
              <w:bottom w:w="120" w:type="dxa"/>
              <w:right w:w="180" w:type="dxa"/>
            </w:tcMar>
          </w:tcPr>
          <w:p>
            <w:pPr>
              <w:spacing w:after="0"/>
            </w:pPr>
            <w:r>
              <w:rPr>
                <w:b/>
                <w:bCs/>
              </w:rPr>
              <w:t xml:space="preserve">Value</w:t>
            </w:r>
          </w:p>
        </w:tc>
        <w:tc>
          <w:tcPr>
            <w:tcW w:w="3430" w:type="dxa"/>
            <w:shd w:val="clear" w:color="auto" w:fill="EEF6FA"/>
            <w:tcMar>
              <w:top w:w="120" w:type="dxa"/>
              <w:left w:w="180" w:type="dxa"/>
              <w:bottom w:w="120" w:type="dxa"/>
              <w:right w:w="180" w:type="dxa"/>
            </w:tcMar>
          </w:tcPr>
          <w:p>
            <w:pPr>
              <w:spacing w:after="0"/>
            </w:pPr>
            <w:r>
              <w:rPr>
                <w:b/>
                <w:bCs/>
              </w:rPr>
              <w:t xml:space="preserve">Notes</w:t>
            </w:r>
          </w:p>
        </w:tc>
      </w:tr>
      <w:tr>
        <w:tc>
          <w:tcPr>
            <w:tcW w:w="2500" w:type="dxa"/>
            <w:tcMar>
              <w:top w:w="120" w:type="dxa"/>
              <w:left w:w="180" w:type="dxa"/>
              <w:bottom w:w="120" w:type="dxa"/>
              <w:right w:w="180" w:type="dxa"/>
            </w:tcMar>
          </w:tcPr>
          <w:p>
            <w:pPr>
              <w:spacing w:after="0"/>
            </w:pPr>
            <w:r>
              <w:t xml:space="preserve">Data Source Name</w:t>
            </w:r>
          </w:p>
        </w:tc>
        <w:tc>
          <w:tcPr>
            <w:tcW w:w="3430" w:type="dxa"/>
            <w:tcMar>
              <w:top w:w="120" w:type="dxa"/>
              <w:left w:w="180" w:type="dxa"/>
              <w:bottom w:w="120" w:type="dxa"/>
              <w:right w:w="180" w:type="dxa"/>
            </w:tcMar>
          </w:tcPr>
          <w:p>
            <w:pPr>
              <w:spacing w:after="0"/>
            </w:pPr>
            <w:r>
              <w:t xml:space="preserve">CopperState_Documents</w:t>
            </w:r>
          </w:p>
        </w:tc>
        <w:tc>
          <w:tcPr>
            <w:tcW w:w="3430" w:type="dxa"/>
            <w:tcMar>
              <w:top w:w="120" w:type="dxa"/>
              <w:left w:w="180" w:type="dxa"/>
              <w:bottom w:w="120" w:type="dxa"/>
              <w:right w:w="180" w:type="dxa"/>
            </w:tcMar>
          </w:tcPr>
          <w:p>
            <w:pPr>
              <w:spacing w:after="0"/>
            </w:pPr>
            <w:r>
              <w:t xml:space="preserve">Letters, digits, underscores only — no spaces</w:t>
            </w:r>
          </w:p>
        </w:tc>
      </w:tr>
      <w:tr>
        <w:tc>
          <w:tcPr>
            <w:tcW w:w="2500" w:type="dxa"/>
            <w:tcMar>
              <w:top w:w="120" w:type="dxa"/>
              <w:left w:w="180" w:type="dxa"/>
              <w:bottom w:w="120" w:type="dxa"/>
              <w:right w:w="180" w:type="dxa"/>
            </w:tcMar>
          </w:tcPr>
          <w:p>
            <w:pPr>
              <w:spacing w:after="0"/>
            </w:pPr>
            <w:r>
              <w:t xml:space="preserve">Data Source Type</w:t>
            </w:r>
          </w:p>
        </w:tc>
        <w:tc>
          <w:tcPr>
            <w:tcW w:w="3430" w:type="dxa"/>
            <w:tcMar>
              <w:top w:w="120" w:type="dxa"/>
              <w:left w:w="180" w:type="dxa"/>
              <w:bottom w:w="120" w:type="dxa"/>
              <w:right w:w="180" w:type="dxa"/>
            </w:tcMar>
          </w:tcPr>
          <w:p>
            <w:pPr>
              <w:spacing w:after="0"/>
            </w:pPr>
            <w:r>
              <w:t xml:space="preserve">AWS S3</w:t>
            </w:r>
          </w:p>
        </w:tc>
        <w:tc>
          <w:tcPr>
            <w:tcW w:w="3430" w:type="dxa"/>
            <w:tcMar>
              <w:top w:w="120" w:type="dxa"/>
              <w:left w:w="180" w:type="dxa"/>
              <w:bottom w:w="120" w:type="dxa"/>
              <w:right w:w="180" w:type="dxa"/>
            </w:tcMar>
          </w:tcPr>
          <w:p>
            <w:pPr>
              <w:spacing w:after="0"/>
            </w:pPr>
            <w:r>
              <w:t xml:space="preserve">MinIO is S3-compatible; connect it with the AWS S3 type</w:t>
            </w:r>
          </w:p>
        </w:tc>
      </w:tr>
      <w:tr>
        <w:tc>
          <w:tcPr>
            <w:tcW w:w="2500" w:type="dxa"/>
            <w:tcMar>
              <w:top w:w="120" w:type="dxa"/>
              <w:left w:w="180" w:type="dxa"/>
              <w:bottom w:w="120" w:type="dxa"/>
              <w:right w:w="180" w:type="dxa"/>
            </w:tcMar>
          </w:tcPr>
          <w:p>
            <w:pPr>
              <w:spacing w:after="0"/>
            </w:pPr>
            <w:r>
              <w:t xml:space="preserve">Region</w:t>
            </w:r>
          </w:p>
        </w:tc>
        <w:tc>
          <w:tcPr>
            <w:tcW w:w="3430" w:type="dxa"/>
            <w:tcMar>
              <w:top w:w="120" w:type="dxa"/>
              <w:left w:w="180" w:type="dxa"/>
              <w:bottom w:w="120" w:type="dxa"/>
              <w:right w:w="180" w:type="dxa"/>
            </w:tcMar>
          </w:tcPr>
          <w:p>
            <w:pPr>
              <w:spacing w:after="0"/>
            </w:pPr>
            <w:r>
              <w:t xml:space="preserve">us-east-1</w:t>
            </w:r>
          </w:p>
        </w:tc>
        <w:tc>
          <w:tcPr>
            <w:tcW w:w="3430" w:type="dxa"/>
            <w:tcMar>
              <w:top w:w="120" w:type="dxa"/>
              <w:left w:w="180" w:type="dxa"/>
              <w:bottom w:w="120" w:type="dxa"/>
              <w:right w:w="180" w:type="dxa"/>
            </w:tcMar>
          </w:tcPr>
          <w:p>
            <w:pPr>
              <w:spacing w:after="0"/>
            </w:pPr>
            <w:r>
              <w:t xml:space="preserve">Any value works for MinIO</w:t>
            </w:r>
          </w:p>
        </w:tc>
      </w:tr>
      <w:tr>
        <w:tc>
          <w:tcPr>
            <w:tcW w:w="2500" w:type="dxa"/>
            <w:tcMar>
              <w:top w:w="120" w:type="dxa"/>
              <w:left w:w="180" w:type="dxa"/>
              <w:bottom w:w="120" w:type="dxa"/>
              <w:right w:w="180" w:type="dxa"/>
            </w:tcMar>
          </w:tcPr>
          <w:p>
            <w:pPr>
              <w:spacing w:after="0"/>
            </w:pPr>
            <w:r>
              <w:t xml:space="preserve">Bucket Name</w:t>
            </w:r>
          </w:p>
        </w:tc>
        <w:tc>
          <w:tcPr>
            <w:tcW w:w="3430" w:type="dxa"/>
            <w:tcMar>
              <w:top w:w="120" w:type="dxa"/>
              <w:left w:w="180" w:type="dxa"/>
              <w:bottom w:w="120" w:type="dxa"/>
              <w:right w:w="180" w:type="dxa"/>
            </w:tcMar>
          </w:tcPr>
          <w:p>
            <w:pPr>
              <w:spacing w:after="0"/>
            </w:pPr>
            <w:r>
              <w:t xml:space="preserve">cscu-documents</w:t>
            </w:r>
          </w:p>
        </w:tc>
        <w:tc>
          <w:tcPr>
            <w:tcW w:w="3430" w:type="dxa"/>
            <w:tcMar>
              <w:top w:w="120" w:type="dxa"/>
              <w:left w:w="180" w:type="dxa"/>
              <w:bottom w:w="120" w:type="dxa"/>
              <w:right w:w="180" w:type="dxa"/>
            </w:tcMar>
          </w:tcPr>
          <w:p>
            <w:pPr>
              <w:spacing w:after="0"/>
            </w:pPr>
            <w:r>
              <w:t xml:space="preserve">The bucket holding CSCU documents</w:t>
            </w:r>
          </w:p>
        </w:tc>
      </w:tr>
      <w:tr>
        <w:tc>
          <w:tcPr>
            <w:tcW w:w="2500" w:type="dxa"/>
            <w:tcMar>
              <w:top w:w="120" w:type="dxa"/>
              <w:left w:w="180" w:type="dxa"/>
              <w:bottom w:w="120" w:type="dxa"/>
              <w:right w:w="180" w:type="dxa"/>
            </w:tcMar>
          </w:tcPr>
          <w:p>
            <w:pPr>
              <w:spacing w:after="0"/>
            </w:pPr>
            <w:r>
              <w:t xml:space="preserve">Access Key</w:t>
            </w:r>
          </w:p>
        </w:tc>
        <w:tc>
          <w:tcPr>
            <w:tcW w:w="3430" w:type="dxa"/>
            <w:tcMar>
              <w:top w:w="120" w:type="dxa"/>
              <w:left w:w="180" w:type="dxa"/>
              <w:bottom w:w="120" w:type="dxa"/>
              <w:right w:w="180" w:type="dxa"/>
            </w:tcMar>
          </w:tcPr>
          <w:p>
            <w:pPr>
              <w:spacing w:after="0"/>
            </w:pPr>
            <w:r>
              <w:t xml:space="preserve">cscu_minio_user</w:t>
            </w:r>
          </w:p>
        </w:tc>
        <w:tc>
          <w:tcPr>
            <w:tcW w:w="3430" w:type="dxa"/>
            <w:tcMar>
              <w:top w:w="120" w:type="dxa"/>
              <w:left w:w="180" w:type="dxa"/>
              <w:bottom w:w="120" w:type="dxa"/>
              <w:right w:w="180" w:type="dxa"/>
            </w:tcMar>
          </w:tcPr>
          <w:p>
            <w:pPr>
              <w:spacing w:after="0"/>
            </w:pPr>
            <w:r>
              <w:t xml:space="preserve">MinIO access key — read-only</w:t>
            </w:r>
          </w:p>
        </w:tc>
      </w:tr>
      <w:tr>
        <w:tc>
          <w:tcPr>
            <w:tcW w:w="2500" w:type="dxa"/>
            <w:tcMar>
              <w:top w:w="120" w:type="dxa"/>
              <w:left w:w="180" w:type="dxa"/>
              <w:bottom w:w="120" w:type="dxa"/>
              <w:right w:w="180" w:type="dxa"/>
            </w:tcMar>
          </w:tcPr>
          <w:p>
            <w:pPr>
              <w:spacing w:after="0"/>
            </w:pPr>
            <w:r>
              <w:t xml:space="preserve">Secret Access Key</w:t>
            </w:r>
          </w:p>
        </w:tc>
        <w:tc>
          <w:tcPr>
            <w:tcW w:w="3430" w:type="dxa"/>
            <w:tcMar>
              <w:top w:w="120" w:type="dxa"/>
              <w:left w:w="180" w:type="dxa"/>
              <w:bottom w:w="120" w:type="dxa"/>
              <w:right w:w="180" w:type="dxa"/>
            </w:tcMar>
          </w:tcPr>
          <w:p>
            <w:pPr>
              <w:spacing w:after="0"/>
            </w:pPr>
            <w:r>
              <w:t xml:space="preserve">minio_secret_123!</w:t>
            </w:r>
          </w:p>
        </w:tc>
        <w:tc>
          <w:tcPr>
            <w:tcW w:w="3430" w:type="dxa"/>
            <w:tcMar>
              <w:top w:w="120" w:type="dxa"/>
              <w:left w:w="180" w:type="dxa"/>
              <w:bottom w:w="120" w:type="dxa"/>
              <w:right w:w="180" w:type="dxa"/>
            </w:tcMar>
          </w:tcPr>
          <w:p>
            <w:pPr>
              <w:spacing w:after="0"/>
            </w:pPr>
            <w:r>
              <w:t xml:space="preserve">Lab credential — change in production</w:t>
            </w:r>
          </w:p>
        </w:tc>
      </w:tr>
      <w:tr>
        <w:tc>
          <w:tcPr>
            <w:tcW w:w="2500" w:type="dxa"/>
            <w:tcMar>
              <w:top w:w="120" w:type="dxa"/>
              <w:left w:w="180" w:type="dxa"/>
              <w:bottom w:w="120" w:type="dxa"/>
              <w:right w:w="180" w:type="dxa"/>
            </w:tcMar>
          </w:tcPr>
          <w:p>
            <w:pPr>
              <w:spacing w:after="0"/>
            </w:pPr>
            <w:r>
              <w:t xml:space="preserve">Endpoint</w:t>
            </w:r>
          </w:p>
        </w:tc>
        <w:tc>
          <w:tcPr>
            <w:tcW w:w="3430" w:type="dxa"/>
            <w:tcMar>
              <w:top w:w="120" w:type="dxa"/>
              <w:left w:w="180" w:type="dxa"/>
              <w:bottom w:w="120" w:type="dxa"/>
              <w:right w:w="180" w:type="dxa"/>
            </w:tcMar>
          </w:tcPr>
          <w:p>
            <w:pPr>
              <w:spacing w:after="0"/>
            </w:pPr>
            <w:r>
              <w:t xml:space="preserve">http://192.168.1.200:9000</w:t>
            </w:r>
          </w:p>
        </w:tc>
        <w:tc>
          <w:tcPr>
            <w:tcW w:w="3430" w:type="dxa"/>
            <w:tcMar>
              <w:top w:w="120" w:type="dxa"/>
              <w:left w:w="180" w:type="dxa"/>
              <w:bottom w:w="120" w:type="dxa"/>
              <w:right w:w="180" w:type="dxa"/>
            </w:tcMar>
          </w:tcPr>
          <w:p>
            <w:pPr>
              <w:spacing w:after="0"/>
            </w:pPr>
            <w:r>
              <w:t xml:space="preserve">The VM IP, not localhost. An IP forces S3 path-style, which MinIO requires (the AWS S3 form has no path-style toggle)</w:t>
            </w:r>
          </w:p>
        </w:tc>
      </w:tr>
      <w:tr>
        <w:tc>
          <w:tcPr>
            <w:tcW w:w="2500" w:type="dxa"/>
            <w:tcMar>
              <w:top w:w="120" w:type="dxa"/>
              <w:left w:w="180" w:type="dxa"/>
              <w:bottom w:w="120" w:type="dxa"/>
              <w:right w:w="180" w:type="dxa"/>
            </w:tcMar>
          </w:tcPr>
          <w:p>
            <w:pPr>
              <w:spacing w:after="0"/>
            </w:pPr>
            <w:r>
              <w:t xml:space="preserve">Path</w:t>
            </w:r>
          </w:p>
        </w:tc>
        <w:tc>
          <w:tcPr>
            <w:tcW w:w="3430" w:type="dxa"/>
            <w:tcMar>
              <w:top w:w="120" w:type="dxa"/>
              <w:left w:w="180" w:type="dxa"/>
              <w:bottom w:w="120" w:type="dxa"/>
              <w:right w:w="180" w:type="dxa"/>
            </w:tcMar>
          </w:tcPr>
          <w:p>
            <w:pPr>
              <w:spacing w:after="0"/>
            </w:pPr>
            <w:r>
              <w:t xml:space="preserve">/</w:t>
            </w:r>
          </w:p>
        </w:tc>
        <w:tc>
          <w:tcPr>
            <w:tcW w:w="3430" w:type="dxa"/>
            <w:tcMar>
              <w:top w:w="120" w:type="dxa"/>
              <w:left w:w="180" w:type="dxa"/>
              <w:bottom w:w="120" w:type="dxa"/>
              <w:right w:w="180" w:type="dxa"/>
            </w:tcMar>
          </w:tcPr>
          <w:p>
            <w:pPr>
              <w:spacing w:after="0"/>
            </w:pPr>
            <w:r>
              <w:t xml:space="preserve">Scan the whole bucket from its root</w:t>
            </w:r>
          </w:p>
        </w:tc>
      </w:tr>
    </w:tbl>
    <w:p>
      <w:pPr>
        <w:spacing w:after="120"/>
      </w:pPr>
    </w:p>
    <w:p>
      <w:pPr>
        <w:pStyle w:val="Heading1"/>
      </w:pPr>
      <w:r>
        <w:t xml:space="preserve">Step-by-step</w:t>
      </w:r>
    </w:p>
    <w:p>
      <w:pPr>
        <w:pStyle w:val="Heading2"/>
      </w:pPr>
      <w:r>
        <w:t xml:space="preserve">Part A — Bulk-load both sources (the standard method)</w:t>
      </w:r>
    </w:p>
    <w:p>
      <w:pPr>
        <w:spacing w:after="120"/>
      </w:pPr>
      <w:r>
        <w:t xml:space="preserve">The Glossary Generator's bulk loader registers every source in a CSV in one pass — for each row it </w:t>
      </w:r>
      <w:r>
        <w:rPr>
          <w:b/>
          <w:bCs/>
        </w:rPr>
        <w:t xml:space="preserve">creates</w:t>
      </w:r>
      <w:r>
        <w:t xml:space="preserve"> the data source over PDC's public API, runs a </w:t>
      </w:r>
      <w:r>
        <w:rPr>
          <w:b/>
          <w:bCs/>
        </w:rPr>
        <w:t xml:space="preserve">test-connection job</w:t>
      </w:r>
      <w:r>
        <w:t xml:space="preserve"> and waits for it, then triggers a </w:t>
      </w:r>
      <w:r>
        <w:rPr>
          <w:b/>
          <w:bCs/>
        </w:rPr>
        <w:t xml:space="preserve">metadata ingest</w:t>
      </w:r>
      <w:r>
        <w:t xml:space="preserve"> scoped to the new source (database rows only; object stores have no schema to ingest). It is repeatable, secrets transit only to PDC, and one CSV captures a whole scenario.</w:t>
      </w:r>
    </w:p>
    <w:p>
      <w:pPr>
        <w:pStyle w:val="ListParagraph"/>
        <w:numPr>
          <w:ilvl w:val="0"/>
          <w:numId w:val="100"/>
        </w:numPr>
        <w:spacing w:after="80" w:line="264" w:lineRule="auto"/>
      </w:pPr>
      <w:r>
        <w:t xml:space="preserve">On the Windows host, start the Glossary Generator (</w:t>
      </w:r>
      <w:r>
        <w:rPr>
          <w:rFonts w:ascii="Consolas" w:hAnsi="Consolas"/>
          <w:color w:val="0A5560"/>
          <w:sz w:val="20"/>
          <w:szCs w:val="20"/>
        </w:rPr>
        <w:t xml:space="preserve">.\run.ps1</w:t>
      </w:r>
      <w:r>
        <w:t xml:space="preserve"> in </w:t>
      </w:r>
      <w:r>
        <w:rPr>
          <w:rFonts w:ascii="Consolas" w:hAnsi="Consolas"/>
          <w:color w:val="0A5560"/>
          <w:sz w:val="20"/>
          <w:szCs w:val="20"/>
        </w:rPr>
        <w:t xml:space="preserve">glossary_generator/</w:t>
      </w:r>
      <w:r>
        <w:t xml:space="preserve">) and open </w:t>
      </w:r>
      <w:r>
        <w:rPr>
          <w:rFonts w:ascii="Consolas" w:hAnsi="Consolas"/>
          <w:color w:val="0A5560"/>
          <w:sz w:val="20"/>
          <w:szCs w:val="20"/>
        </w:rPr>
        <w:t xml:space="preserve">http://127.0.0.1:5000</w:t>
      </w:r>
      <w:r>
        <w:t xml:space="preserve">. Go to the </w:t>
      </w:r>
      <w:r>
        <w:rPr>
          <w:b/>
          <w:bCs/>
        </w:rPr>
        <w:t xml:space="preserve">Connections</w:t>
      </w:r>
      <w:r>
        <w:t xml:space="preserve"> page and open the </w:t>
      </w:r>
      <w:r>
        <w:rPr>
          <w:b/>
          <w:bCs/>
        </w:rPr>
        <w:t xml:space="preserve">Bulk-load data sources</w:t>
      </w:r>
      <w:r>
        <w:t xml:space="preserve"> panel.</w:t>
      </w:r>
    </w:p>
    <w:p>
      <w:pPr>
        <w:pStyle w:val="ListParagraph"/>
        <w:numPr>
          <w:ilvl w:val="0"/>
          <w:numId w:val="100"/>
        </w:numPr>
        <w:spacing w:after="80" w:line="264" w:lineRule="auto"/>
      </w:pPr>
      <w:r>
        <w:t xml:space="preserve">Enter the PDC connection: Base URL </w:t>
      </w:r>
      <w:r>
        <w:rPr>
          <w:rFonts w:ascii="Consolas" w:hAnsi="Consolas"/>
          <w:color w:val="0A5560"/>
          <w:sz w:val="20"/>
          <w:szCs w:val="20"/>
        </w:rPr>
        <w:t xml:space="preserve">https://pentaho.io</w:t>
      </w:r>
      <w:r>
        <w:t xml:space="preserve"> (the server root — the app adds </w:t>
      </w:r>
      <w:r>
        <w:rPr>
          <w:rFonts w:ascii="Consolas" w:hAnsi="Consolas"/>
          <w:color w:val="0A5560"/>
          <w:sz w:val="20"/>
          <w:szCs w:val="20"/>
        </w:rPr>
        <w:t xml:space="preserve">/api/public/...</w:t>
      </w:r>
      <w:r>
        <w:t xml:space="preserve"> itself), API version </w:t>
      </w:r>
      <w:r>
        <w:rPr>
          <w:rFonts w:ascii="Consolas" w:hAnsi="Consolas"/>
          <w:color w:val="0A5560"/>
          <w:sz w:val="20"/>
          <w:szCs w:val="20"/>
        </w:rPr>
        <w:t xml:space="preserve">v2</w:t>
      </w:r>
      <w:r>
        <w:t xml:space="preserve">, and </w:t>
      </w:r>
      <w:r>
        <w:rPr>
          <w:b/>
          <w:bCs/>
        </w:rPr>
        <w:t xml:space="preserve">Verify TLS off</w:t>
      </w:r>
      <w:r>
        <w:t xml:space="preserve"> for the lab's self-signed certificate.</w:t>
      </w:r>
    </w:p>
    <w:p>
      <w:pPr>
        <w:pStyle w:val="ListParagraph"/>
        <w:numPr>
          <w:ilvl w:val="0"/>
          <w:numId w:val="100"/>
        </w:numPr>
        <w:spacing w:after="80" w:line="264" w:lineRule="auto"/>
      </w:pPr>
      <w:r>
        <w:t xml:space="preserve">Authenticate as </w:t>
      </w:r>
      <w:r>
        <w:rPr>
          <w:rFonts w:ascii="Consolas" w:hAnsi="Consolas"/>
          <w:color w:val="0A5560"/>
          <w:sz w:val="20"/>
          <w:szCs w:val="20"/>
        </w:rPr>
        <w:t xml:space="preserve">omar.haddad</w:t>
      </w:r>
      <w:r>
        <w:t xml:space="preserve"> (Data Storage Administrator — creating data sources requires those rights) and click </w:t>
      </w:r>
      <w:r>
        <w:rPr>
          <w:b/>
          <w:bCs/>
        </w:rPr>
        <w:t xml:space="preserve">Get token</w:t>
      </w:r>
      <w:r>
        <w:t xml:space="preserve">. The badge shows the signed-in user and the token expiry; the token is held in memory only.</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bulk-load panel — PDC connection + token badge</w:t>
      </w:r>
    </w:p>
    <w:p>
      <w:pPr>
        <w:pStyle w:val="ListParagraph"/>
        <w:numPr>
          <w:ilvl w:val="0"/>
          <w:numId w:val="100"/>
        </w:numPr>
        <w:spacing w:after="80" w:line="264" w:lineRule="auto"/>
      </w:pPr>
      <w:r>
        <w:t xml:space="preserve">Choose the CSV: </w:t>
      </w:r>
      <w:r>
        <w:rPr>
          <w:rFonts w:ascii="Consolas" w:hAnsi="Consolas"/>
          <w:color w:val="0A5560"/>
          <w:sz w:val="20"/>
          <w:szCs w:val="20"/>
        </w:rPr>
        <w:t xml:space="preserve">assets/cscu-datasources.csv</w:t>
      </w:r>
      <w:r>
        <w:t xml:space="preserve">. The panel previews both rows — the </w:t>
      </w:r>
      <w:r>
        <w:rPr>
          <w:rFonts w:ascii="Consolas" w:hAnsi="Consolas"/>
          <w:color w:val="0A5560"/>
          <w:sz w:val="20"/>
          <w:szCs w:val="20"/>
        </w:rPr>
        <w:t xml:space="preserve">postgres</w:t>
      </w:r>
      <w:r>
        <w:t xml:space="preserve"> row (</w:t>
      </w:r>
      <w:r>
        <w:rPr>
          <w:rFonts w:ascii="Consolas" w:hAnsi="Consolas"/>
          <w:color w:val="0A5560"/>
          <w:sz w:val="20"/>
          <w:szCs w:val="20"/>
        </w:rPr>
        <w:t xml:space="preserve">CopperState_Core_Banking</w:t>
      </w:r>
      <w:r>
        <w:t xml:space="preserve">) and the </w:t>
      </w:r>
      <w:r>
        <w:rPr>
          <w:rFonts w:ascii="Consolas" w:hAnsi="Consolas"/>
          <w:color w:val="0A5560"/>
          <w:sz w:val="20"/>
          <w:szCs w:val="20"/>
        </w:rPr>
        <w:t xml:space="preserve">minio</w:t>
      </w:r>
      <w:r>
        <w:t xml:space="preserve"> row (</w:t>
      </w:r>
      <w:r>
        <w:rPr>
          <w:rFonts w:ascii="Consolas" w:hAnsi="Consolas"/>
          <w:color w:val="0A5560"/>
          <w:sz w:val="20"/>
          <w:szCs w:val="20"/>
        </w:rPr>
        <w:t xml:space="preserve">CopperState_Documents</w:t>
      </w:r>
      <w:r>
        <w:t xml:space="preserve">). The values are already host-reachable (</w:t>
      </w:r>
      <w:r>
        <w:rPr>
          <w:rFonts w:ascii="Consolas" w:hAnsi="Consolas"/>
          <w:color w:val="0A5560"/>
          <w:sz w:val="20"/>
          <w:szCs w:val="20"/>
        </w:rPr>
        <w:t xml:space="preserve">192.168.1.200</w:t>
      </w:r>
      <w:r>
        <w:t xml:space="preserve">, port 5433), so the </w:t>
      </w:r>
      <w:r>
        <w:rPr>
          <w:b/>
          <w:bCs/>
        </w:rPr>
        <w:t xml:space="preserve">App reachability remap</w:t>
      </w:r>
      <w:r>
        <w:t xml:space="preserve"> field can stay empty.</w:t>
      </w:r>
    </w:p>
    <w:p>
      <w:pPr>
        <w:pStyle w:val="ListParagraph"/>
        <w:numPr>
          <w:ilvl w:val="0"/>
          <w:numId w:val="100"/>
        </w:numPr>
        <w:spacing w:after="80" w:line="264" w:lineRule="auto"/>
      </w:pPr>
      <w:r>
        <w:t xml:space="preserve">Tick </w:t>
      </w:r>
      <w:r>
        <w:rPr>
          <w:b/>
          <w:bCs/>
        </w:rPr>
        <w:t xml:space="preserve">Dry run</w:t>
      </w:r>
      <w:r>
        <w:t xml:space="preserve"> and run once. The panel shows the exact (redacted) request bodies it would send — check </w:t>
      </w:r>
      <w:r>
        <w:rPr>
          <w:rFonts w:ascii="Consolas" w:hAnsi="Consolas"/>
          <w:color w:val="0A5560"/>
          <w:sz w:val="20"/>
          <w:szCs w:val="20"/>
        </w:rPr>
        <w:t xml:space="preserve">databaseType</w:t>
      </w:r>
      <w:r>
        <w:t xml:space="preserve"> is </w:t>
      </w:r>
      <w:r>
        <w:rPr>
          <w:rFonts w:ascii="Consolas" w:hAnsi="Consolas"/>
          <w:color w:val="0A5560"/>
          <w:sz w:val="20"/>
          <w:szCs w:val="20"/>
        </w:rPr>
        <w:t xml:space="preserve">POSTGRES</w:t>
      </w:r>
      <w:r>
        <w:t xml:space="preserve"> for the database row and </w:t>
      </w:r>
      <w:r>
        <w:rPr>
          <w:rFonts w:ascii="Consolas" w:hAnsi="Consolas"/>
          <w:color w:val="0A5560"/>
          <w:sz w:val="20"/>
          <w:szCs w:val="20"/>
        </w:rPr>
        <w:t xml:space="preserve">AWS</w:t>
      </w:r>
      <w:r>
        <w:t xml:space="preserve"> for the object store, and that </w:t>
      </w:r>
      <w:r>
        <w:rPr>
          <w:rFonts w:ascii="Consolas" w:hAnsi="Consolas"/>
          <w:color w:val="0A5560"/>
          <w:sz w:val="20"/>
          <w:szCs w:val="20"/>
        </w:rPr>
        <w:t xml:space="preserve">schemaNames</w:t>
      </w:r>
      <w:r>
        <w:t xml:space="preserve"> is </w:t>
      </w:r>
      <w:r>
        <w:rPr>
          <w:rFonts w:ascii="Consolas" w:hAnsi="Consolas"/>
          <w:color w:val="0A5560"/>
          <w:sz w:val="20"/>
          <w:szCs w:val="20"/>
        </w:rPr>
        <w:t xml:space="preserve">cscu_core</w:t>
      </w:r>
      <w:r>
        <w:t xml:space="preserve">. Nothing has touched PDC yet.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dry-run preview — redacted request bodies</w:t>
      </w:r>
    </w:p>
    <w:p>
      <w:pPr>
        <w:pStyle w:val="ListParagraph"/>
        <w:numPr>
          <w:ilvl w:val="0"/>
          <w:numId w:val="100"/>
        </w:numPr>
        <w:spacing w:after="80" w:line="264" w:lineRule="auto"/>
      </w:pPr>
      <w:r>
        <w:t xml:space="preserve">Untick Dry run and </w:t>
      </w:r>
      <w:r>
        <w:rPr>
          <w:b/>
          <w:bCs/>
        </w:rPr>
        <w:t xml:space="preserve">Run</w:t>
      </w:r>
      <w:r>
        <w:t xml:space="preserve">. Progress streams back one row at a time: create → test-connection → ingest for the database; create → test for the object store.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bulk-load progress — both rows green</w:t>
      </w:r>
    </w:p>
    <w:p>
      <w:pPr>
        <w:pStyle w:val="ListParagraph"/>
        <w:numPr>
          <w:ilvl w:val="0"/>
          <w:numId w:val="100"/>
        </w:numPr>
        <w:spacing w:after="80" w:line="264" w:lineRule="auto"/>
      </w:pPr>
      <w:r>
        <w:t xml:space="preserve">One manual step remains: the </w:t>
      </w:r>
      <w:r>
        <w:rPr>
          <w:b/>
          <w:bCs/>
        </w:rPr>
        <w:t xml:space="preserve">File System Scan is not on the public API</w:t>
      </w:r>
      <w:r>
        <w:t xml:space="preserve">. In PDC, open </w:t>
      </w:r>
      <w:r>
        <w:rPr>
          <w:rFonts w:ascii="Consolas" w:hAnsi="Consolas"/>
          <w:color w:val="0A5560"/>
          <w:sz w:val="20"/>
          <w:szCs w:val="20"/>
        </w:rPr>
        <w:t xml:space="preserve">CopperState_Documents</w:t>
      </w:r>
      <w:r>
        <w:t xml:space="preserve"> and click </w:t>
      </w:r>
      <w:r>
        <w:rPr>
          <w:b/>
          <w:bCs/>
        </w:rPr>
        <w:t xml:space="preserve">Scan Files</w:t>
      </w:r>
      <w:r>
        <w:t xml:space="preserve"> (a first full scan, defaults are fine). Monitor it on the Workers page.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Scan Files on CopperState_Documents</w:t>
      </w:r>
    </w:p>
    <w:p>
      <w:pPr>
        <w:pStyle w:val="ListParagraph"/>
        <w:numPr>
          <w:ilvl w:val="0"/>
          <w:numId w:val="100"/>
        </w:numPr>
        <w:spacing w:after="80" w:line="264" w:lineRule="auto"/>
      </w:pPr>
      <w:r>
        <w:t xml:space="preserve">Verify in the Data Canvas: the eleven </w:t>
      </w:r>
      <w:r>
        <w:rPr>
          <w:rFonts w:ascii="Consolas" w:hAnsi="Consolas"/>
          <w:color w:val="0A5560"/>
          <w:sz w:val="20"/>
          <w:szCs w:val="20"/>
        </w:rPr>
        <w:t xml:space="preserve">cscu_core</w:t>
      </w:r>
      <w:r>
        <w:t xml:space="preserve"> tables and the six document folders are visible. If both are there, Parts B and C below are reference material — skip to Part D.</w:t>
      </w:r>
    </w:p>
    <w:p>
      <w:pPr>
        <w:pBdr>
          <w:left w:val="single" w:sz="12" w:space="8" w:color="065A82"/>
        </w:pBdr>
        <w:shd w:val="clear" w:color="auto" w:fill="EEF6FA"/>
        <w:ind w:left="240" w:right="240"/>
        <w:spacing w:before="120" w:after="160"/>
      </w:pPr>
      <w:r>
        <w:rPr>
          <w:b/>
          <w:bCs/>
        </w:rPr>
        <w:t xml:space="preserve">Why is Scan Files manual?</w:t>
      </w:r>
      <w:r>
        <w:t xml:space="preserve"> Creating an object-store source is fully supported on the public API, but the scan that reads the bucket is an internal, UI-only job. The loader stops cleanly after create + test for object stores; the one click in PDC finishes the job. (The database row needs no click — schema ingest </w:t>
      </w:r>
      <w:r>
        <w:rPr>
          <w:i/>
          <w:iCs/>
        </w:rPr>
        <w:t xml:space="preserve">is</w:t>
      </w:r>
      <w:r>
        <w:t xml:space="preserve"> on the public API.)</w:t>
      </w:r>
    </w:p>
    <w:p>
      <w:pPr>
        <w:pStyle w:val="Heading2"/>
      </w:pPr>
      <w:r>
        <w:t xml:space="preserve">Part B — Connect the core banking database manually (reference)</w:t>
      </w:r>
    </w:p>
    <w:p>
      <w:pPr>
        <w:spacing w:after="120"/>
      </w:pPr>
      <w:r>
        <w:t xml:space="preserve">Use this path when you have no CSV, or to understand exactly what the loader automates.</w:t>
      </w:r>
    </w:p>
    <w:p>
      <w:pPr>
        <w:pStyle w:val="ListParagraph"/>
        <w:numPr>
          <w:ilvl w:val="0"/>
          <w:numId w:val="101"/>
        </w:numPr>
        <w:spacing w:after="80" w:line="264" w:lineRule="auto"/>
      </w:pPr>
      <w:r>
        <w:t xml:space="preserve">Sign in to </w:t>
      </w:r>
      <w:r>
        <w:rPr>
          <w:rFonts w:ascii="Consolas" w:hAnsi="Consolas"/>
          <w:color w:val="0A5560"/>
          <w:sz w:val="20"/>
          <w:szCs w:val="20"/>
        </w:rPr>
        <w:t xml:space="preserve">https://pentaho.io</w:t>
      </w:r>
      <w:r>
        <w:t xml:space="preserve"> as </w:t>
      </w:r>
      <w:r>
        <w:rPr>
          <w:rFonts w:ascii="Consolas" w:hAnsi="Consolas"/>
          <w:color w:val="0A5560"/>
          <w:sz w:val="20"/>
          <w:szCs w:val="20"/>
        </w:rPr>
        <w:t xml:space="preserve">omar.haddad</w:t>
      </w:r>
      <w:r>
        <w:t xml:space="preserve">. In the left navigation menu, click </w:t>
      </w:r>
      <w:r>
        <w:rPr>
          <w:b/>
          <w:bCs/>
        </w:rPr>
        <w:t xml:space="preserve">Management</w:t>
      </w:r>
      <w:r>
        <w:t xml:space="preserve">. The Manage Your Environment page opens.</w:t>
      </w:r>
    </w:p>
    <w:p>
      <w:pPr>
        <w:pStyle w:val="ListParagraph"/>
        <w:numPr>
          <w:ilvl w:val="0"/>
          <w:numId w:val="101"/>
        </w:numPr>
        <w:spacing w:after="80" w:line="264" w:lineRule="auto"/>
      </w:pPr>
      <w:r>
        <w:t xml:space="preserve">In the Resources card, click </w:t>
      </w:r>
      <w:r>
        <w:rPr>
          <w:b/>
          <w:bCs/>
        </w:rPr>
        <w:t xml:space="preserve">Add Data Source</w:t>
      </w:r>
      <w:r>
        <w:t xml:space="preserve">. The Create Data Source page opens.</w:t>
      </w:r>
    </w:p>
    <w:p>
      <w:pPr>
        <w:pStyle w:val="ListParagraph"/>
        <w:numPr>
          <w:ilvl w:val="0"/>
          <w:numId w:val="101"/>
        </w:numPr>
        <w:spacing w:after="80" w:line="264" w:lineRule="auto"/>
      </w:pPr>
      <w:r>
        <w:t xml:space="preserve">In </w:t>
      </w:r>
      <w:r>
        <w:rPr>
          <w:b/>
          <w:bCs/>
        </w:rPr>
        <w:t xml:space="preserve">Data Source Name</w:t>
      </w:r>
      <w:r>
        <w:t xml:space="preserve">, enter </w:t>
      </w:r>
      <w:r>
        <w:rPr>
          <w:rFonts w:ascii="Consolas" w:hAnsi="Consolas"/>
          <w:color w:val="0A5560"/>
          <w:sz w:val="20"/>
          <w:szCs w:val="20"/>
        </w:rPr>
        <w:t xml:space="preserve">CopperState_Core_Banking</w:t>
      </w:r>
      <w:r>
        <w:t xml:space="preserve">. Names must start with a letter and contain only letters, digits, and underscores — spaces are not supported.</w:t>
      </w:r>
    </w:p>
    <w:p>
      <w:pPr>
        <w:pStyle w:val="ListParagraph"/>
        <w:numPr>
          <w:ilvl w:val="0"/>
          <w:numId w:val="101"/>
        </w:numPr>
        <w:spacing w:after="80" w:line="264" w:lineRule="auto"/>
      </w:pPr>
      <w:r>
        <w:t xml:space="preserve">In </w:t>
      </w:r>
      <w:r>
        <w:rPr>
          <w:b/>
          <w:bCs/>
        </w:rPr>
        <w:t xml:space="preserve">Data Source Type</w:t>
      </w:r>
      <w:r>
        <w:t xml:space="preserve">, select </w:t>
      </w:r>
      <w:r>
        <w:rPr>
          <w:b/>
          <w:bCs/>
        </w:rPr>
        <w:t xml:space="preserve">PostgreSQL</w:t>
      </w:r>
      <w:r>
        <w:t xml:space="preserve">. PDC expands the form with database-specific fields.</w:t>
      </w:r>
    </w:p>
    <w:p>
      <w:pPr>
        <w:pStyle w:val="ListParagraph"/>
        <w:numPr>
          <w:ilvl w:val="0"/>
          <w:numId w:val="101"/>
        </w:numPr>
        <w:spacing w:after="80" w:line="264" w:lineRule="auto"/>
      </w:pPr>
      <w:r>
        <w:t xml:space="preserve">Enter the connection details from the table above: Host </w:t>
      </w:r>
      <w:r>
        <w:rPr>
          <w:rFonts w:ascii="Consolas" w:hAnsi="Consolas"/>
          <w:color w:val="0A5560"/>
          <w:sz w:val="20"/>
          <w:szCs w:val="20"/>
        </w:rPr>
        <w:t xml:space="preserve">192.168.1.200</w:t>
      </w:r>
      <w:r>
        <w:t xml:space="preserve">, Port </w:t>
      </w:r>
      <w:r>
        <w:rPr>
          <w:rFonts w:ascii="Consolas" w:hAnsi="Consolas"/>
          <w:color w:val="0A5560"/>
          <w:sz w:val="20"/>
          <w:szCs w:val="20"/>
        </w:rPr>
        <w:t xml:space="preserve">5433</w:t>
      </w:r>
      <w:r>
        <w:t xml:space="preserve">, Database Name </w:t>
      </w:r>
      <w:r>
        <w:rPr>
          <w:rFonts w:ascii="Consolas" w:hAnsi="Consolas"/>
          <w:color w:val="0A5560"/>
          <w:sz w:val="20"/>
          <w:szCs w:val="20"/>
        </w:rPr>
        <w:t xml:space="preserve">cscu_core</w:t>
      </w:r>
      <w:r>
        <w:t xml:space="preserve">, User Name </w:t>
      </w:r>
      <w:r>
        <w:rPr>
          <w:rFonts w:ascii="Consolas" w:hAnsi="Consolas"/>
          <w:color w:val="0A5560"/>
          <w:sz w:val="20"/>
          <w:szCs w:val="20"/>
        </w:rPr>
        <w:t xml:space="preserve">pdc_user</w:t>
      </w:r>
      <w:r>
        <w:t xml:space="preserve">, Password </w:t>
      </w:r>
      <w:r>
        <w:rPr>
          <w:rFonts w:ascii="Consolas" w:hAnsi="Consolas"/>
          <w:color w:val="0A5560"/>
          <w:sz w:val="20"/>
          <w:szCs w:val="20"/>
        </w:rPr>
        <w:t xml:space="preserve">catalog123!</w:t>
      </w:r>
      <w:r>
        <w:t xml:space="preser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CopperState_Core_Banking connection form</w:t>
      </w:r>
    </w:p>
    <w:p>
      <w:pPr>
        <w:pStyle w:val="ListParagraph"/>
        <w:numPr>
          <w:ilvl w:val="0"/>
          <w:numId w:val="101"/>
        </w:numPr>
        <w:spacing w:after="80" w:line="264" w:lineRule="auto"/>
      </w:pPr>
      <w:r>
        <w:t xml:space="preserve">Click </w:t>
      </w:r>
      <w:r>
        <w:rPr>
          <w:b/>
          <w:bCs/>
        </w:rPr>
        <w:t xml:space="preserve">Test Connection</w:t>
      </w:r>
      <w:r>
        <w:t xml:space="preserve"> and wait for the confirmation message. The source remains OFFLINE until this succeeds — if it fails, the message tells you what to fix (usually host, port, or credentials; see Troubleshooting).</w:t>
      </w:r>
    </w:p>
    <w:p>
      <w:pPr>
        <w:pStyle w:val="ListParagraph"/>
        <w:numPr>
          <w:ilvl w:val="0"/>
          <w:numId w:val="101"/>
        </w:numPr>
        <w:spacing w:after="80" w:line="264" w:lineRule="auto"/>
      </w:pPr>
      <w:r>
        <w:t xml:space="preserve">Click </w:t>
      </w:r>
      <w:r>
        <w:rPr>
          <w:b/>
          <w:bCs/>
        </w:rPr>
        <w:t xml:space="preserve">Ingest Schema</w:t>
      </w:r>
      <w:r>
        <w:t xml:space="preserve">. In the Select schemas dialog, choose the </w:t>
      </w:r>
      <w:r>
        <w:rPr>
          <w:rFonts w:ascii="Consolas" w:hAnsi="Consolas"/>
          <w:color w:val="0A5560"/>
          <w:sz w:val="20"/>
          <w:szCs w:val="20"/>
        </w:rPr>
        <w:t xml:space="preserve">cscu_core</w:t>
      </w:r>
      <w:r>
        <w:t xml:space="preserve"> schema — not </w:t>
      </w:r>
      <w:r>
        <w:rPr>
          <w:rFonts w:ascii="Consolas" w:hAnsi="Consolas"/>
          <w:color w:val="0A5560"/>
          <w:sz w:val="20"/>
          <w:szCs w:val="20"/>
        </w:rPr>
        <w:t xml:space="preserve">public</w:t>
      </w:r>
      <w:r>
        <w:t xml:space="preserve">, which is empty. You can use include/exclude patterns to filter tables; for this lab, ingest everything in </w:t>
      </w:r>
      <w:r>
        <w:rPr>
          <w:rFonts w:ascii="Consolas" w:hAnsi="Consolas"/>
          <w:color w:val="0A5560"/>
          <w:sz w:val="20"/>
          <w:szCs w:val="20"/>
        </w:rPr>
        <w:t xml:space="preserve">cscu_core</w:t>
      </w:r>
      <w:r>
        <w:t xml:space="preser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Select schemas — cscu_core</w:t>
      </w:r>
    </w:p>
    <w:p>
      <w:pPr>
        <w:pStyle w:val="ListParagraph"/>
        <w:numPr>
          <w:ilvl w:val="0"/>
          <w:numId w:val="101"/>
        </w:numPr>
        <w:spacing w:after="80" w:line="264" w:lineRule="auto"/>
      </w:pPr>
      <w:r>
        <w:t xml:space="preserve">Click </w:t>
      </w:r>
      <w:r>
        <w:rPr>
          <w:b/>
          <w:bCs/>
        </w:rPr>
        <w:t xml:space="preserve">Ingest</w:t>
      </w:r>
      <w:r>
        <w:t xml:space="preserve">, then </w:t>
      </w:r>
      <w:r>
        <w:rPr>
          <w:b/>
          <w:bCs/>
        </w:rPr>
        <w:t xml:space="preserve">Create Data Source</w:t>
      </w:r>
      <w:r>
        <w:t xml:space="preserve">. PDC loads the eleven tables and their columns as catalog assets: branches, employees, members, accounts, cards, transactions, loans, ach_payments, kyc_reviews, suspicious_activity, gl_entries.</w:t>
      </w:r>
    </w:p>
    <w:p>
      <w:pPr>
        <w:pBdr>
          <w:left w:val="single" w:sz="12" w:space="8" w:color="065A82"/>
        </w:pBdr>
        <w:shd w:val="clear" w:color="auto" w:fill="EEF6FA"/>
        <w:ind w:left="240" w:right="240"/>
        <w:spacing w:before="120" w:after="160"/>
      </w:pPr>
      <w:r>
        <w:rPr>
          <w:b/>
          <w:bCs/>
        </w:rPr>
        <w:t xml:space="preserve">Why a read-only user?</w:t>
      </w:r>
      <w:r>
        <w:t xml:space="preserve"> You are connecting as </w:t>
      </w:r>
      <w:r>
        <w:rPr>
          <w:rFonts w:ascii="Consolas" w:hAnsi="Consolas"/>
          <w:color w:val="0A5560"/>
          <w:sz w:val="20"/>
          <w:szCs w:val="20"/>
        </w:rPr>
        <w:t xml:space="preserve">pdc_user</w:t>
      </w:r>
      <w:r>
        <w:t xml:space="preserve">, which has only CONNECT, USAGE, and SELECT. The catalog only ever needs to read — it profiles and describes data, it never changes it. Using a least-privilege user means the catalog literally cannot modify CSCU's member balances or loan records, which is exactly the separation of duties an examiner expects. Good governance starts at the connection screen.</w:t>
      </w:r>
    </w:p>
    <w:p>
      <w:pPr>
        <w:pStyle w:val="Heading2"/>
      </w:pPr>
      <w:r>
        <w:t xml:space="preserve">Part C — Connect the document store manually (reference)</w:t>
      </w:r>
    </w:p>
    <w:p>
      <w:pPr>
        <w:spacing w:after="120"/>
      </w:pPr>
      <w:r>
        <w:t xml:space="preserve">MinIO is an S3-compatible object store, already running in the shared lab. PDC connects to it as an object-store data source — a different on-ramp from the database.</w:t>
      </w:r>
    </w:p>
    <w:p>
      <w:pPr>
        <w:pStyle w:val="ListParagraph"/>
        <w:numPr>
          <w:ilvl w:val="0"/>
          <w:numId w:val="102"/>
        </w:numPr>
        <w:spacing w:after="80" w:line="264" w:lineRule="auto"/>
      </w:pPr>
      <w:r>
        <w:t xml:space="preserve">Back in </w:t>
      </w:r>
      <w:r>
        <w:rPr>
          <w:b/>
          <w:bCs/>
        </w:rPr>
        <w:t xml:space="preserve">Management → Resources</w:t>
      </w:r>
      <w:r>
        <w:t xml:space="preserve">, click </w:t>
      </w:r>
      <w:r>
        <w:rPr>
          <w:b/>
          <w:bCs/>
        </w:rPr>
        <w:t xml:space="preserve">Add Data Source</w:t>
      </w:r>
      <w:r>
        <w:t xml:space="preserve">. Name it </w:t>
      </w:r>
      <w:r>
        <w:rPr>
          <w:rFonts w:ascii="Consolas" w:hAnsi="Consolas"/>
          <w:color w:val="0A5560"/>
          <w:sz w:val="20"/>
          <w:szCs w:val="20"/>
        </w:rPr>
        <w:t xml:space="preserve">CopperState_Documents</w:t>
      </w:r>
      <w:r>
        <w:t xml:space="preserve">.</w:t>
      </w:r>
    </w:p>
    <w:p>
      <w:pPr>
        <w:pStyle w:val="ListParagraph"/>
        <w:numPr>
          <w:ilvl w:val="0"/>
          <w:numId w:val="102"/>
        </w:numPr>
        <w:spacing w:after="80" w:line="264" w:lineRule="auto"/>
      </w:pPr>
      <w:r>
        <w:t xml:space="preserve">In </w:t>
      </w:r>
      <w:r>
        <w:rPr>
          <w:b/>
          <w:bCs/>
        </w:rPr>
        <w:t xml:space="preserve">Data Source Type</w:t>
      </w:r>
      <w:r>
        <w:t xml:space="preserve">, select the </w:t>
      </w:r>
      <w:r>
        <w:rPr>
          <w:b/>
          <w:bCs/>
        </w:rPr>
        <w:t xml:space="preserve">AWS S3</w:t>
      </w:r>
      <w:r>
        <w:t xml:space="preserve"> type. The form changes to ask for bucket details rather than a database name.</w:t>
      </w:r>
    </w:p>
    <w:p>
      <w:pPr>
        <w:pStyle w:val="ListParagraph"/>
        <w:numPr>
          <w:ilvl w:val="0"/>
          <w:numId w:val="102"/>
        </w:numPr>
        <w:spacing w:after="80" w:line="264" w:lineRule="auto"/>
      </w:pPr>
      <w:r>
        <w:t xml:space="preserve">Enter: Endpoint </w:t>
      </w:r>
      <w:r>
        <w:rPr>
          <w:rFonts w:ascii="Consolas" w:hAnsi="Consolas"/>
          <w:color w:val="0A5560"/>
          <w:sz w:val="20"/>
          <w:szCs w:val="20"/>
        </w:rPr>
        <w:t xml:space="preserve">http://192.168.1.200:9000</w:t>
      </w:r>
      <w:r>
        <w:t xml:space="preserve">, Access Key </w:t>
      </w:r>
      <w:r>
        <w:rPr>
          <w:rFonts w:ascii="Consolas" w:hAnsi="Consolas"/>
          <w:color w:val="0A5560"/>
          <w:sz w:val="20"/>
          <w:szCs w:val="20"/>
        </w:rPr>
        <w:t xml:space="preserve">cscu_minio_user</w:t>
      </w:r>
      <w:r>
        <w:t xml:space="preserve">, Secret Key </w:t>
      </w:r>
      <w:r>
        <w:rPr>
          <w:rFonts w:ascii="Consolas" w:hAnsi="Consolas"/>
          <w:color w:val="0A5560"/>
          <w:sz w:val="20"/>
          <w:szCs w:val="20"/>
        </w:rPr>
        <w:t xml:space="preserve">minio_secret_123!</w:t>
      </w:r>
      <w:r>
        <w:t xml:space="preserve">, Bucket </w:t>
      </w:r>
      <w:r>
        <w:rPr>
          <w:rFonts w:ascii="Consolas" w:hAnsi="Consolas"/>
          <w:color w:val="0A5560"/>
          <w:sz w:val="20"/>
          <w:szCs w:val="20"/>
        </w:rPr>
        <w:t xml:space="preserve">cscu-documents</w:t>
      </w:r>
      <w:r>
        <w:t xml:space="preserve">. Use the VM IP for the Endpoint, not </w:t>
      </w:r>
      <w:r>
        <w:rPr>
          <w:rFonts w:ascii="Consolas" w:hAnsi="Consolas"/>
          <w:color w:val="0A5560"/>
          <w:sz w:val="20"/>
          <w:szCs w:val="20"/>
        </w:rPr>
        <w:t xml:space="preserve">localhost</w:t>
      </w:r>
      <w:r>
        <w:t xml:space="preserve"> — from inside the PDC container </w:t>
      </w:r>
      <w:r>
        <w:rPr>
          <w:rFonts w:ascii="Consolas" w:hAnsi="Consolas"/>
          <w:color w:val="0A5560"/>
          <w:sz w:val="20"/>
          <w:szCs w:val="20"/>
        </w:rPr>
        <w:t xml:space="preserve">localhost</w:t>
      </w:r>
      <w:r>
        <w:t xml:space="preserve"> is PDC itself, and an IP endpoint forces S3 path-style addressing, which MinIO requires. The AWS S3 form has no path-style toggle, so the IP is what makes it work.</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CopperState_Documents connection form</w:t>
      </w:r>
    </w:p>
    <w:p>
      <w:pPr>
        <w:pStyle w:val="ListParagraph"/>
        <w:numPr>
          <w:ilvl w:val="0"/>
          <w:numId w:val="102"/>
        </w:numPr>
        <w:spacing w:after="80" w:line="264" w:lineRule="auto"/>
      </w:pPr>
      <w:r>
        <w:t xml:space="preserve">Click </w:t>
      </w:r>
      <w:r>
        <w:rPr>
          <w:b/>
          <w:bCs/>
        </w:rPr>
        <w:t xml:space="preserve">Test Connection</w:t>
      </w:r>
      <w:r>
        <w:t xml:space="preserve">. As with the database, the source stays OFFLINE until the test passes.</w:t>
      </w:r>
    </w:p>
    <w:p>
      <w:pPr>
        <w:pStyle w:val="ListParagraph"/>
        <w:numPr>
          <w:ilvl w:val="0"/>
          <w:numId w:val="102"/>
        </w:numPr>
        <w:spacing w:after="80" w:line="264" w:lineRule="auto"/>
      </w:pPr>
      <w:r>
        <w:t xml:space="preserve">Click </w:t>
      </w:r>
      <w:r>
        <w:rPr>
          <w:b/>
          <w:bCs/>
        </w:rPr>
        <w:t xml:space="preserve">Scan Files</w:t>
      </w:r>
      <w:r>
        <w:t xml:space="preserve">. In the Scan Files dialog, accept the defaults for a first full scan. Note the options for later: </w:t>
      </w:r>
      <w:r>
        <w:rPr>
          <w:b/>
          <w:bCs/>
        </w:rPr>
        <w:t xml:space="preserve">Incremental Ingest</w:t>
      </w:r>
      <w:r>
        <w:t xml:space="preserve"> (12 hours to 3 months), </w:t>
      </w:r>
      <w:r>
        <w:rPr>
          <w:b/>
          <w:bCs/>
        </w:rPr>
        <w:t xml:space="preserve">Include/Exclude patterns</w:t>
      </w:r>
      <w:r>
        <w:t xml:space="preserve"> to scope folders, and </w:t>
      </w:r>
      <w:r>
        <w:rPr>
          <w:b/>
          <w:bCs/>
        </w:rPr>
        <w:t xml:space="preserve">Delete Empty Folders</w:t>
      </w:r>
      <w:r>
        <w:t xml:space="preser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Scan Files dialog</w:t>
      </w:r>
    </w:p>
    <w:p>
      <w:pPr>
        <w:pStyle w:val="ListParagraph"/>
        <w:numPr>
          <w:ilvl w:val="0"/>
          <w:numId w:val="102"/>
        </w:numPr>
        <w:spacing w:after="80" w:line="264" w:lineRule="auto"/>
      </w:pPr>
      <w:r>
        <w:t xml:space="preserve">Monitor progress on the </w:t>
      </w:r>
      <w:r>
        <w:rPr>
          <w:b/>
          <w:bCs/>
        </w:rPr>
        <w:t xml:space="preserve">Workers</w:t>
      </w:r>
      <w:r>
        <w:t xml:space="preserve"> page. When the scan completes, the six </w:t>
      </w:r>
      <w:r>
        <w:rPr>
          <w:rFonts w:ascii="Consolas" w:hAnsi="Consolas"/>
          <w:color w:val="0A5560"/>
          <w:sz w:val="20"/>
          <w:szCs w:val="20"/>
        </w:rPr>
        <w:t xml:space="preserve">cscu-documents</w:t>
      </w:r>
      <w:r>
        <w:t xml:space="preserve"> folders appear in the Data Canvas next to the database tables — compliance, correspondence, loan-applications, payments, rates, statements.</w:t>
      </w:r>
    </w:p>
    <w:p>
      <w:pPr>
        <w:pStyle w:val="Heading2"/>
      </w:pPr>
      <w:r>
        <w:t xml:space="preserve">Part D — Preview processing</w:t>
      </w:r>
    </w:p>
    <w:p>
      <w:pPr>
        <w:spacing w:after="120"/>
      </w:pPr>
      <w:r>
        <w:t xml:space="preserve">Scanning loads file metadata; processing reads content. You will do this fully in later workshops, but preview it now so the two on-ramps are clear end to end.</w:t>
      </w:r>
    </w:p>
    <w:p>
      <w:pPr>
        <w:pStyle w:val="ListParagraph"/>
        <w:numPr>
          <w:ilvl w:val="0"/>
          <w:numId w:val="103"/>
        </w:numPr>
        <w:spacing w:after="80" w:line="264" w:lineRule="auto"/>
      </w:pPr>
      <w:r>
        <w:t xml:space="preserve">Run </w:t>
      </w:r>
      <w:r>
        <w:rPr>
          <w:b/>
          <w:bCs/>
        </w:rPr>
        <w:t xml:space="preserve">Metadata Ingest</w:t>
      </w:r>
      <w:r>
        <w:t xml:space="preserve"> first — it reads the files' metadata into the catalog. Then select the </w:t>
      </w:r>
      <w:r>
        <w:rPr>
          <w:rFonts w:ascii="Consolas" w:hAnsi="Consolas"/>
          <w:color w:val="0A5560"/>
          <w:sz w:val="20"/>
          <w:szCs w:val="20"/>
        </w:rPr>
        <w:t xml:space="preserve">compliance/</w:t>
      </w:r>
      <w:r>
        <w:t xml:space="preserve"> folder and choose </w:t>
      </w:r>
      <w:r>
        <w:rPr>
          <w:b/>
          <w:bCs/>
        </w:rPr>
        <w:t xml:space="preserve">Process</w:t>
      </w:r>
      <w:r>
        <w:t xml:space="preserve"> to open the Choose Process pane and see the jobs PDC offers.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Choose Process pane on the compliance folder</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Process</w:t>
            </w:r>
          </w:p>
        </w:tc>
        <w:tc>
          <w:tcPr>
            <w:tcW w:w="6460" w:type="dxa"/>
            <w:shd w:val="clear" w:color="auto" w:fill="EEF6FA"/>
            <w:tcMar>
              <w:top w:w="120" w:type="dxa"/>
              <w:left w:w="180" w:type="dxa"/>
              <w:bottom w:w="120" w:type="dxa"/>
              <w:right w:w="180" w:type="dxa"/>
            </w:tcMar>
          </w:tcPr>
          <w:p>
            <w:pPr>
              <w:spacing w:after="0"/>
            </w:pPr>
            <w:r>
              <w:rPr>
                <w:b/>
                <w:bCs/>
              </w:rPr>
              <w:t xml:space="preserve">What it does, and where its results appear</w:t>
            </w:r>
          </w:p>
        </w:tc>
      </w:tr>
      <w:tr>
        <w:tc>
          <w:tcPr>
            <w:tcW w:w="2900" w:type="dxa"/>
            <w:tcMar>
              <w:top w:w="120" w:type="dxa"/>
              <w:left w:w="180" w:type="dxa"/>
              <w:bottom w:w="120" w:type="dxa"/>
              <w:right w:w="180" w:type="dxa"/>
            </w:tcMar>
          </w:tcPr>
          <w:p>
            <w:pPr>
              <w:spacing w:after="0"/>
            </w:pPr>
            <w:r>
              <w:t xml:space="preserve">Metadata Ingest</w:t>
            </w:r>
          </w:p>
        </w:tc>
        <w:tc>
          <w:tcPr>
            <w:tcW w:w="6460" w:type="dxa"/>
            <w:tcMar>
              <w:top w:w="120" w:type="dxa"/>
              <w:left w:w="180" w:type="dxa"/>
              <w:bottom w:w="120" w:type="dxa"/>
              <w:right w:w="180" w:type="dxa"/>
            </w:tcMar>
          </w:tcPr>
          <w:p>
            <w:pPr>
              <w:spacing w:after="0"/>
            </w:pPr>
            <w:r>
              <w:t xml:space="preserve">Reads each file's metadata (name, type, size, timestamps, path) into the catalog. Run it first — every other job depends on it</w:t>
            </w:r>
          </w:p>
        </w:tc>
      </w:tr>
      <w:tr>
        <w:tc>
          <w:tcPr>
            <w:tcW w:w="2900" w:type="dxa"/>
            <w:tcMar>
              <w:top w:w="120" w:type="dxa"/>
              <w:left w:w="180" w:type="dxa"/>
              <w:bottom w:w="120" w:type="dxa"/>
              <w:right w:w="180" w:type="dxa"/>
            </w:tcMar>
          </w:tcPr>
          <w:p>
            <w:pPr>
              <w:spacing w:after="0"/>
            </w:pPr>
            <w:r>
              <w:t xml:space="preserve">Calculate Trust Score</w:t>
            </w:r>
          </w:p>
        </w:tc>
        <w:tc>
          <w:tcPr>
            <w:tcW w:w="6460" w:type="dxa"/>
            <w:tcMar>
              <w:top w:w="120" w:type="dxa"/>
              <w:left w:w="180" w:type="dxa"/>
              <w:bottom w:w="120" w:type="dxa"/>
              <w:right w:w="180" w:type="dxa"/>
            </w:tcMar>
          </w:tcPr>
          <w:p>
            <w:pPr>
              <w:spacing w:after="0"/>
            </w:pPr>
            <w:r>
              <w:t xml:space="preserve">Computes an asset-reliability score from data quality, user ratings, lineage, and whether a glossary term is assigned. Shown in the asset's Key Metrics panel; works for tables and files</w:t>
            </w:r>
          </w:p>
        </w:tc>
      </w:tr>
      <w:tr>
        <w:tc>
          <w:tcPr>
            <w:tcW w:w="2900" w:type="dxa"/>
            <w:tcMar>
              <w:top w:w="120" w:type="dxa"/>
              <w:left w:w="180" w:type="dxa"/>
              <w:bottom w:w="120" w:type="dxa"/>
              <w:right w:w="180" w:type="dxa"/>
            </w:tcMar>
          </w:tcPr>
          <w:p>
            <w:pPr>
              <w:spacing w:after="0"/>
            </w:pPr>
            <w:r>
              <w:t xml:space="preserve">Data Discovery</w:t>
            </w:r>
          </w:p>
        </w:tc>
        <w:tc>
          <w:tcPr>
            <w:tcW w:w="6460" w:type="dxa"/>
            <w:tcMar>
              <w:top w:w="120" w:type="dxa"/>
              <w:left w:w="180" w:type="dxa"/>
              <w:bottom w:w="120" w:type="dxa"/>
              <w:right w:w="180" w:type="dxa"/>
            </w:tcMar>
          </w:tcPr>
          <w:p>
            <w:pPr>
              <w:spacing w:after="0"/>
            </w:pPr>
            <w:r>
              <w:t xml:space="preserve">Generates statistics, data patterns, and samples in a single pass — the data-profiling step and the prerequisite for most downstream analytics</w:t>
            </w:r>
          </w:p>
        </w:tc>
      </w:tr>
      <w:tr>
        <w:tc>
          <w:tcPr>
            <w:tcW w:w="2900" w:type="dxa"/>
            <w:tcMar>
              <w:top w:w="120" w:type="dxa"/>
              <w:left w:w="180" w:type="dxa"/>
              <w:bottom w:w="120" w:type="dxa"/>
              <w:right w:w="180" w:type="dxa"/>
            </w:tcMar>
          </w:tcPr>
          <w:p>
            <w:pPr>
              <w:spacing w:after="0"/>
            </w:pPr>
            <w:r>
              <w:t xml:space="preserve">Data Identification</w:t>
            </w:r>
          </w:p>
        </w:tc>
        <w:tc>
          <w:tcPr>
            <w:tcW w:w="6460" w:type="dxa"/>
            <w:tcMar>
              <w:top w:w="120" w:type="dxa"/>
              <w:left w:w="180" w:type="dxa"/>
              <w:bottom w:w="120" w:type="dxa"/>
              <w:right w:w="180" w:type="dxa"/>
            </w:tcMar>
          </w:tcPr>
          <w:p>
            <w:pPr>
              <w:spacing w:after="0"/>
            </w:pPr>
            <w:r>
              <w:t xml:space="preserve">Classifies content and applies tags using dictionaries and data-pattern analysis — the built-in sets plus any custom methods you add (Workshop 5 and the Technical Track). Rule-based, not an LLM</w:t>
            </w:r>
          </w:p>
        </w:tc>
      </w:tr>
      <w:tr>
        <w:tc>
          <w:tcPr>
            <w:tcW w:w="2900" w:type="dxa"/>
            <w:tcMar>
              <w:top w:w="120" w:type="dxa"/>
              <w:left w:w="180" w:type="dxa"/>
              <w:bottom w:w="120" w:type="dxa"/>
              <w:right w:w="180" w:type="dxa"/>
            </w:tcMar>
          </w:tcPr>
          <w:p>
            <w:pPr>
              <w:spacing w:after="0"/>
            </w:pPr>
            <w:r>
              <w:t xml:space="preserve">PII Detection</w:t>
            </w:r>
          </w:p>
        </w:tc>
        <w:tc>
          <w:tcPr>
            <w:tcW w:w="6460" w:type="dxa"/>
            <w:tcMar>
              <w:top w:w="120" w:type="dxa"/>
              <w:left w:w="180" w:type="dxa"/>
              <w:bottom w:w="120" w:type="dxa"/>
              <w:right w:w="180" w:type="dxa"/>
            </w:tcMar>
          </w:tcPr>
          <w:p>
            <w:pPr>
              <w:spacing w:after="0"/>
            </w:pPr>
            <w:r>
              <w:t xml:space="preserve">An ML check that tags PII columns into an auto-created ML_PII glossary. Scope-limited (JDBC tables and CSV/TSV in specific languages) — it does not act on CSCU's English PDFs</w:t>
            </w:r>
          </w:p>
        </w:tc>
      </w:tr>
    </w:tbl>
    <w:p>
      <w:pPr>
        <w:spacing w:after="120"/>
      </w:pPr>
    </w:p>
    <w:p>
      <w:pPr>
        <w:spacing w:after="120"/>
      </w:pPr>
      <w:r>
        <w:t xml:space="preserve">For the </w:t>
      </w:r>
      <w:r>
        <w:rPr>
          <w:rFonts w:ascii="Consolas" w:hAnsi="Consolas"/>
          <w:color w:val="0A5560"/>
          <w:sz w:val="20"/>
          <w:szCs w:val="20"/>
        </w:rPr>
        <w:t xml:space="preserve">compliance/</w:t>
      </w:r>
      <w:r>
        <w:t xml:space="preserve"> folder the realistic sequence is Metadata Ingest, then Data Discovery, then Data Identification, optionally Calculate Trust Score.</w:t>
      </w:r>
    </w:p>
    <w:p>
      <w:pPr>
        <w:pStyle w:val="Heading2"/>
      </w:pPr>
      <w:r>
        <w:t xml:space="preserve">Scan &amp; ingest scope options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Option</w:t>
            </w:r>
          </w:p>
        </w:tc>
        <w:tc>
          <w:tcPr>
            <w:tcW w:w="6460" w:type="dxa"/>
            <w:shd w:val="clear" w:color="auto" w:fill="EEF6FA"/>
            <w:tcMar>
              <w:top w:w="120" w:type="dxa"/>
              <w:left w:w="180" w:type="dxa"/>
              <w:bottom w:w="120" w:type="dxa"/>
              <w:right w:w="180" w:type="dxa"/>
            </w:tcMar>
          </w:tcPr>
          <w:p>
            <w:pPr>
              <w:spacing w:after="0"/>
            </w:pPr>
            <w:r>
              <w:rPr>
                <w:b/>
                <w:bCs/>
              </w:rPr>
              <w:t xml:space="preserve">What it means</w:t>
            </w:r>
          </w:p>
        </w:tc>
      </w:tr>
      <w:tr>
        <w:tc>
          <w:tcPr>
            <w:tcW w:w="2900" w:type="dxa"/>
            <w:tcMar>
              <w:top w:w="120" w:type="dxa"/>
              <w:left w:w="180" w:type="dxa"/>
              <w:bottom w:w="120" w:type="dxa"/>
              <w:right w:w="180" w:type="dxa"/>
            </w:tcMar>
          </w:tcPr>
          <w:p>
            <w:pPr>
              <w:spacing w:after="0"/>
            </w:pPr>
            <w:r>
              <w:t xml:space="preserve">Delete Empty Folders</w:t>
            </w:r>
          </w:p>
        </w:tc>
        <w:tc>
          <w:tcPr>
            <w:tcW w:w="6460" w:type="dxa"/>
            <w:tcMar>
              <w:top w:w="120" w:type="dxa"/>
              <w:left w:w="180" w:type="dxa"/>
              <w:bottom w:w="120" w:type="dxa"/>
              <w:right w:w="180" w:type="dxa"/>
            </w:tcMar>
          </w:tcPr>
          <w:p>
            <w:pPr>
              <w:spacing w:after="0"/>
            </w:pPr>
            <w:r>
              <w:t xml:space="preserve">Removes folders with no files from the catalog's metadata store so empty directories don't clutter the Data Canvas. Full scans/ingests only</w:t>
            </w:r>
          </w:p>
        </w:tc>
      </w:tr>
      <w:tr>
        <w:tc>
          <w:tcPr>
            <w:tcW w:w="2900" w:type="dxa"/>
            <w:tcMar>
              <w:top w:w="120" w:type="dxa"/>
              <w:left w:w="180" w:type="dxa"/>
              <w:bottom w:w="120" w:type="dxa"/>
              <w:right w:w="180" w:type="dxa"/>
            </w:tcMar>
          </w:tcPr>
          <w:p>
            <w:pPr>
              <w:spacing w:after="0"/>
            </w:pPr>
            <w:r>
              <w:t xml:space="preserve">Incremental Ingest</w:t>
            </w:r>
          </w:p>
        </w:tc>
        <w:tc>
          <w:tcPr>
            <w:tcW w:w="6460" w:type="dxa"/>
            <w:tcMar>
              <w:top w:w="120" w:type="dxa"/>
              <w:left w:w="180" w:type="dxa"/>
              <w:bottom w:w="120" w:type="dxa"/>
              <w:right w:w="180" w:type="dxa"/>
            </w:tcMar>
          </w:tcPr>
          <w:p>
            <w:pPr>
              <w:spacing w:after="0"/>
            </w:pPr>
            <w:r>
              <w:t xml:space="preserve">Ingests only files created or modified within the chosen period (12 hours to 3 months). Adds to what is already cataloged and never removes earlier results</w:t>
            </w:r>
          </w:p>
        </w:tc>
      </w:tr>
    </w:tbl>
    <w:p>
      <w:pPr>
        <w:spacing w:after="120"/>
      </w:pPr>
    </w:p>
    <w:p>
      <w:pPr>
        <w:spacing w:after="120"/>
      </w:pPr>
      <w:r>
        <w:t xml:space="preserve">The two are mutually exclusive — Delete Empty Folders works on full ingests only. For this lab, leave Incremental Ingest off (a full ingest) so every document is read.</w:t>
      </w:r>
    </w:p>
    <w:p>
      <w:pPr>
        <w:pStyle w:val="Heading1"/>
      </w:pPr>
      <w:r>
        <w:t xml:space="preserve">Optional settings: Physical Location, capacity, and cost</w:t>
      </w:r>
    </w:p>
    <w:p>
      <w:pPr>
        <w:spacing w:after="120"/>
      </w:pPr>
      <w:r>
        <w:t xml:space="preserve">After Test Connection succeeds — and after Scan Files (object stores) or Ingest Schema (databases) — the Create Data Source page shows optional fields before the final Create button. None are required: they describe where the data lives and what it costs, and they feed Pentaho Data Optimizer, the tiering engine that can migrate, delete, and rehydrate files to reduce storage cost.</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Field</w:t>
            </w:r>
          </w:p>
        </w:tc>
        <w:tc>
          <w:tcPr>
            <w:tcW w:w="6460" w:type="dxa"/>
            <w:shd w:val="clear" w:color="auto" w:fill="EEF6FA"/>
            <w:tcMar>
              <w:top w:w="120" w:type="dxa"/>
              <w:left w:w="180" w:type="dxa"/>
              <w:bottom w:w="120" w:type="dxa"/>
              <w:right w:w="180" w:type="dxa"/>
            </w:tcMar>
          </w:tcPr>
          <w:p>
            <w:pPr>
              <w:spacing w:after="0"/>
            </w:pPr>
            <w:r>
              <w:rPr>
                <w:b/>
                <w:bCs/>
              </w:rPr>
              <w:t xml:space="preserve">What it does</w:t>
            </w:r>
          </w:p>
        </w:tc>
      </w:tr>
      <w:tr>
        <w:tc>
          <w:tcPr>
            <w:tcW w:w="2900" w:type="dxa"/>
            <w:tcMar>
              <w:top w:w="120" w:type="dxa"/>
              <w:left w:w="180" w:type="dxa"/>
              <w:bottom w:w="120" w:type="dxa"/>
              <w:right w:w="180" w:type="dxa"/>
            </w:tcMar>
          </w:tcPr>
          <w:p>
            <w:pPr>
              <w:spacing w:after="0"/>
            </w:pPr>
            <w:r>
              <w:t xml:space="preserve">Physical Location</w:t>
            </w:r>
          </w:p>
        </w:tc>
        <w:tc>
          <w:tcPr>
            <w:tcW w:w="6460" w:type="dxa"/>
            <w:tcMar>
              <w:top w:w="120" w:type="dxa"/>
              <w:left w:w="180" w:type="dxa"/>
              <w:bottom w:w="120" w:type="dxa"/>
              <w:right w:w="180" w:type="dxa"/>
            </w:tcMar>
          </w:tcPr>
          <w:p>
            <w:pPr>
              <w:spacing w:after="0"/>
            </w:pPr>
            <w:r>
              <w:t xml:space="preserve">Where the data physically lives — recorded for data-residency and compliance context. Does not affect the connection</w:t>
            </w:r>
          </w:p>
        </w:tc>
      </w:tr>
      <w:tr>
        <w:tc>
          <w:tcPr>
            <w:tcW w:w="2900" w:type="dxa"/>
            <w:tcMar>
              <w:top w:w="120" w:type="dxa"/>
              <w:left w:w="180" w:type="dxa"/>
              <w:bottom w:w="120" w:type="dxa"/>
              <w:right w:w="180" w:type="dxa"/>
            </w:tcMar>
          </w:tcPr>
          <w:p>
            <w:pPr>
              <w:spacing w:after="0"/>
            </w:pPr>
            <w:r>
              <w:t xml:space="preserve">Available for Migration</w:t>
            </w:r>
          </w:p>
        </w:tc>
        <w:tc>
          <w:tcPr>
            <w:tcW w:w="6460" w:type="dxa"/>
            <w:tcMar>
              <w:top w:w="120" w:type="dxa"/>
              <w:left w:w="180" w:type="dxa"/>
              <w:bottom w:w="120" w:type="dxa"/>
              <w:right w:w="180" w:type="dxa"/>
            </w:tcMar>
          </w:tcPr>
          <w:p>
            <w:pPr>
              <w:spacing w:after="0"/>
            </w:pPr>
            <w:r>
              <w:t xml:space="preserve">Includes this source in Data Optimizer tiering (requires a Data Optimizer license)</w:t>
            </w:r>
          </w:p>
        </w:tc>
      </w:tr>
      <w:tr>
        <w:tc>
          <w:tcPr>
            <w:tcW w:w="2900" w:type="dxa"/>
            <w:tcMar>
              <w:top w:w="120" w:type="dxa"/>
              <w:left w:w="180" w:type="dxa"/>
              <w:bottom w:w="120" w:type="dxa"/>
              <w:right w:w="180" w:type="dxa"/>
            </w:tcMar>
          </w:tcPr>
          <w:p>
            <w:pPr>
              <w:spacing w:after="0"/>
            </w:pPr>
            <w:r>
              <w:t xml:space="preserve">Available for Writing</w:t>
            </w:r>
          </w:p>
        </w:tc>
        <w:tc>
          <w:tcPr>
            <w:tcW w:w="6460" w:type="dxa"/>
            <w:tcMar>
              <w:top w:w="120" w:type="dxa"/>
              <w:left w:w="180" w:type="dxa"/>
              <w:bottom w:w="120" w:type="dxa"/>
              <w:right w:w="180" w:type="dxa"/>
            </w:tcMar>
          </w:tcPr>
          <w:p>
            <w:pPr>
              <w:spacing w:after="0"/>
            </w:pPr>
            <w:r>
              <w:t xml:space="preserve">Lets Data Optimizer write back — needed to rehydrate tiered files</w:t>
            </w:r>
          </w:p>
        </w:tc>
      </w:tr>
      <w:tr>
        <w:tc>
          <w:tcPr>
            <w:tcW w:w="2900" w:type="dxa"/>
            <w:tcMar>
              <w:top w:w="120" w:type="dxa"/>
              <w:left w:w="180" w:type="dxa"/>
              <w:bottom w:w="120" w:type="dxa"/>
              <w:right w:w="180" w:type="dxa"/>
            </w:tcMar>
          </w:tcPr>
          <w:p>
            <w:pPr>
              <w:spacing w:after="0"/>
            </w:pPr>
            <w:r>
              <w:t xml:space="preserve">Available for Data Mastering</w:t>
            </w:r>
          </w:p>
        </w:tc>
        <w:tc>
          <w:tcPr>
            <w:tcW w:w="6460" w:type="dxa"/>
            <w:tcMar>
              <w:top w:w="120" w:type="dxa"/>
              <w:left w:w="180" w:type="dxa"/>
              <w:bottom w:w="120" w:type="dxa"/>
              <w:right w:w="180" w:type="dxa"/>
            </w:tcMar>
          </w:tcPr>
          <w:p>
            <w:pPr>
              <w:spacing w:after="0"/>
            </w:pPr>
            <w:r>
              <w:t xml:space="preserve">Includes the source in data-mastering activities</w:t>
            </w:r>
          </w:p>
        </w:tc>
      </w:tr>
      <w:tr>
        <w:tc>
          <w:tcPr>
            <w:tcW w:w="2900" w:type="dxa"/>
            <w:tcMar>
              <w:top w:w="120" w:type="dxa"/>
              <w:left w:w="180" w:type="dxa"/>
              <w:bottom w:w="120" w:type="dxa"/>
              <w:right w:w="180" w:type="dxa"/>
            </w:tcMar>
          </w:tcPr>
          <w:p>
            <w:pPr>
              <w:spacing w:after="0"/>
            </w:pPr>
            <w:r>
              <w:t xml:space="preserve">Cost per Terabyte / Total Capacity</w:t>
            </w:r>
          </w:p>
        </w:tc>
        <w:tc>
          <w:tcPr>
            <w:tcW w:w="6460" w:type="dxa"/>
            <w:tcMar>
              <w:top w:w="120" w:type="dxa"/>
              <w:left w:w="180" w:type="dxa"/>
              <w:bottom w:w="120" w:type="dxa"/>
              <w:right w:w="180" w:type="dxa"/>
            </w:tcMar>
          </w:tcPr>
          <w:p>
            <w:pPr>
              <w:spacing w:after="0"/>
            </w:pPr>
            <w:r>
              <w:t xml:space="preserve">Feed cost modelling so tiering savings can be quantified</w:t>
            </w:r>
          </w:p>
        </w:tc>
      </w:tr>
      <w:tr>
        <w:tc>
          <w:tcPr>
            <w:tcW w:w="2900" w:type="dxa"/>
            <w:tcMar>
              <w:top w:w="120" w:type="dxa"/>
              <w:left w:w="180" w:type="dxa"/>
              <w:bottom w:w="120" w:type="dxa"/>
              <w:right w:w="180" w:type="dxa"/>
            </w:tcMar>
          </w:tcPr>
          <w:p>
            <w:pPr>
              <w:spacing w:after="0"/>
            </w:pPr>
            <w:r>
              <w:t xml:space="preserve">Note</w:t>
            </w:r>
          </w:p>
        </w:tc>
        <w:tc>
          <w:tcPr>
            <w:tcW w:w="6460" w:type="dxa"/>
            <w:tcMar>
              <w:top w:w="120" w:type="dxa"/>
              <w:left w:w="180" w:type="dxa"/>
              <w:bottom w:w="120" w:type="dxa"/>
              <w:right w:w="180" w:type="dxa"/>
            </w:tcMar>
          </w:tcPr>
          <w:p>
            <w:pPr>
              <w:spacing w:after="0"/>
            </w:pPr>
            <w:r>
              <w:t xml:space="preserve">Free text shared with anyone who opens the data source</w:t>
            </w:r>
          </w:p>
        </w:tc>
      </w:tr>
    </w:tbl>
    <w:p>
      <w:pPr>
        <w:spacing w:after="120"/>
      </w:pPr>
    </w:p>
    <w:p>
      <w:pPr>
        <w:pBdr>
          <w:left w:val="single" w:sz="12" w:space="8" w:color="065A82"/>
        </w:pBdr>
        <w:shd w:val="clear" w:color="auto" w:fill="EEF6FA"/>
        <w:ind w:left="240" w:right="240"/>
        <w:spacing w:before="120" w:after="160"/>
      </w:pPr>
      <w:r>
        <w:rPr>
          <w:b/>
          <w:bCs/>
        </w:rPr>
        <w:t xml:space="preserve">For this lab:</w:t>
      </w:r>
      <w:r>
        <w:t xml:space="preserve"> leave all of these blank and click </w:t>
      </w:r>
      <w:r>
        <w:rPr>
          <w:b/>
          <w:bCs/>
        </w:rPr>
        <w:t xml:space="preserve">Create Data Source</w:t>
      </w:r>
      <w:r>
        <w:t xml:space="preserve">. CSCU would return here to model the savings from tiering cold compliance PDFs into archive storage.</w:t>
      </w:r>
    </w:p>
    <w:p>
      <w:pPr>
        <w:pStyle w:val="Heading1"/>
      </w:pPr>
      <w:r>
        <w:t xml:space="preserve">Verify your work</w:t>
      </w:r>
    </w:p>
    <w:p>
      <w:pPr>
        <w:spacing w:after="120"/>
      </w:pPr>
      <w:r>
        <w:t xml:space="preserve">You are done with Workshop 1 when all of the following are true:</w:t>
      </w:r>
    </w:p>
    <w:p>
      <w:pPr>
        <w:pStyle w:val="ListParagraph"/>
        <w:numPr>
          <w:ilvl w:val="0"/>
          <w:numId w:val="2"/>
        </w:numPr>
        <w:spacing w:after="60"/>
      </w:pPr>
      <w:r>
        <w:t xml:space="preserve">☐  CopperState_Core_Banking is online and a Discovery search for </w:t>
      </w:r>
      <w:r>
        <w:rPr>
          <w:rFonts w:ascii="Consolas" w:hAnsi="Consolas"/>
          <w:color w:val="0A5560"/>
          <w:sz w:val="20"/>
          <w:szCs w:val="20"/>
        </w:rPr>
        <w:t xml:space="preserve">members</w:t>
      </w:r>
      <w:r>
        <w:t xml:space="preserve"> returns the table with its columns.</w:t>
      </w:r>
    </w:p>
    <w:p>
      <w:pPr>
        <w:pStyle w:val="ListParagraph"/>
        <w:numPr>
          <w:ilvl w:val="0"/>
          <w:numId w:val="2"/>
        </w:numPr>
        <w:spacing w:after="60"/>
      </w:pPr>
      <w:r>
        <w:t xml:space="preserve">☐  All eleven </w:t>
      </w:r>
      <w:r>
        <w:rPr>
          <w:rFonts w:ascii="Consolas" w:hAnsi="Consolas"/>
          <w:color w:val="0A5560"/>
          <w:sz w:val="20"/>
          <w:szCs w:val="20"/>
        </w:rPr>
        <w:t xml:space="preserve">cscu_core</w:t>
      </w:r>
      <w:r>
        <w:t xml:space="preserve"> tables are visible in the Data Canvas.</w:t>
      </w:r>
    </w:p>
    <w:p>
      <w:pPr>
        <w:pStyle w:val="ListParagraph"/>
        <w:numPr>
          <w:ilvl w:val="0"/>
          <w:numId w:val="2"/>
        </w:numPr>
        <w:spacing w:after="60"/>
      </w:pPr>
      <w:r>
        <w:t xml:space="preserve">☐  CopperState_Documents is online and scanned, with the six document folders visible in the Data Canvas.</w:t>
      </w:r>
    </w:p>
    <w:p>
      <w:pPr>
        <w:pStyle w:val="ListParagraph"/>
        <w:numPr>
          <w:ilvl w:val="0"/>
          <w:numId w:val="2"/>
        </w:numPr>
        <w:spacing w:after="60"/>
      </w:pPr>
      <w:r>
        <w:t xml:space="preserve">☐  You can explain, in your own words, why a database is ingested by schema while files are scanned, and which engine processes each.</w:t>
      </w:r>
    </w:p>
    <w:p>
      <w:pPr>
        <w:pStyle w:val="Heading1"/>
      </w:pPr>
      <w:r>
        <w:t xml:space="preserve">Troubleshooting</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Symptom</w:t>
            </w:r>
          </w:p>
        </w:tc>
        <w:tc>
          <w:tcPr>
            <w:tcW w:w="6460" w:type="dxa"/>
            <w:shd w:val="clear" w:color="auto" w:fill="EEF6FA"/>
            <w:tcMar>
              <w:top w:w="120" w:type="dxa"/>
              <w:left w:w="180" w:type="dxa"/>
              <w:bottom w:w="120" w:type="dxa"/>
              <w:right w:w="180" w:type="dxa"/>
            </w:tcMar>
          </w:tcPr>
          <w:p>
            <w:pPr>
              <w:spacing w:after="0"/>
            </w:pPr>
            <w:r>
              <w:rPr>
                <w:b/>
                <w:bCs/>
              </w:rPr>
              <w:t xml:space="preserve">Cause and fix</w:t>
            </w:r>
          </w:p>
        </w:tc>
      </w:tr>
      <w:tr>
        <w:tc>
          <w:tcPr>
            <w:tcW w:w="2900" w:type="dxa"/>
            <w:tcMar>
              <w:top w:w="120" w:type="dxa"/>
              <w:left w:w="180" w:type="dxa"/>
              <w:bottom w:w="120" w:type="dxa"/>
              <w:right w:w="180" w:type="dxa"/>
            </w:tcMar>
          </w:tcPr>
          <w:p>
            <w:pPr>
              <w:spacing w:after="0"/>
            </w:pPr>
            <w:r>
              <w:t xml:space="preserve">Test Connection fails for the database</w:t>
            </w:r>
          </w:p>
        </w:tc>
        <w:tc>
          <w:tcPr>
            <w:tcW w:w="6460" w:type="dxa"/>
            <w:tcMar>
              <w:top w:w="120" w:type="dxa"/>
              <w:left w:w="180" w:type="dxa"/>
              <w:bottom w:w="120" w:type="dxa"/>
              <w:right w:w="180" w:type="dxa"/>
            </w:tcMar>
          </w:tcPr>
          <w:p>
            <w:pPr>
              <w:spacing w:after="0"/>
            </w:pPr>
            <w:r>
              <w:t xml:space="preserve">Host or port wrong. Use the VM IP </w:t>
            </w:r>
            <w:r>
              <w:rPr>
                <w:rFonts w:ascii="Consolas" w:hAnsi="Consolas"/>
                <w:color w:val="0A5560"/>
                <w:sz w:val="20"/>
                <w:szCs w:val="20"/>
              </w:rPr>
              <w:t xml:space="preserve">192.168.1.200</w:t>
            </w:r>
            <w:r>
              <w:t xml:space="preserve"> and port </w:t>
            </w:r>
            <w:r>
              <w:rPr>
                <w:b/>
                <w:bCs/>
              </w:rPr>
              <w:t xml:space="preserve">5433</w:t>
            </w:r>
            <w:r>
              <w:t xml:space="preserve"> — 5432 on this VM is PDC's own database, and container names don't resolve from PDC. Confirm </w:t>
            </w:r>
            <w:r>
              <w:rPr>
                <w:rFonts w:ascii="Consolas" w:hAnsi="Consolas"/>
                <w:color w:val="0A5560"/>
                <w:sz w:val="20"/>
                <w:szCs w:val="20"/>
              </w:rPr>
              <w:t xml:space="preserve">pdc_user</w:t>
            </w:r>
            <w:r>
              <w:t xml:space="preserve"> / </w:t>
            </w:r>
            <w:r>
              <w:rPr>
                <w:rFonts w:ascii="Consolas" w:hAnsi="Consolas"/>
                <w:color w:val="0A5560"/>
                <w:sz w:val="20"/>
                <w:szCs w:val="20"/>
              </w:rPr>
              <w:t xml:space="preserve">catalog123!</w:t>
            </w:r>
          </w:p>
        </w:tc>
      </w:tr>
      <w:tr>
        <w:tc>
          <w:tcPr>
            <w:tcW w:w="2900" w:type="dxa"/>
            <w:tcMar>
              <w:top w:w="120" w:type="dxa"/>
              <w:left w:w="180" w:type="dxa"/>
              <w:bottom w:w="120" w:type="dxa"/>
              <w:right w:w="180" w:type="dxa"/>
            </w:tcMar>
          </w:tcPr>
          <w:p>
            <w:pPr>
              <w:spacing w:after="0"/>
            </w:pPr>
            <w:r>
              <w:t xml:space="preserve">Test Connection fails for MinIO</w:t>
            </w:r>
          </w:p>
        </w:tc>
        <w:tc>
          <w:tcPr>
            <w:tcW w:w="6460" w:type="dxa"/>
            <w:tcMar>
              <w:top w:w="120" w:type="dxa"/>
              <w:left w:w="180" w:type="dxa"/>
              <w:bottom w:w="120" w:type="dxa"/>
              <w:right w:w="180" w:type="dxa"/>
            </w:tcMar>
          </w:tcPr>
          <w:p>
            <w:pPr>
              <w:spacing w:after="0"/>
            </w:pPr>
            <w:r>
              <w:t xml:space="preserve">Endpoint or keys wrong. Most often the Endpoint is </w:t>
            </w:r>
            <w:r>
              <w:rPr>
                <w:rFonts w:ascii="Consolas" w:hAnsi="Consolas"/>
                <w:color w:val="0A5560"/>
                <w:sz w:val="20"/>
                <w:szCs w:val="20"/>
              </w:rPr>
              <w:t xml:space="preserve">localhost</w:t>
            </w:r>
            <w:r>
              <w:t xml:space="preserve"> — from inside the PDC container that points at PDC itself; use </w:t>
            </w:r>
            <w:r>
              <w:rPr>
                <w:rFonts w:ascii="Consolas" w:hAnsi="Consolas"/>
                <w:color w:val="0A5560"/>
                <w:sz w:val="20"/>
                <w:szCs w:val="20"/>
              </w:rPr>
              <w:t xml:space="preserve">http://192.168.1.200:9000</w:t>
            </w:r>
            <w:r>
              <w:t xml:space="preserve">. An IP endpoint also forces S3 path-style; a hostname makes the SDK prepend the bucket (</w:t>
            </w:r>
            <w:r>
              <w:rPr>
                <w:rFonts w:ascii="Consolas" w:hAnsi="Consolas"/>
                <w:color w:val="0A5560"/>
                <w:sz w:val="20"/>
                <w:szCs w:val="20"/>
              </w:rPr>
              <w:t xml:space="preserve">cscu-documents.host</w:t>
            </w:r>
            <w:r>
              <w:t xml:space="preserve">) and fail</w:t>
            </w:r>
          </w:p>
        </w:tc>
      </w:tr>
      <w:tr>
        <w:tc>
          <w:tcPr>
            <w:tcW w:w="2900" w:type="dxa"/>
            <w:tcMar>
              <w:top w:w="120" w:type="dxa"/>
              <w:left w:w="180" w:type="dxa"/>
              <w:bottom w:w="120" w:type="dxa"/>
              <w:right w:w="180" w:type="dxa"/>
            </w:tcMar>
          </w:tcPr>
          <w:p>
            <w:pPr>
              <w:spacing w:after="0"/>
            </w:pPr>
            <w:r>
              <w:t xml:space="preserve">Ingest succeeds but no tables appear</w:t>
            </w:r>
          </w:p>
        </w:tc>
        <w:tc>
          <w:tcPr>
            <w:tcW w:w="6460" w:type="dxa"/>
            <w:tcMar>
              <w:top w:w="120" w:type="dxa"/>
              <w:left w:w="180" w:type="dxa"/>
              <w:bottom w:w="120" w:type="dxa"/>
              <w:right w:w="180" w:type="dxa"/>
            </w:tcMar>
          </w:tcPr>
          <w:p>
            <w:pPr>
              <w:spacing w:after="0"/>
            </w:pPr>
            <w:r>
              <w:t xml:space="preserve">The schema selection was </w:t>
            </w:r>
            <w:r>
              <w:rPr>
                <w:rFonts w:ascii="Consolas" w:hAnsi="Consolas"/>
                <w:color w:val="0A5560"/>
                <w:sz w:val="20"/>
                <w:szCs w:val="20"/>
              </w:rPr>
              <w:t xml:space="preserve">public</w:t>
            </w:r>
            <w:r>
              <w:t xml:space="preserve">, which is empty. Re-ingest and select </w:t>
            </w:r>
            <w:r>
              <w:rPr>
                <w:rFonts w:ascii="Consolas" w:hAnsi="Consolas"/>
                <w:color w:val="0A5560"/>
                <w:sz w:val="20"/>
                <w:szCs w:val="20"/>
              </w:rPr>
              <w:t xml:space="preserve">cscu_core</w:t>
            </w:r>
          </w:p>
        </w:tc>
      </w:tr>
      <w:tr>
        <w:tc>
          <w:tcPr>
            <w:tcW w:w="2900" w:type="dxa"/>
            <w:tcMar>
              <w:top w:w="120" w:type="dxa"/>
              <w:left w:w="180" w:type="dxa"/>
              <w:bottom w:w="120" w:type="dxa"/>
              <w:right w:w="180" w:type="dxa"/>
            </w:tcMar>
          </w:tcPr>
          <w:p>
            <w:pPr>
              <w:spacing w:after="0"/>
            </w:pPr>
            <w:r>
              <w:t xml:space="preserve">Scan finds no files</w:t>
            </w:r>
          </w:p>
        </w:tc>
        <w:tc>
          <w:tcPr>
            <w:tcW w:w="6460" w:type="dxa"/>
            <w:tcMar>
              <w:top w:w="120" w:type="dxa"/>
              <w:left w:w="180" w:type="dxa"/>
              <w:bottom w:w="120" w:type="dxa"/>
              <w:right w:w="180" w:type="dxa"/>
            </w:tcMar>
          </w:tcPr>
          <w:p>
            <w:pPr>
              <w:spacing w:after="0"/>
            </w:pPr>
            <w:r>
              <w:t xml:space="preserve">The bucket loaded empty. Re-run the lab loader (</w:t>
            </w:r>
            <w:r>
              <w:rPr>
                <w:rFonts w:ascii="Consolas" w:hAnsi="Consolas"/>
                <w:color w:val="0A5560"/>
                <w:sz w:val="20"/>
                <w:szCs w:val="20"/>
              </w:rPr>
              <w:t xml:space="preserve">make load SCENARIO=CSCU</w:t>
            </w:r>
            <w:r>
              <w:t xml:space="preserve">) — it verifies 18 objects</w:t>
            </w:r>
          </w:p>
        </w:tc>
      </w:tr>
      <w:tr>
        <w:tc>
          <w:tcPr>
            <w:tcW w:w="2900" w:type="dxa"/>
            <w:tcMar>
              <w:top w:w="120" w:type="dxa"/>
              <w:left w:w="180" w:type="dxa"/>
              <w:bottom w:w="120" w:type="dxa"/>
              <w:right w:w="180" w:type="dxa"/>
            </w:tcMar>
          </w:tcPr>
          <w:p>
            <w:pPr>
              <w:spacing w:after="0"/>
            </w:pPr>
            <w:r>
              <w:t xml:space="preserve">Source stays OFFLINE</w:t>
            </w:r>
          </w:p>
        </w:tc>
        <w:tc>
          <w:tcPr>
            <w:tcW w:w="6460" w:type="dxa"/>
            <w:tcMar>
              <w:top w:w="120" w:type="dxa"/>
              <w:left w:w="180" w:type="dxa"/>
              <w:bottom w:w="120" w:type="dxa"/>
              <w:right w:w="180" w:type="dxa"/>
            </w:tcMar>
          </w:tcPr>
          <w:p>
            <w:pPr>
              <w:spacing w:after="0"/>
            </w:pPr>
            <w:r>
              <w:t xml:space="preserve">Expected until Test Connection succeeds. Fix the details and test again</w:t>
            </w:r>
          </w:p>
        </w:tc>
      </w:tr>
      <w:tr>
        <w:tc>
          <w:tcPr>
            <w:tcW w:w="2900" w:type="dxa"/>
            <w:tcMar>
              <w:top w:w="120" w:type="dxa"/>
              <w:left w:w="180" w:type="dxa"/>
              <w:bottom w:w="120" w:type="dxa"/>
              <w:right w:w="180" w:type="dxa"/>
            </w:tcMar>
          </w:tcPr>
          <w:p>
            <w:pPr>
              <w:spacing w:after="0"/>
            </w:pPr>
            <w:r>
              <w:t xml:space="preserve">Bulk loader: Get token fails (401)</w:t>
            </w:r>
          </w:p>
        </w:tc>
        <w:tc>
          <w:tcPr>
            <w:tcW w:w="6460" w:type="dxa"/>
            <w:tcMar>
              <w:top w:w="120" w:type="dxa"/>
              <w:left w:w="180" w:type="dxa"/>
              <w:bottom w:w="120" w:type="dxa"/>
              <w:right w:w="180" w:type="dxa"/>
            </w:tcMar>
          </w:tcPr>
          <w:p>
            <w:pPr>
              <w:spacing w:after="0"/>
            </w:pPr>
            <w:r>
              <w:t xml:space="preserve">Wrong credentials, or the account lacks rights — use </w:t>
            </w:r>
            <w:r>
              <w:rPr>
                <w:rFonts w:ascii="Consolas" w:hAnsi="Consolas"/>
                <w:color w:val="0A5560"/>
                <w:sz w:val="20"/>
                <w:szCs w:val="20"/>
              </w:rPr>
              <w:t xml:space="preserve">omar.haddad</w:t>
            </w:r>
            <w:r>
              <w:t xml:space="preserve"> or another Data Storage Administrator / admin. Confirm Base URL is the server root (</w:t>
            </w:r>
            <w:r>
              <w:rPr>
                <w:rFonts w:ascii="Consolas" w:hAnsi="Consolas"/>
                <w:color w:val="0A5560"/>
                <w:sz w:val="20"/>
                <w:szCs w:val="20"/>
              </w:rPr>
              <w:t xml:space="preserve">https://pentaho.io</w:t>
            </w:r>
            <w:r>
              <w:t xml:space="preserve">) with Verify TLS off</w:t>
            </w:r>
          </w:p>
        </w:tc>
      </w:tr>
      <w:tr>
        <w:tc>
          <w:tcPr>
            <w:tcW w:w="2900" w:type="dxa"/>
            <w:tcMar>
              <w:top w:w="120" w:type="dxa"/>
              <w:left w:w="180" w:type="dxa"/>
              <w:bottom w:w="120" w:type="dxa"/>
              <w:right w:w="180" w:type="dxa"/>
            </w:tcMar>
          </w:tcPr>
          <w:p>
            <w:pPr>
              <w:spacing w:after="0"/>
            </w:pPr>
            <w:r>
              <w:t xml:space="preserve">Bulk loader: create fails 400 on the object store</w:t>
            </w:r>
          </w:p>
        </w:tc>
        <w:tc>
          <w:tcPr>
            <w:tcW w:w="6460" w:type="dxa"/>
            <w:tcMar>
              <w:top w:w="120" w:type="dxa"/>
              <w:left w:w="180" w:type="dxa"/>
              <w:bottom w:w="120" w:type="dxa"/>
              <w:right w:w="180" w:type="dxa"/>
            </w:tcMar>
          </w:tcPr>
          <w:p>
            <w:pPr>
              <w:spacing w:after="0"/>
            </w:pPr>
            <w:r>
              <w:rPr>
                <w:rFonts w:ascii="Consolas" w:hAnsi="Consolas"/>
                <w:color w:val="0A5560"/>
                <w:sz w:val="20"/>
                <w:szCs w:val="20"/>
              </w:rPr>
              <w:t xml:space="preserve">databaseType</w:t>
            </w:r>
            <w:r>
              <w:t xml:space="preserve"> must be the literal </w:t>
            </w:r>
            <w:r>
              <w:rPr>
                <w:rFonts w:ascii="Consolas" w:hAnsi="Consolas"/>
                <w:color w:val="0A5560"/>
                <w:sz w:val="20"/>
                <w:szCs w:val="20"/>
              </w:rPr>
              <w:t xml:space="preserve">AWS</w:t>
            </w:r>
            <w:r>
              <w:t xml:space="preserve"> for S3-compatible stores — the shipped CSV already sets it; check the dry-run body if you edited the CSV</w:t>
            </w:r>
          </w:p>
        </w:tc>
      </w:tr>
      <w:tr>
        <w:tc>
          <w:tcPr>
            <w:tcW w:w="2900" w:type="dxa"/>
            <w:tcMar>
              <w:top w:w="120" w:type="dxa"/>
              <w:left w:w="180" w:type="dxa"/>
              <w:bottom w:w="120" w:type="dxa"/>
              <w:right w:w="180" w:type="dxa"/>
            </w:tcMar>
          </w:tcPr>
          <w:p>
            <w:pPr>
              <w:spacing w:after="0"/>
            </w:pPr>
            <w:r>
              <w:t xml:space="preserve">Bulk loader: database ingest OK but 0 tables</w:t>
            </w:r>
          </w:p>
        </w:tc>
        <w:tc>
          <w:tcPr>
            <w:tcW w:w="6460" w:type="dxa"/>
            <w:tcMar>
              <w:top w:w="120" w:type="dxa"/>
              <w:left w:w="180" w:type="dxa"/>
              <w:bottom w:w="120" w:type="dxa"/>
              <w:right w:w="180" w:type="dxa"/>
            </w:tcMar>
          </w:tcPr>
          <w:p>
            <w:pPr>
              <w:spacing w:after="0"/>
            </w:pPr>
            <w:r>
              <w:rPr>
                <w:rFonts w:ascii="Consolas" w:hAnsi="Consolas"/>
                <w:color w:val="0A5560"/>
                <w:sz w:val="20"/>
                <w:szCs w:val="20"/>
              </w:rPr>
              <w:t xml:space="preserve">schemaNames</w:t>
            </w:r>
            <w:r>
              <w:t xml:space="preserve"> points at an empty schema. The CSV sets </w:t>
            </w:r>
            <w:r>
              <w:rPr>
                <w:rFonts w:ascii="Consolas" w:hAnsi="Consolas"/>
                <w:color w:val="0A5560"/>
                <w:sz w:val="20"/>
                <w:szCs w:val="20"/>
              </w:rPr>
              <w:t xml:space="preserve">cscu_core</w:t>
            </w:r>
            <w:r>
              <w:t xml:space="preserve">; if edited, fix and re-run (the loader skips an existing source's create and re-runs the jobs)</w:t>
            </w:r>
          </w:p>
        </w:tc>
      </w:tr>
    </w:tbl>
    <w:p>
      <w:pPr>
        <w:spacing w:after="120"/>
      </w:pPr>
    </w:p>
    <w:p>
      <w:pPr>
        <w:pStyle w:val="Heading1"/>
      </w:pPr>
      <w:r>
        <w:t xml:space="preserve">Why it matters &amp; discussion</w:t>
      </w:r>
    </w:p>
    <w:p>
      <w:pPr>
        <w:spacing w:after="120"/>
      </w:pPr>
      <w:r>
        <w:t xml:space="preserve">PDC encrypts connection credentials and refuses to bring a source online until Test Connection succeeds. Discuss with your group: why are both of those behaviours essential for a regulated credit union that holds member PII and must demonstrate control of its data? Relate your answer to CSCU's obligations under GLBA safeguards and BSA record-keeping — and to the question an examiner will actually ask: </w:t>
      </w:r>
      <w:r>
        <w:rPr>
          <w:i/>
          <w:iCs/>
        </w:rPr>
        <w:t xml:space="preserve">"show me every system that holds member data."</w:t>
      </w:r>
    </w:p>
    <w:p>
      <w:pPr>
        <w:pStyle w:val="Heading1"/>
      </w:pPr>
      <w:r>
        <w:t xml:space="preserve">What's next</w:t>
      </w:r>
    </w:p>
    <w:p>
      <w:pPr>
        <w:spacing w:after="120"/>
      </w:pPr>
      <w:r>
        <w:t xml:space="preserve">With both sources connected, Workshop 2 reads what the catalog learned about them — the structure and metadata of the tables, and the document properties of the files. You will see that whether an asset is a core-banking table or a SAR filing, PDC describes it through the same layers of metadata.</w:t>
      </w:r>
    </w:p>
    <w:p>
      <w:pPr>
        <w:spacing w:after="120"/>
      </w:pPr>
      <w:r>
        <w:t xml:space="preserve">All Copper State Credit Union data is fictional and generated for training.</w:t>
      </w:r>
    </w:p>
    <w:sectPr w:rsidR="008D3CF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9D4B" w14:textId="77777777" w:rsidR="006857E2" w:rsidRDefault="006857E2">
      <w:r>
        <w:separator/>
      </w:r>
    </w:p>
  </w:endnote>
  <w:endnote w:type="continuationSeparator" w:id="0">
    <w:p w14:paraId="7FA6F3A1" w14:textId="77777777" w:rsidR="006857E2" w:rsidRDefault="0068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279" w14:textId="77777777" w:rsidR="008D3CFE" w:rsidRDefault="00605B5A">
    <w:pPr>
      <w:jc w:val="center"/>
    </w:pPr>
    <w:r>
      <w:rPr>
        <w:color w:val="5B7782"/>
        <w:sz w:val="16"/>
        <w:szCs w:val="16"/>
      </w:rPr>
      <w:t xml:space="preserve">Copper State Credit Union </w:t>
    </w:r>
    <w:proofErr w:type="gramStart"/>
    <w:r>
      <w:rPr>
        <w:color w:val="5B7782"/>
        <w:sz w:val="16"/>
        <w:szCs w:val="16"/>
      </w:rPr>
      <w:t>·</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221817">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70F8" w14:textId="77777777" w:rsidR="006857E2" w:rsidRDefault="006857E2">
      <w:r>
        <w:separator/>
      </w:r>
    </w:p>
  </w:footnote>
  <w:footnote w:type="continuationSeparator" w:id="0">
    <w:p w14:paraId="333FA445" w14:textId="77777777" w:rsidR="006857E2" w:rsidRDefault="00685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8CD8" w14:textId="77777777" w:rsidR="008D3CFE" w:rsidRDefault="00605B5A">
    <w:pPr>
      <w:pBdr>
        <w:bottom w:val="single" w:sz="4" w:space="4" w:color="C9DEE8"/>
      </w:pBdr>
      <w:jc w:val="right"/>
    </w:pPr>
    <w:r>
      <w:rPr>
        <w:color w:val="5B7782"/>
        <w:sz w:val="16"/>
        <w:szCs w:val="16"/>
      </w:rPr>
      <w:t xml:space="preserve">Pentaho Data </w:t>
    </w:r>
    <w:proofErr w:type="gramStart"/>
    <w:r w:rsidR="00667F6B">
      <w:rPr>
        <w:color w:val="5B7782"/>
        <w:sz w:val="16"/>
        <w:szCs w:val="16"/>
      </w:rPr>
      <w:t>Catalog</w:t>
    </w:r>
    <w:r>
      <w:rPr>
        <w:color w:val="5B7782"/>
        <w:sz w:val="16"/>
        <w:szCs w:val="16"/>
      </w:rPr>
      <w:t xml:space="preserve">  ·</w:t>
    </w:r>
    <w:proofErr w:type="gramEnd"/>
    <w:r>
      <w:rPr>
        <w:color w:val="5B7782"/>
        <w:sz w:val="16"/>
        <w:szCs w:val="16"/>
      </w:rPr>
      <w:t xml:space="preserve">  Workshop 1: Connect the Data Sources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E2"/>
    <w:multiLevelType w:val="hybridMultilevel"/>
    <w:tmpl w:val="A5FC58DC"/>
    <w:lvl w:ilvl="0" w:tplc="8D1CCBB0">
      <w:start w:val="1"/>
      <w:numFmt w:val="decimal"/>
      <w:lvlText w:val="%1."/>
      <w:lvlJc w:val="left"/>
      <w:pPr>
        <w:ind w:left="600" w:hanging="320"/>
      </w:pPr>
    </w:lvl>
    <w:lvl w:ilvl="1" w:tplc="AD4CB1E8">
      <w:numFmt w:val="decimal"/>
      <w:lvlText w:val=""/>
      <w:lvlJc w:val="left"/>
    </w:lvl>
    <w:lvl w:ilvl="2" w:tplc="B0A409C2">
      <w:numFmt w:val="decimal"/>
      <w:lvlText w:val=""/>
      <w:lvlJc w:val="left"/>
    </w:lvl>
    <w:lvl w:ilvl="3" w:tplc="D87CBDF2">
      <w:numFmt w:val="decimal"/>
      <w:lvlText w:val=""/>
      <w:lvlJc w:val="left"/>
    </w:lvl>
    <w:lvl w:ilvl="4" w:tplc="83781EE6">
      <w:numFmt w:val="decimal"/>
      <w:lvlText w:val=""/>
      <w:lvlJc w:val="left"/>
    </w:lvl>
    <w:lvl w:ilvl="5" w:tplc="BCBAE2AC">
      <w:numFmt w:val="decimal"/>
      <w:lvlText w:val=""/>
      <w:lvlJc w:val="left"/>
    </w:lvl>
    <w:lvl w:ilvl="6" w:tplc="5BE6F98E">
      <w:numFmt w:val="decimal"/>
      <w:lvlText w:val=""/>
      <w:lvlJc w:val="left"/>
    </w:lvl>
    <w:lvl w:ilvl="7" w:tplc="76143B8A">
      <w:numFmt w:val="decimal"/>
      <w:lvlText w:val=""/>
      <w:lvlJc w:val="left"/>
    </w:lvl>
    <w:lvl w:ilvl="8" w:tplc="7D14F306">
      <w:numFmt w:val="decimal"/>
      <w:lvlText w:val=""/>
      <w:lvlJc w:val="left"/>
    </w:lvl>
  </w:abstractNum>
  <w:abstractNum w:abstractNumId="1" w15:restartNumberingAfterBreak="0">
    <w:nsid w:val="0A4A7AD2"/>
    <w:multiLevelType w:val="hybridMultilevel"/>
    <w:tmpl w:val="3468E5A8"/>
    <w:lvl w:ilvl="0" w:tplc="24A08468">
      <w:start w:val="1"/>
      <w:numFmt w:val="decimal"/>
      <w:lvlText w:val="%1."/>
      <w:lvlJc w:val="left"/>
      <w:pPr>
        <w:ind w:left="600" w:hanging="320"/>
      </w:pPr>
    </w:lvl>
    <w:lvl w:ilvl="1" w:tplc="0D76DC92">
      <w:numFmt w:val="decimal"/>
      <w:lvlText w:val=""/>
      <w:lvlJc w:val="left"/>
    </w:lvl>
    <w:lvl w:ilvl="2" w:tplc="85406DCA">
      <w:numFmt w:val="decimal"/>
      <w:lvlText w:val=""/>
      <w:lvlJc w:val="left"/>
    </w:lvl>
    <w:lvl w:ilvl="3" w:tplc="38EABBB8">
      <w:numFmt w:val="decimal"/>
      <w:lvlText w:val=""/>
      <w:lvlJc w:val="left"/>
    </w:lvl>
    <w:lvl w:ilvl="4" w:tplc="F3A00AF0">
      <w:numFmt w:val="decimal"/>
      <w:lvlText w:val=""/>
      <w:lvlJc w:val="left"/>
    </w:lvl>
    <w:lvl w:ilvl="5" w:tplc="E548B594">
      <w:numFmt w:val="decimal"/>
      <w:lvlText w:val=""/>
      <w:lvlJc w:val="left"/>
    </w:lvl>
    <w:lvl w:ilvl="6" w:tplc="94D2C1F6">
      <w:numFmt w:val="decimal"/>
      <w:lvlText w:val=""/>
      <w:lvlJc w:val="left"/>
    </w:lvl>
    <w:lvl w:ilvl="7" w:tplc="94F60E50">
      <w:numFmt w:val="decimal"/>
      <w:lvlText w:val=""/>
      <w:lvlJc w:val="left"/>
    </w:lvl>
    <w:lvl w:ilvl="8" w:tplc="7B201A58">
      <w:numFmt w:val="decimal"/>
      <w:lvlText w:val=""/>
      <w:lvlJc w:val="left"/>
    </w:lvl>
  </w:abstractNum>
  <w:abstractNum w:abstractNumId="2" w15:restartNumberingAfterBreak="0">
    <w:nsid w:val="120A3742"/>
    <w:multiLevelType w:val="hybridMultilevel"/>
    <w:tmpl w:val="3B0E1704"/>
    <w:lvl w:ilvl="0" w:tplc="5BF8B6E0">
      <w:start w:val="1"/>
      <w:numFmt w:val="decimal"/>
      <w:lvlText w:val="%1."/>
      <w:lvlJc w:val="left"/>
      <w:pPr>
        <w:ind w:left="600" w:hanging="320"/>
      </w:pPr>
    </w:lvl>
    <w:lvl w:ilvl="1" w:tplc="68469B40">
      <w:numFmt w:val="decimal"/>
      <w:lvlText w:val=""/>
      <w:lvlJc w:val="left"/>
    </w:lvl>
    <w:lvl w:ilvl="2" w:tplc="4F0A89D8">
      <w:numFmt w:val="decimal"/>
      <w:lvlText w:val=""/>
      <w:lvlJc w:val="left"/>
    </w:lvl>
    <w:lvl w:ilvl="3" w:tplc="91FCE5FA">
      <w:numFmt w:val="decimal"/>
      <w:lvlText w:val=""/>
      <w:lvlJc w:val="left"/>
    </w:lvl>
    <w:lvl w:ilvl="4" w:tplc="5C9410BC">
      <w:numFmt w:val="decimal"/>
      <w:lvlText w:val=""/>
      <w:lvlJc w:val="left"/>
    </w:lvl>
    <w:lvl w:ilvl="5" w:tplc="7AC077BE">
      <w:numFmt w:val="decimal"/>
      <w:lvlText w:val=""/>
      <w:lvlJc w:val="left"/>
    </w:lvl>
    <w:lvl w:ilvl="6" w:tplc="51E8A040">
      <w:numFmt w:val="decimal"/>
      <w:lvlText w:val=""/>
      <w:lvlJc w:val="left"/>
    </w:lvl>
    <w:lvl w:ilvl="7" w:tplc="40B86658">
      <w:numFmt w:val="decimal"/>
      <w:lvlText w:val=""/>
      <w:lvlJc w:val="left"/>
    </w:lvl>
    <w:lvl w:ilvl="8" w:tplc="C3E83490">
      <w:numFmt w:val="decimal"/>
      <w:lvlText w:val=""/>
      <w:lvlJc w:val="left"/>
    </w:lvl>
  </w:abstractNum>
  <w:abstractNum w:abstractNumId="3" w15:restartNumberingAfterBreak="0">
    <w:nsid w:val="148F5DCE"/>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B10B4B"/>
    <w:multiLevelType w:val="hybridMultilevel"/>
    <w:tmpl w:val="F8D6D102"/>
    <w:lvl w:ilvl="0" w:tplc="CAA0FDDC">
      <w:start w:val="1"/>
      <w:numFmt w:val="decimal"/>
      <w:lvlText w:val="%1."/>
      <w:lvlJc w:val="left"/>
      <w:pPr>
        <w:ind w:left="600" w:hanging="320"/>
      </w:pPr>
    </w:lvl>
    <w:lvl w:ilvl="1" w:tplc="97703E68">
      <w:numFmt w:val="decimal"/>
      <w:lvlText w:val=""/>
      <w:lvlJc w:val="left"/>
    </w:lvl>
    <w:lvl w:ilvl="2" w:tplc="980C95CE">
      <w:numFmt w:val="decimal"/>
      <w:lvlText w:val=""/>
      <w:lvlJc w:val="left"/>
    </w:lvl>
    <w:lvl w:ilvl="3" w:tplc="974A7B44">
      <w:numFmt w:val="decimal"/>
      <w:lvlText w:val=""/>
      <w:lvlJc w:val="left"/>
    </w:lvl>
    <w:lvl w:ilvl="4" w:tplc="4E52212E">
      <w:numFmt w:val="decimal"/>
      <w:lvlText w:val=""/>
      <w:lvlJc w:val="left"/>
    </w:lvl>
    <w:lvl w:ilvl="5" w:tplc="39E0C3CC">
      <w:numFmt w:val="decimal"/>
      <w:lvlText w:val=""/>
      <w:lvlJc w:val="left"/>
    </w:lvl>
    <w:lvl w:ilvl="6" w:tplc="DC1C97E8">
      <w:numFmt w:val="decimal"/>
      <w:lvlText w:val=""/>
      <w:lvlJc w:val="left"/>
    </w:lvl>
    <w:lvl w:ilvl="7" w:tplc="1548B33A">
      <w:numFmt w:val="decimal"/>
      <w:lvlText w:val=""/>
      <w:lvlJc w:val="left"/>
    </w:lvl>
    <w:lvl w:ilvl="8" w:tplc="2B00019E">
      <w:numFmt w:val="decimal"/>
      <w:lvlText w:val=""/>
      <w:lvlJc w:val="left"/>
    </w:lvl>
  </w:abstractNum>
  <w:abstractNum w:abstractNumId="5" w15:restartNumberingAfterBreak="0">
    <w:nsid w:val="15F87EFA"/>
    <w:multiLevelType w:val="hybridMultilevel"/>
    <w:tmpl w:val="03541022"/>
    <w:lvl w:ilvl="0" w:tplc="5CD4B2F0">
      <w:start w:val="1"/>
      <w:numFmt w:val="decimal"/>
      <w:lvlText w:val="%1."/>
      <w:lvlJc w:val="left"/>
      <w:pPr>
        <w:ind w:left="600" w:hanging="320"/>
      </w:pPr>
    </w:lvl>
    <w:lvl w:ilvl="1" w:tplc="12C6B930">
      <w:numFmt w:val="decimal"/>
      <w:lvlText w:val=""/>
      <w:lvlJc w:val="left"/>
    </w:lvl>
    <w:lvl w:ilvl="2" w:tplc="EFDC5BD4">
      <w:numFmt w:val="decimal"/>
      <w:lvlText w:val=""/>
      <w:lvlJc w:val="left"/>
    </w:lvl>
    <w:lvl w:ilvl="3" w:tplc="7026F3EE">
      <w:numFmt w:val="decimal"/>
      <w:lvlText w:val=""/>
      <w:lvlJc w:val="left"/>
    </w:lvl>
    <w:lvl w:ilvl="4" w:tplc="77A44C9A">
      <w:numFmt w:val="decimal"/>
      <w:lvlText w:val=""/>
      <w:lvlJc w:val="left"/>
    </w:lvl>
    <w:lvl w:ilvl="5" w:tplc="4940A824">
      <w:numFmt w:val="decimal"/>
      <w:lvlText w:val=""/>
      <w:lvlJc w:val="left"/>
    </w:lvl>
    <w:lvl w:ilvl="6" w:tplc="E5E041F6">
      <w:numFmt w:val="decimal"/>
      <w:lvlText w:val=""/>
      <w:lvlJc w:val="left"/>
    </w:lvl>
    <w:lvl w:ilvl="7" w:tplc="EAFA1556">
      <w:numFmt w:val="decimal"/>
      <w:lvlText w:val=""/>
      <w:lvlJc w:val="left"/>
    </w:lvl>
    <w:lvl w:ilvl="8" w:tplc="E6D64258">
      <w:numFmt w:val="decimal"/>
      <w:lvlText w:val=""/>
      <w:lvlJc w:val="left"/>
    </w:lvl>
  </w:abstractNum>
  <w:abstractNum w:abstractNumId="6" w15:restartNumberingAfterBreak="0">
    <w:nsid w:val="161F6451"/>
    <w:multiLevelType w:val="hybridMultilevel"/>
    <w:tmpl w:val="97BEDC5E"/>
    <w:lvl w:ilvl="0" w:tplc="B21C7772">
      <w:start w:val="1"/>
      <w:numFmt w:val="decimal"/>
      <w:lvlText w:val="%1."/>
      <w:lvlJc w:val="left"/>
      <w:pPr>
        <w:ind w:left="600" w:hanging="320"/>
      </w:pPr>
    </w:lvl>
    <w:lvl w:ilvl="1" w:tplc="CA9AF44C">
      <w:numFmt w:val="decimal"/>
      <w:lvlText w:val=""/>
      <w:lvlJc w:val="left"/>
    </w:lvl>
    <w:lvl w:ilvl="2" w:tplc="8F4841C0">
      <w:numFmt w:val="decimal"/>
      <w:lvlText w:val=""/>
      <w:lvlJc w:val="left"/>
    </w:lvl>
    <w:lvl w:ilvl="3" w:tplc="C742D7AE">
      <w:numFmt w:val="decimal"/>
      <w:lvlText w:val=""/>
      <w:lvlJc w:val="left"/>
    </w:lvl>
    <w:lvl w:ilvl="4" w:tplc="C4047D1E">
      <w:numFmt w:val="decimal"/>
      <w:lvlText w:val=""/>
      <w:lvlJc w:val="left"/>
    </w:lvl>
    <w:lvl w:ilvl="5" w:tplc="5C2EE4EE">
      <w:numFmt w:val="decimal"/>
      <w:lvlText w:val=""/>
      <w:lvlJc w:val="left"/>
    </w:lvl>
    <w:lvl w:ilvl="6" w:tplc="21CCDF4A">
      <w:numFmt w:val="decimal"/>
      <w:lvlText w:val=""/>
      <w:lvlJc w:val="left"/>
    </w:lvl>
    <w:lvl w:ilvl="7" w:tplc="9F5AE56A">
      <w:numFmt w:val="decimal"/>
      <w:lvlText w:val=""/>
      <w:lvlJc w:val="left"/>
    </w:lvl>
    <w:lvl w:ilvl="8" w:tplc="B07C2E7E">
      <w:numFmt w:val="decimal"/>
      <w:lvlText w:val=""/>
      <w:lvlJc w:val="left"/>
    </w:lvl>
  </w:abstractNum>
  <w:abstractNum w:abstractNumId="7" w15:restartNumberingAfterBreak="0">
    <w:nsid w:val="2BB278D5"/>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E8B36E2"/>
    <w:multiLevelType w:val="hybridMultilevel"/>
    <w:tmpl w:val="6DF84CB2"/>
    <w:lvl w:ilvl="0" w:tplc="ACB04CDE">
      <w:start w:val="1"/>
      <w:numFmt w:val="decimal"/>
      <w:lvlText w:val="%1."/>
      <w:lvlJc w:val="left"/>
      <w:pPr>
        <w:ind w:left="600" w:hanging="320"/>
      </w:pPr>
    </w:lvl>
    <w:lvl w:ilvl="1" w:tplc="47C4B7CA">
      <w:numFmt w:val="decimal"/>
      <w:lvlText w:val=""/>
      <w:lvlJc w:val="left"/>
    </w:lvl>
    <w:lvl w:ilvl="2" w:tplc="5664B44E">
      <w:numFmt w:val="decimal"/>
      <w:lvlText w:val=""/>
      <w:lvlJc w:val="left"/>
    </w:lvl>
    <w:lvl w:ilvl="3" w:tplc="987C65B6">
      <w:numFmt w:val="decimal"/>
      <w:lvlText w:val=""/>
      <w:lvlJc w:val="left"/>
    </w:lvl>
    <w:lvl w:ilvl="4" w:tplc="631A5532">
      <w:numFmt w:val="decimal"/>
      <w:lvlText w:val=""/>
      <w:lvlJc w:val="left"/>
    </w:lvl>
    <w:lvl w:ilvl="5" w:tplc="C8F4D6FE">
      <w:numFmt w:val="decimal"/>
      <w:lvlText w:val=""/>
      <w:lvlJc w:val="left"/>
    </w:lvl>
    <w:lvl w:ilvl="6" w:tplc="7DC8FD6A">
      <w:numFmt w:val="decimal"/>
      <w:lvlText w:val=""/>
      <w:lvlJc w:val="left"/>
    </w:lvl>
    <w:lvl w:ilvl="7" w:tplc="7D0CB32E">
      <w:numFmt w:val="decimal"/>
      <w:lvlText w:val=""/>
      <w:lvlJc w:val="left"/>
    </w:lvl>
    <w:lvl w:ilvl="8" w:tplc="A04603F0">
      <w:numFmt w:val="decimal"/>
      <w:lvlText w:val=""/>
      <w:lvlJc w:val="left"/>
    </w:lvl>
  </w:abstractNum>
  <w:abstractNum w:abstractNumId="9" w15:restartNumberingAfterBreak="0">
    <w:nsid w:val="31525ED0"/>
    <w:multiLevelType w:val="hybridMultilevel"/>
    <w:tmpl w:val="1778C2AA"/>
    <w:lvl w:ilvl="0" w:tplc="94CE0B4C">
      <w:start w:val="1"/>
      <w:numFmt w:val="decimal"/>
      <w:lvlText w:val="%1."/>
      <w:lvlJc w:val="left"/>
      <w:pPr>
        <w:ind w:left="600" w:hanging="320"/>
      </w:pPr>
    </w:lvl>
    <w:lvl w:ilvl="1" w:tplc="9EDA9A72">
      <w:numFmt w:val="decimal"/>
      <w:lvlText w:val=""/>
      <w:lvlJc w:val="left"/>
    </w:lvl>
    <w:lvl w:ilvl="2" w:tplc="6C50B580">
      <w:numFmt w:val="decimal"/>
      <w:lvlText w:val=""/>
      <w:lvlJc w:val="left"/>
    </w:lvl>
    <w:lvl w:ilvl="3" w:tplc="9DF067C4">
      <w:numFmt w:val="decimal"/>
      <w:lvlText w:val=""/>
      <w:lvlJc w:val="left"/>
    </w:lvl>
    <w:lvl w:ilvl="4" w:tplc="4C8E569C">
      <w:numFmt w:val="decimal"/>
      <w:lvlText w:val=""/>
      <w:lvlJc w:val="left"/>
    </w:lvl>
    <w:lvl w:ilvl="5" w:tplc="36D27080">
      <w:numFmt w:val="decimal"/>
      <w:lvlText w:val=""/>
      <w:lvlJc w:val="left"/>
    </w:lvl>
    <w:lvl w:ilvl="6" w:tplc="65DC4752">
      <w:numFmt w:val="decimal"/>
      <w:lvlText w:val=""/>
      <w:lvlJc w:val="left"/>
    </w:lvl>
    <w:lvl w:ilvl="7" w:tplc="6C986E6C">
      <w:numFmt w:val="decimal"/>
      <w:lvlText w:val=""/>
      <w:lvlJc w:val="left"/>
    </w:lvl>
    <w:lvl w:ilvl="8" w:tplc="7FBCC4FA">
      <w:numFmt w:val="decimal"/>
      <w:lvlText w:val=""/>
      <w:lvlJc w:val="left"/>
    </w:lvl>
  </w:abstractNum>
  <w:abstractNum w:abstractNumId="10" w15:restartNumberingAfterBreak="0">
    <w:nsid w:val="33B725A6"/>
    <w:multiLevelType w:val="hybridMultilevel"/>
    <w:tmpl w:val="1A86E846"/>
    <w:lvl w:ilvl="0" w:tplc="89703176">
      <w:start w:val="1"/>
      <w:numFmt w:val="decimal"/>
      <w:lvlText w:val="%1."/>
      <w:lvlJc w:val="left"/>
      <w:pPr>
        <w:ind w:left="600" w:hanging="320"/>
      </w:pPr>
    </w:lvl>
    <w:lvl w:ilvl="1" w:tplc="F850D208">
      <w:numFmt w:val="decimal"/>
      <w:lvlText w:val=""/>
      <w:lvlJc w:val="left"/>
    </w:lvl>
    <w:lvl w:ilvl="2" w:tplc="2D24418C">
      <w:numFmt w:val="decimal"/>
      <w:lvlText w:val=""/>
      <w:lvlJc w:val="left"/>
    </w:lvl>
    <w:lvl w:ilvl="3" w:tplc="120E0CEC">
      <w:numFmt w:val="decimal"/>
      <w:lvlText w:val=""/>
      <w:lvlJc w:val="left"/>
    </w:lvl>
    <w:lvl w:ilvl="4" w:tplc="36B63542">
      <w:numFmt w:val="decimal"/>
      <w:lvlText w:val=""/>
      <w:lvlJc w:val="left"/>
    </w:lvl>
    <w:lvl w:ilvl="5" w:tplc="968873E8">
      <w:numFmt w:val="decimal"/>
      <w:lvlText w:val=""/>
      <w:lvlJc w:val="left"/>
    </w:lvl>
    <w:lvl w:ilvl="6" w:tplc="2DEE5400">
      <w:numFmt w:val="decimal"/>
      <w:lvlText w:val=""/>
      <w:lvlJc w:val="left"/>
    </w:lvl>
    <w:lvl w:ilvl="7" w:tplc="E376ABB0">
      <w:numFmt w:val="decimal"/>
      <w:lvlText w:val=""/>
      <w:lvlJc w:val="left"/>
    </w:lvl>
    <w:lvl w:ilvl="8" w:tplc="33A47D74">
      <w:numFmt w:val="decimal"/>
      <w:lvlText w:val=""/>
      <w:lvlJc w:val="left"/>
    </w:lvl>
  </w:abstractNum>
  <w:abstractNum w:abstractNumId="11" w15:restartNumberingAfterBreak="0">
    <w:nsid w:val="37FD14D4"/>
    <w:multiLevelType w:val="hybridMultilevel"/>
    <w:tmpl w:val="84647266"/>
    <w:lvl w:ilvl="0" w:tplc="304431B0">
      <w:start w:val="1"/>
      <w:numFmt w:val="decimal"/>
      <w:lvlText w:val="%1."/>
      <w:lvlJc w:val="left"/>
      <w:pPr>
        <w:ind w:left="600" w:hanging="320"/>
      </w:pPr>
    </w:lvl>
    <w:lvl w:ilvl="1" w:tplc="AAB0A490">
      <w:numFmt w:val="decimal"/>
      <w:lvlText w:val=""/>
      <w:lvlJc w:val="left"/>
    </w:lvl>
    <w:lvl w:ilvl="2" w:tplc="A47A6B9C">
      <w:numFmt w:val="decimal"/>
      <w:lvlText w:val=""/>
      <w:lvlJc w:val="left"/>
    </w:lvl>
    <w:lvl w:ilvl="3" w:tplc="AFBA0FFA">
      <w:numFmt w:val="decimal"/>
      <w:lvlText w:val=""/>
      <w:lvlJc w:val="left"/>
    </w:lvl>
    <w:lvl w:ilvl="4" w:tplc="44CCB1B2">
      <w:numFmt w:val="decimal"/>
      <w:lvlText w:val=""/>
      <w:lvlJc w:val="left"/>
    </w:lvl>
    <w:lvl w:ilvl="5" w:tplc="832237CE">
      <w:numFmt w:val="decimal"/>
      <w:lvlText w:val=""/>
      <w:lvlJc w:val="left"/>
    </w:lvl>
    <w:lvl w:ilvl="6" w:tplc="4C7CA34E">
      <w:numFmt w:val="decimal"/>
      <w:lvlText w:val=""/>
      <w:lvlJc w:val="left"/>
    </w:lvl>
    <w:lvl w:ilvl="7" w:tplc="50E620B6">
      <w:numFmt w:val="decimal"/>
      <w:lvlText w:val=""/>
      <w:lvlJc w:val="left"/>
    </w:lvl>
    <w:lvl w:ilvl="8" w:tplc="5F9A161C">
      <w:numFmt w:val="decimal"/>
      <w:lvlText w:val=""/>
      <w:lvlJc w:val="left"/>
    </w:lvl>
  </w:abstractNum>
  <w:abstractNum w:abstractNumId="12" w15:restartNumberingAfterBreak="0">
    <w:nsid w:val="4721711A"/>
    <w:multiLevelType w:val="hybridMultilevel"/>
    <w:tmpl w:val="8DC2D1C0"/>
    <w:lvl w:ilvl="0" w:tplc="60CE54DE">
      <w:start w:val="1"/>
      <w:numFmt w:val="decimal"/>
      <w:lvlText w:val="%1."/>
      <w:lvlJc w:val="left"/>
      <w:pPr>
        <w:ind w:left="600" w:hanging="320"/>
      </w:pPr>
    </w:lvl>
    <w:lvl w:ilvl="1" w:tplc="3072CE92">
      <w:numFmt w:val="decimal"/>
      <w:lvlText w:val=""/>
      <w:lvlJc w:val="left"/>
    </w:lvl>
    <w:lvl w:ilvl="2" w:tplc="3A14A1D8">
      <w:numFmt w:val="decimal"/>
      <w:lvlText w:val=""/>
      <w:lvlJc w:val="left"/>
    </w:lvl>
    <w:lvl w:ilvl="3" w:tplc="8C5C1CA4">
      <w:numFmt w:val="decimal"/>
      <w:lvlText w:val=""/>
      <w:lvlJc w:val="left"/>
    </w:lvl>
    <w:lvl w:ilvl="4" w:tplc="469427F0">
      <w:numFmt w:val="decimal"/>
      <w:lvlText w:val=""/>
      <w:lvlJc w:val="left"/>
    </w:lvl>
    <w:lvl w:ilvl="5" w:tplc="AE360180">
      <w:numFmt w:val="decimal"/>
      <w:lvlText w:val=""/>
      <w:lvlJc w:val="left"/>
    </w:lvl>
    <w:lvl w:ilvl="6" w:tplc="CE04E39C">
      <w:numFmt w:val="decimal"/>
      <w:lvlText w:val=""/>
      <w:lvlJc w:val="left"/>
    </w:lvl>
    <w:lvl w:ilvl="7" w:tplc="6C8A558E">
      <w:numFmt w:val="decimal"/>
      <w:lvlText w:val=""/>
      <w:lvlJc w:val="left"/>
    </w:lvl>
    <w:lvl w:ilvl="8" w:tplc="78CEEEB2">
      <w:numFmt w:val="decimal"/>
      <w:lvlText w:val=""/>
      <w:lvlJc w:val="left"/>
    </w:lvl>
  </w:abstractNum>
  <w:abstractNum w:abstractNumId="13" w15:restartNumberingAfterBreak="0">
    <w:nsid w:val="48A071CF"/>
    <w:multiLevelType w:val="hybridMultilevel"/>
    <w:tmpl w:val="D35296D0"/>
    <w:lvl w:ilvl="0" w:tplc="4586A59E">
      <w:start w:val="1"/>
      <w:numFmt w:val="decimal"/>
      <w:lvlText w:val="%1."/>
      <w:lvlJc w:val="left"/>
      <w:pPr>
        <w:ind w:left="600" w:hanging="320"/>
      </w:pPr>
    </w:lvl>
    <w:lvl w:ilvl="1" w:tplc="38383E3A">
      <w:numFmt w:val="decimal"/>
      <w:lvlText w:val=""/>
      <w:lvlJc w:val="left"/>
    </w:lvl>
    <w:lvl w:ilvl="2" w:tplc="B46C447E">
      <w:numFmt w:val="decimal"/>
      <w:lvlText w:val=""/>
      <w:lvlJc w:val="left"/>
    </w:lvl>
    <w:lvl w:ilvl="3" w:tplc="2356FAEE">
      <w:numFmt w:val="decimal"/>
      <w:lvlText w:val=""/>
      <w:lvlJc w:val="left"/>
    </w:lvl>
    <w:lvl w:ilvl="4" w:tplc="13667BF0">
      <w:numFmt w:val="decimal"/>
      <w:lvlText w:val=""/>
      <w:lvlJc w:val="left"/>
    </w:lvl>
    <w:lvl w:ilvl="5" w:tplc="3EF0CBBC">
      <w:numFmt w:val="decimal"/>
      <w:lvlText w:val=""/>
      <w:lvlJc w:val="left"/>
    </w:lvl>
    <w:lvl w:ilvl="6" w:tplc="97ECBFF0">
      <w:numFmt w:val="decimal"/>
      <w:lvlText w:val=""/>
      <w:lvlJc w:val="left"/>
    </w:lvl>
    <w:lvl w:ilvl="7" w:tplc="E3C8266C">
      <w:numFmt w:val="decimal"/>
      <w:lvlText w:val=""/>
      <w:lvlJc w:val="left"/>
    </w:lvl>
    <w:lvl w:ilvl="8" w:tplc="8A22E30A">
      <w:numFmt w:val="decimal"/>
      <w:lvlText w:val=""/>
      <w:lvlJc w:val="left"/>
    </w:lvl>
  </w:abstractNum>
  <w:abstractNum w:abstractNumId="14" w15:restartNumberingAfterBreak="0">
    <w:nsid w:val="4C2312FB"/>
    <w:multiLevelType w:val="hybridMultilevel"/>
    <w:tmpl w:val="DBD40AE4"/>
    <w:lvl w:ilvl="0" w:tplc="50844A6E">
      <w:start w:val="1"/>
      <w:numFmt w:val="decimal"/>
      <w:lvlText w:val="%1."/>
      <w:lvlJc w:val="left"/>
      <w:pPr>
        <w:ind w:left="600" w:hanging="320"/>
      </w:pPr>
    </w:lvl>
    <w:lvl w:ilvl="1" w:tplc="B260949C">
      <w:numFmt w:val="decimal"/>
      <w:lvlText w:val=""/>
      <w:lvlJc w:val="left"/>
    </w:lvl>
    <w:lvl w:ilvl="2" w:tplc="8DC2C7D4">
      <w:numFmt w:val="decimal"/>
      <w:lvlText w:val=""/>
      <w:lvlJc w:val="left"/>
    </w:lvl>
    <w:lvl w:ilvl="3" w:tplc="C7886322">
      <w:numFmt w:val="decimal"/>
      <w:lvlText w:val=""/>
      <w:lvlJc w:val="left"/>
    </w:lvl>
    <w:lvl w:ilvl="4" w:tplc="8730D04C">
      <w:numFmt w:val="decimal"/>
      <w:lvlText w:val=""/>
      <w:lvlJc w:val="left"/>
    </w:lvl>
    <w:lvl w:ilvl="5" w:tplc="74D215C8">
      <w:numFmt w:val="decimal"/>
      <w:lvlText w:val=""/>
      <w:lvlJc w:val="left"/>
    </w:lvl>
    <w:lvl w:ilvl="6" w:tplc="D9900592">
      <w:numFmt w:val="decimal"/>
      <w:lvlText w:val=""/>
      <w:lvlJc w:val="left"/>
    </w:lvl>
    <w:lvl w:ilvl="7" w:tplc="1D20ABD8">
      <w:numFmt w:val="decimal"/>
      <w:lvlText w:val=""/>
      <w:lvlJc w:val="left"/>
    </w:lvl>
    <w:lvl w:ilvl="8" w:tplc="0D2492FA">
      <w:numFmt w:val="decimal"/>
      <w:lvlText w:val=""/>
      <w:lvlJc w:val="left"/>
    </w:lvl>
  </w:abstractNum>
  <w:abstractNum w:abstractNumId="15" w15:restartNumberingAfterBreak="0">
    <w:nsid w:val="51B83A0C"/>
    <w:multiLevelType w:val="hybridMultilevel"/>
    <w:tmpl w:val="3D649E60"/>
    <w:lvl w:ilvl="0" w:tplc="40B00298">
      <w:start w:val="1"/>
      <w:numFmt w:val="decimal"/>
      <w:lvlText w:val="%1."/>
      <w:lvlJc w:val="left"/>
      <w:pPr>
        <w:ind w:left="600" w:hanging="320"/>
      </w:pPr>
    </w:lvl>
    <w:lvl w:ilvl="1" w:tplc="D528D618">
      <w:numFmt w:val="decimal"/>
      <w:lvlText w:val=""/>
      <w:lvlJc w:val="left"/>
    </w:lvl>
    <w:lvl w:ilvl="2" w:tplc="FCF04EBC">
      <w:numFmt w:val="decimal"/>
      <w:lvlText w:val=""/>
      <w:lvlJc w:val="left"/>
    </w:lvl>
    <w:lvl w:ilvl="3" w:tplc="048A7200">
      <w:numFmt w:val="decimal"/>
      <w:lvlText w:val=""/>
      <w:lvlJc w:val="left"/>
    </w:lvl>
    <w:lvl w:ilvl="4" w:tplc="EB7EFA00">
      <w:numFmt w:val="decimal"/>
      <w:lvlText w:val=""/>
      <w:lvlJc w:val="left"/>
    </w:lvl>
    <w:lvl w:ilvl="5" w:tplc="602E498C">
      <w:numFmt w:val="decimal"/>
      <w:lvlText w:val=""/>
      <w:lvlJc w:val="left"/>
    </w:lvl>
    <w:lvl w:ilvl="6" w:tplc="006EF3CA">
      <w:numFmt w:val="decimal"/>
      <w:lvlText w:val=""/>
      <w:lvlJc w:val="left"/>
    </w:lvl>
    <w:lvl w:ilvl="7" w:tplc="14B81D64">
      <w:numFmt w:val="decimal"/>
      <w:lvlText w:val=""/>
      <w:lvlJc w:val="left"/>
    </w:lvl>
    <w:lvl w:ilvl="8" w:tplc="D6123038">
      <w:numFmt w:val="decimal"/>
      <w:lvlText w:val=""/>
      <w:lvlJc w:val="left"/>
    </w:lvl>
  </w:abstractNum>
  <w:abstractNum w:abstractNumId="16" w15:restartNumberingAfterBreak="0">
    <w:nsid w:val="54882037"/>
    <w:multiLevelType w:val="hybridMultilevel"/>
    <w:tmpl w:val="E4C620B4"/>
    <w:lvl w:ilvl="0" w:tplc="0F244CC6">
      <w:start w:val="1"/>
      <w:numFmt w:val="bullet"/>
      <w:lvlText w:val="●"/>
      <w:lvlJc w:val="left"/>
      <w:pPr>
        <w:ind w:left="720" w:hanging="360"/>
      </w:pPr>
    </w:lvl>
    <w:lvl w:ilvl="1" w:tplc="CC58E5EC">
      <w:start w:val="1"/>
      <w:numFmt w:val="bullet"/>
      <w:lvlText w:val="○"/>
      <w:lvlJc w:val="left"/>
      <w:pPr>
        <w:ind w:left="1440" w:hanging="360"/>
      </w:pPr>
    </w:lvl>
    <w:lvl w:ilvl="2" w:tplc="23EEB670">
      <w:start w:val="1"/>
      <w:numFmt w:val="bullet"/>
      <w:lvlText w:val="■"/>
      <w:lvlJc w:val="left"/>
      <w:pPr>
        <w:ind w:left="2160" w:hanging="360"/>
      </w:pPr>
    </w:lvl>
    <w:lvl w:ilvl="3" w:tplc="7172AAFA">
      <w:start w:val="1"/>
      <w:numFmt w:val="bullet"/>
      <w:lvlText w:val="●"/>
      <w:lvlJc w:val="left"/>
      <w:pPr>
        <w:ind w:left="2880" w:hanging="360"/>
      </w:pPr>
    </w:lvl>
    <w:lvl w:ilvl="4" w:tplc="BB729B3C">
      <w:start w:val="1"/>
      <w:numFmt w:val="bullet"/>
      <w:lvlText w:val="○"/>
      <w:lvlJc w:val="left"/>
      <w:pPr>
        <w:ind w:left="3600" w:hanging="360"/>
      </w:pPr>
    </w:lvl>
    <w:lvl w:ilvl="5" w:tplc="DE0647D4">
      <w:start w:val="1"/>
      <w:numFmt w:val="bullet"/>
      <w:lvlText w:val="■"/>
      <w:lvlJc w:val="left"/>
      <w:pPr>
        <w:ind w:left="4320" w:hanging="360"/>
      </w:pPr>
    </w:lvl>
    <w:lvl w:ilvl="6" w:tplc="2408D05A">
      <w:start w:val="1"/>
      <w:numFmt w:val="bullet"/>
      <w:lvlText w:val="●"/>
      <w:lvlJc w:val="left"/>
      <w:pPr>
        <w:ind w:left="5040" w:hanging="360"/>
      </w:pPr>
    </w:lvl>
    <w:lvl w:ilvl="7" w:tplc="CCBE3BA2">
      <w:start w:val="1"/>
      <w:numFmt w:val="bullet"/>
      <w:lvlText w:val="●"/>
      <w:lvlJc w:val="left"/>
      <w:pPr>
        <w:ind w:left="5760" w:hanging="360"/>
      </w:pPr>
    </w:lvl>
    <w:lvl w:ilvl="8" w:tplc="46ACC1EC">
      <w:start w:val="1"/>
      <w:numFmt w:val="bullet"/>
      <w:lvlText w:val="●"/>
      <w:lvlJc w:val="left"/>
      <w:pPr>
        <w:ind w:left="6480" w:hanging="360"/>
      </w:pPr>
    </w:lvl>
  </w:abstractNum>
  <w:abstractNum w:abstractNumId="17" w15:restartNumberingAfterBreak="0">
    <w:nsid w:val="5B307DD0"/>
    <w:multiLevelType w:val="hybridMultilevel"/>
    <w:tmpl w:val="AB102168"/>
    <w:lvl w:ilvl="0" w:tplc="EB129536">
      <w:start w:val="1"/>
      <w:numFmt w:val="decimal"/>
      <w:lvlText w:val="%1."/>
      <w:lvlJc w:val="left"/>
      <w:pPr>
        <w:ind w:left="600" w:hanging="320"/>
      </w:pPr>
    </w:lvl>
    <w:lvl w:ilvl="1" w:tplc="BE4AD2C2">
      <w:numFmt w:val="decimal"/>
      <w:lvlText w:val=""/>
      <w:lvlJc w:val="left"/>
    </w:lvl>
    <w:lvl w:ilvl="2" w:tplc="F0A45726">
      <w:numFmt w:val="decimal"/>
      <w:lvlText w:val=""/>
      <w:lvlJc w:val="left"/>
    </w:lvl>
    <w:lvl w:ilvl="3" w:tplc="D1A8A908">
      <w:numFmt w:val="decimal"/>
      <w:lvlText w:val=""/>
      <w:lvlJc w:val="left"/>
    </w:lvl>
    <w:lvl w:ilvl="4" w:tplc="473C1E5C">
      <w:numFmt w:val="decimal"/>
      <w:lvlText w:val=""/>
      <w:lvlJc w:val="left"/>
    </w:lvl>
    <w:lvl w:ilvl="5" w:tplc="031E04B0">
      <w:numFmt w:val="decimal"/>
      <w:lvlText w:val=""/>
      <w:lvlJc w:val="left"/>
    </w:lvl>
    <w:lvl w:ilvl="6" w:tplc="44E8DBC2">
      <w:numFmt w:val="decimal"/>
      <w:lvlText w:val=""/>
      <w:lvlJc w:val="left"/>
    </w:lvl>
    <w:lvl w:ilvl="7" w:tplc="4B986432">
      <w:numFmt w:val="decimal"/>
      <w:lvlText w:val=""/>
      <w:lvlJc w:val="left"/>
    </w:lvl>
    <w:lvl w:ilvl="8" w:tplc="5E6A8716">
      <w:numFmt w:val="decimal"/>
      <w:lvlText w:val=""/>
      <w:lvlJc w:val="left"/>
    </w:lvl>
  </w:abstractNum>
  <w:abstractNum w:abstractNumId="18" w15:restartNumberingAfterBreak="0">
    <w:nsid w:val="5B5230C7"/>
    <w:multiLevelType w:val="hybridMultilevel"/>
    <w:tmpl w:val="E2906F90"/>
    <w:lvl w:ilvl="0" w:tplc="572481DE">
      <w:start w:val="1"/>
      <w:numFmt w:val="decimal"/>
      <w:lvlText w:val="%1."/>
      <w:lvlJc w:val="left"/>
      <w:pPr>
        <w:ind w:left="600" w:hanging="320"/>
      </w:pPr>
    </w:lvl>
    <w:lvl w:ilvl="1" w:tplc="A6D270BA">
      <w:numFmt w:val="decimal"/>
      <w:lvlText w:val=""/>
      <w:lvlJc w:val="left"/>
    </w:lvl>
    <w:lvl w:ilvl="2" w:tplc="E7FADE7C">
      <w:numFmt w:val="decimal"/>
      <w:lvlText w:val=""/>
      <w:lvlJc w:val="left"/>
    </w:lvl>
    <w:lvl w:ilvl="3" w:tplc="CBAC0940">
      <w:numFmt w:val="decimal"/>
      <w:lvlText w:val=""/>
      <w:lvlJc w:val="left"/>
    </w:lvl>
    <w:lvl w:ilvl="4" w:tplc="262A9FBA">
      <w:numFmt w:val="decimal"/>
      <w:lvlText w:val=""/>
      <w:lvlJc w:val="left"/>
    </w:lvl>
    <w:lvl w:ilvl="5" w:tplc="3CD89D9A">
      <w:numFmt w:val="decimal"/>
      <w:lvlText w:val=""/>
      <w:lvlJc w:val="left"/>
    </w:lvl>
    <w:lvl w:ilvl="6" w:tplc="9850BDF4">
      <w:numFmt w:val="decimal"/>
      <w:lvlText w:val=""/>
      <w:lvlJc w:val="left"/>
    </w:lvl>
    <w:lvl w:ilvl="7" w:tplc="CBDEA688">
      <w:numFmt w:val="decimal"/>
      <w:lvlText w:val=""/>
      <w:lvlJc w:val="left"/>
    </w:lvl>
    <w:lvl w:ilvl="8" w:tplc="3A320F10">
      <w:numFmt w:val="decimal"/>
      <w:lvlText w:val=""/>
      <w:lvlJc w:val="left"/>
    </w:lvl>
  </w:abstractNum>
  <w:abstractNum w:abstractNumId="19" w15:restartNumberingAfterBreak="0">
    <w:nsid w:val="6113686F"/>
    <w:multiLevelType w:val="hybridMultilevel"/>
    <w:tmpl w:val="667AE1CA"/>
    <w:lvl w:ilvl="0" w:tplc="C124153A">
      <w:start w:val="1"/>
      <w:numFmt w:val="bullet"/>
      <w:lvlText w:val="•"/>
      <w:lvlJc w:val="left"/>
      <w:pPr>
        <w:ind w:left="600" w:hanging="280"/>
      </w:pPr>
    </w:lvl>
    <w:lvl w:ilvl="1" w:tplc="94700E2C">
      <w:numFmt w:val="decimal"/>
      <w:lvlText w:val=""/>
      <w:lvlJc w:val="left"/>
    </w:lvl>
    <w:lvl w:ilvl="2" w:tplc="2F38EA58">
      <w:numFmt w:val="decimal"/>
      <w:lvlText w:val=""/>
      <w:lvlJc w:val="left"/>
    </w:lvl>
    <w:lvl w:ilvl="3" w:tplc="B28C522C">
      <w:numFmt w:val="decimal"/>
      <w:lvlText w:val=""/>
      <w:lvlJc w:val="left"/>
    </w:lvl>
    <w:lvl w:ilvl="4" w:tplc="B636DCAE">
      <w:numFmt w:val="decimal"/>
      <w:lvlText w:val=""/>
      <w:lvlJc w:val="left"/>
    </w:lvl>
    <w:lvl w:ilvl="5" w:tplc="BC3AB2A2">
      <w:numFmt w:val="decimal"/>
      <w:lvlText w:val=""/>
      <w:lvlJc w:val="left"/>
    </w:lvl>
    <w:lvl w:ilvl="6" w:tplc="92EAC998">
      <w:numFmt w:val="decimal"/>
      <w:lvlText w:val=""/>
      <w:lvlJc w:val="left"/>
    </w:lvl>
    <w:lvl w:ilvl="7" w:tplc="4EE61DC6">
      <w:numFmt w:val="decimal"/>
      <w:lvlText w:val=""/>
      <w:lvlJc w:val="left"/>
    </w:lvl>
    <w:lvl w:ilvl="8" w:tplc="79EE110A">
      <w:numFmt w:val="decimal"/>
      <w:lvlText w:val=""/>
      <w:lvlJc w:val="left"/>
    </w:lvl>
  </w:abstractNum>
  <w:abstractNum w:abstractNumId="20" w15:restartNumberingAfterBreak="0">
    <w:nsid w:val="64FA13C8"/>
    <w:multiLevelType w:val="hybridMultilevel"/>
    <w:tmpl w:val="2F2ABFC2"/>
    <w:lvl w:ilvl="0" w:tplc="FE5CB66A">
      <w:start w:val="1"/>
      <w:numFmt w:val="decimal"/>
      <w:lvlText w:val="%1."/>
      <w:lvlJc w:val="left"/>
      <w:pPr>
        <w:ind w:left="600" w:hanging="320"/>
      </w:pPr>
    </w:lvl>
    <w:lvl w:ilvl="1" w:tplc="90E4168C">
      <w:numFmt w:val="decimal"/>
      <w:lvlText w:val=""/>
      <w:lvlJc w:val="left"/>
    </w:lvl>
    <w:lvl w:ilvl="2" w:tplc="403A405C">
      <w:numFmt w:val="decimal"/>
      <w:lvlText w:val=""/>
      <w:lvlJc w:val="left"/>
    </w:lvl>
    <w:lvl w:ilvl="3" w:tplc="8076D1C0">
      <w:numFmt w:val="decimal"/>
      <w:lvlText w:val=""/>
      <w:lvlJc w:val="left"/>
    </w:lvl>
    <w:lvl w:ilvl="4" w:tplc="6AB4DC4A">
      <w:numFmt w:val="decimal"/>
      <w:lvlText w:val=""/>
      <w:lvlJc w:val="left"/>
    </w:lvl>
    <w:lvl w:ilvl="5" w:tplc="B62C45CA">
      <w:numFmt w:val="decimal"/>
      <w:lvlText w:val=""/>
      <w:lvlJc w:val="left"/>
    </w:lvl>
    <w:lvl w:ilvl="6" w:tplc="C5BA15AC">
      <w:numFmt w:val="decimal"/>
      <w:lvlText w:val=""/>
      <w:lvlJc w:val="left"/>
    </w:lvl>
    <w:lvl w:ilvl="7" w:tplc="BA361B5C">
      <w:numFmt w:val="decimal"/>
      <w:lvlText w:val=""/>
      <w:lvlJc w:val="left"/>
    </w:lvl>
    <w:lvl w:ilvl="8" w:tplc="FC7E304C">
      <w:numFmt w:val="decimal"/>
      <w:lvlText w:val=""/>
      <w:lvlJc w:val="left"/>
    </w:lvl>
  </w:abstractNum>
  <w:abstractNum w:abstractNumId="21" w15:restartNumberingAfterBreak="0">
    <w:nsid w:val="6D8138D8"/>
    <w:multiLevelType w:val="hybridMultilevel"/>
    <w:tmpl w:val="E3EA363C"/>
    <w:lvl w:ilvl="0" w:tplc="0B16AB20">
      <w:start w:val="1"/>
      <w:numFmt w:val="decimal"/>
      <w:lvlText w:val="%1."/>
      <w:lvlJc w:val="left"/>
      <w:pPr>
        <w:ind w:left="600" w:hanging="320"/>
      </w:pPr>
    </w:lvl>
    <w:lvl w:ilvl="1" w:tplc="8AB6EAD6">
      <w:numFmt w:val="decimal"/>
      <w:lvlText w:val=""/>
      <w:lvlJc w:val="left"/>
    </w:lvl>
    <w:lvl w:ilvl="2" w:tplc="D2EAE30E">
      <w:numFmt w:val="decimal"/>
      <w:lvlText w:val=""/>
      <w:lvlJc w:val="left"/>
    </w:lvl>
    <w:lvl w:ilvl="3" w:tplc="473651E8">
      <w:numFmt w:val="decimal"/>
      <w:lvlText w:val=""/>
      <w:lvlJc w:val="left"/>
    </w:lvl>
    <w:lvl w:ilvl="4" w:tplc="BEC876D0">
      <w:numFmt w:val="decimal"/>
      <w:lvlText w:val=""/>
      <w:lvlJc w:val="left"/>
    </w:lvl>
    <w:lvl w:ilvl="5" w:tplc="6944BCA2">
      <w:numFmt w:val="decimal"/>
      <w:lvlText w:val=""/>
      <w:lvlJc w:val="left"/>
    </w:lvl>
    <w:lvl w:ilvl="6" w:tplc="394A312A">
      <w:numFmt w:val="decimal"/>
      <w:lvlText w:val=""/>
      <w:lvlJc w:val="left"/>
    </w:lvl>
    <w:lvl w:ilvl="7" w:tplc="A1F6EC40">
      <w:numFmt w:val="decimal"/>
      <w:lvlText w:val=""/>
      <w:lvlJc w:val="left"/>
    </w:lvl>
    <w:lvl w:ilvl="8" w:tplc="D9B0CFBC">
      <w:numFmt w:val="decimal"/>
      <w:lvlText w:val=""/>
      <w:lvlJc w:val="left"/>
    </w:lvl>
  </w:abstractNum>
  <w:abstractNum w:abstractNumId="22" w15:restartNumberingAfterBreak="0">
    <w:nsid w:val="79BD0AFD"/>
    <w:multiLevelType w:val="hybridMultilevel"/>
    <w:tmpl w:val="6DB404C6"/>
    <w:lvl w:ilvl="0" w:tplc="75501462">
      <w:start w:val="1"/>
      <w:numFmt w:val="decimal"/>
      <w:lvlText w:val="%1."/>
      <w:lvlJc w:val="left"/>
      <w:pPr>
        <w:ind w:left="600" w:hanging="320"/>
      </w:pPr>
    </w:lvl>
    <w:lvl w:ilvl="1" w:tplc="68143BFC">
      <w:numFmt w:val="decimal"/>
      <w:lvlText w:val=""/>
      <w:lvlJc w:val="left"/>
    </w:lvl>
    <w:lvl w:ilvl="2" w:tplc="8DAC698E">
      <w:numFmt w:val="decimal"/>
      <w:lvlText w:val=""/>
      <w:lvlJc w:val="left"/>
    </w:lvl>
    <w:lvl w:ilvl="3" w:tplc="087CD9A8">
      <w:numFmt w:val="decimal"/>
      <w:lvlText w:val=""/>
      <w:lvlJc w:val="left"/>
    </w:lvl>
    <w:lvl w:ilvl="4" w:tplc="908CEFA6">
      <w:numFmt w:val="decimal"/>
      <w:lvlText w:val=""/>
      <w:lvlJc w:val="left"/>
    </w:lvl>
    <w:lvl w:ilvl="5" w:tplc="7BD66390">
      <w:numFmt w:val="decimal"/>
      <w:lvlText w:val=""/>
      <w:lvlJc w:val="left"/>
    </w:lvl>
    <w:lvl w:ilvl="6" w:tplc="E4E49D90">
      <w:numFmt w:val="decimal"/>
      <w:lvlText w:val=""/>
      <w:lvlJc w:val="left"/>
    </w:lvl>
    <w:lvl w:ilvl="7" w:tplc="04767FAC">
      <w:numFmt w:val="decimal"/>
      <w:lvlText w:val=""/>
      <w:lvlJc w:val="left"/>
    </w:lvl>
    <w:lvl w:ilvl="8" w:tplc="54CA5C52">
      <w:numFmt w:val="decimal"/>
      <w:lvlText w:val=""/>
      <w:lvlJc w:val="left"/>
    </w:lvl>
  </w:abstractNum>
  <w:abstractNum w:abstractNumId="23" w15:restartNumberingAfterBreak="0">
    <w:nsid w:val="7A4B671F"/>
    <w:multiLevelType w:val="hybridMultilevel"/>
    <w:tmpl w:val="A01CE72A"/>
    <w:lvl w:ilvl="0" w:tplc="BA524EE0">
      <w:start w:val="1"/>
      <w:numFmt w:val="decimal"/>
      <w:lvlText w:val="%1."/>
      <w:lvlJc w:val="left"/>
      <w:pPr>
        <w:ind w:left="600" w:hanging="320"/>
      </w:pPr>
    </w:lvl>
    <w:lvl w:ilvl="1" w:tplc="4670BF04">
      <w:numFmt w:val="decimal"/>
      <w:lvlText w:val=""/>
      <w:lvlJc w:val="left"/>
    </w:lvl>
    <w:lvl w:ilvl="2" w:tplc="A5369976">
      <w:numFmt w:val="decimal"/>
      <w:lvlText w:val=""/>
      <w:lvlJc w:val="left"/>
    </w:lvl>
    <w:lvl w:ilvl="3" w:tplc="B2AE3878">
      <w:numFmt w:val="decimal"/>
      <w:lvlText w:val=""/>
      <w:lvlJc w:val="left"/>
    </w:lvl>
    <w:lvl w:ilvl="4" w:tplc="BE045612">
      <w:numFmt w:val="decimal"/>
      <w:lvlText w:val=""/>
      <w:lvlJc w:val="left"/>
    </w:lvl>
    <w:lvl w:ilvl="5" w:tplc="7B80402A">
      <w:numFmt w:val="decimal"/>
      <w:lvlText w:val=""/>
      <w:lvlJc w:val="left"/>
    </w:lvl>
    <w:lvl w:ilvl="6" w:tplc="0C1A7F8A">
      <w:numFmt w:val="decimal"/>
      <w:lvlText w:val=""/>
      <w:lvlJc w:val="left"/>
    </w:lvl>
    <w:lvl w:ilvl="7" w:tplc="3DC4F374">
      <w:numFmt w:val="decimal"/>
      <w:lvlText w:val=""/>
      <w:lvlJc w:val="left"/>
    </w:lvl>
    <w:lvl w:ilvl="8" w:tplc="59988548">
      <w:numFmt w:val="decimal"/>
      <w:lvlText w:val=""/>
      <w:lvlJc w:val="left"/>
    </w:lvl>
  </w:abstractNum>
  <w:abstractNum w:abstractNumId="24" w15:restartNumberingAfterBreak="0">
    <w:nsid w:val="7ADB0679"/>
    <w:multiLevelType w:val="hybridMultilevel"/>
    <w:tmpl w:val="00700A2A"/>
    <w:lvl w:ilvl="0" w:tplc="593EFA2C">
      <w:start w:val="1"/>
      <w:numFmt w:val="decimal"/>
      <w:lvlText w:val="%1."/>
      <w:lvlJc w:val="left"/>
      <w:pPr>
        <w:ind w:left="600" w:hanging="320"/>
      </w:pPr>
    </w:lvl>
    <w:lvl w:ilvl="1" w:tplc="32647F10">
      <w:numFmt w:val="decimal"/>
      <w:lvlText w:val=""/>
      <w:lvlJc w:val="left"/>
    </w:lvl>
    <w:lvl w:ilvl="2" w:tplc="FCD2CAD6">
      <w:numFmt w:val="decimal"/>
      <w:lvlText w:val=""/>
      <w:lvlJc w:val="left"/>
    </w:lvl>
    <w:lvl w:ilvl="3" w:tplc="0606660E">
      <w:numFmt w:val="decimal"/>
      <w:lvlText w:val=""/>
      <w:lvlJc w:val="left"/>
    </w:lvl>
    <w:lvl w:ilvl="4" w:tplc="BAB8CBBE">
      <w:numFmt w:val="decimal"/>
      <w:lvlText w:val=""/>
      <w:lvlJc w:val="left"/>
    </w:lvl>
    <w:lvl w:ilvl="5" w:tplc="E4FAE240">
      <w:numFmt w:val="decimal"/>
      <w:lvlText w:val=""/>
      <w:lvlJc w:val="left"/>
    </w:lvl>
    <w:lvl w:ilvl="6" w:tplc="6C30FDB0">
      <w:numFmt w:val="decimal"/>
      <w:lvlText w:val=""/>
      <w:lvlJc w:val="left"/>
    </w:lvl>
    <w:lvl w:ilvl="7" w:tplc="17743A24">
      <w:numFmt w:val="decimal"/>
      <w:lvlText w:val=""/>
      <w:lvlJc w:val="left"/>
    </w:lvl>
    <w:lvl w:ilvl="8" w:tplc="094E5BFE">
      <w:numFmt w:val="decimal"/>
      <w:lvlText w:val=""/>
      <w:lvlJc w:val="left"/>
    </w:lvl>
  </w:abstractNum>
  <w:num w:numId="1" w16cid:durableId="257257910">
    <w:abstractNumId w:val="16"/>
    <w:lvlOverride w:ilvl="0">
      <w:startOverride w:val="1"/>
    </w:lvlOverride>
  </w:num>
  <w:num w:numId="2" w16cid:durableId="397635788">
    <w:abstractNumId w:val="19"/>
    <w:lvlOverride w:ilvl="0">
      <w:startOverride w:val="1"/>
    </w:lvlOverride>
  </w:num>
  <w:num w:numId="3" w16cid:durableId="857278945">
    <w:abstractNumId w:val="23"/>
    <w:lvlOverride w:ilvl="0">
      <w:startOverride w:val="1"/>
    </w:lvlOverride>
  </w:num>
  <w:num w:numId="4" w16cid:durableId="1928342862">
    <w:abstractNumId w:val="23"/>
  </w:num>
  <w:num w:numId="5" w16cid:durableId="1669407707">
    <w:abstractNumId w:val="7"/>
  </w:num>
  <w:num w:numId="6" w16cid:durableId="1962105193">
    <w:abstractNumId w:val="3"/>
  </w:num>
  <w:num w:numId="100">
    <w:abstractNumId w:val="23"/>
    <w:lvlOverride w:ilvl="0">
      <w:startOverride w:val="1"/>
    </w:lvlOverride>
  </w:num>
  <w:num w:numId="101">
    <w:abstractNumId w:val="23"/>
    <w:lvlOverride w:ilvl="0">
      <w:startOverride w:val="1"/>
    </w:lvlOverride>
  </w:num>
  <w:num w:numId="102">
    <w:abstractNumId w:val="23"/>
    <w:lvlOverride w:ilvl="0">
      <w:startOverride w:val="1"/>
    </w:lvlOverride>
  </w:num>
  <w:num w:numId="103">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FE"/>
    <w:rsid w:val="00011554"/>
    <w:rsid w:val="00014772"/>
    <w:rsid w:val="00057988"/>
    <w:rsid w:val="000C68BD"/>
    <w:rsid w:val="000F1774"/>
    <w:rsid w:val="001F0702"/>
    <w:rsid w:val="00221817"/>
    <w:rsid w:val="0024632C"/>
    <w:rsid w:val="002A268E"/>
    <w:rsid w:val="002A7C4E"/>
    <w:rsid w:val="002C6F98"/>
    <w:rsid w:val="00351E31"/>
    <w:rsid w:val="00381CA3"/>
    <w:rsid w:val="003D1606"/>
    <w:rsid w:val="003F1C27"/>
    <w:rsid w:val="003F4A14"/>
    <w:rsid w:val="004E4597"/>
    <w:rsid w:val="005F44D0"/>
    <w:rsid w:val="005F630E"/>
    <w:rsid w:val="00605B5A"/>
    <w:rsid w:val="00667F6B"/>
    <w:rsid w:val="00683A47"/>
    <w:rsid w:val="006857E2"/>
    <w:rsid w:val="006A46F6"/>
    <w:rsid w:val="006A68F2"/>
    <w:rsid w:val="006C3F03"/>
    <w:rsid w:val="006C415B"/>
    <w:rsid w:val="0078380D"/>
    <w:rsid w:val="007A3F8B"/>
    <w:rsid w:val="00821F2B"/>
    <w:rsid w:val="00835BBF"/>
    <w:rsid w:val="008774AA"/>
    <w:rsid w:val="008A5D10"/>
    <w:rsid w:val="008D3CFE"/>
    <w:rsid w:val="00925869"/>
    <w:rsid w:val="00935923"/>
    <w:rsid w:val="009C5516"/>
    <w:rsid w:val="009E5D95"/>
    <w:rsid w:val="009E6195"/>
    <w:rsid w:val="00AD3E84"/>
    <w:rsid w:val="00AE5F54"/>
    <w:rsid w:val="00AF454C"/>
    <w:rsid w:val="00B156BE"/>
    <w:rsid w:val="00B6121B"/>
    <w:rsid w:val="00B65D33"/>
    <w:rsid w:val="00C012FD"/>
    <w:rsid w:val="00C227E9"/>
    <w:rsid w:val="00C77971"/>
    <w:rsid w:val="00D50128"/>
    <w:rsid w:val="00DB397C"/>
    <w:rsid w:val="00DB7674"/>
    <w:rsid w:val="00ED0B56"/>
    <w:rsid w:val="00F558A8"/>
    <w:rsid w:val="00F814CE"/>
    <w:rsid w:val="00FA7A07"/>
    <w:rsid w:val="00FB412F"/>
    <w:rsid w:val="00FE3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73D5"/>
  <w15:docId w15:val="{2FF1DF39-886C-43C5-8A06-A06CC098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1C7293"/>
      </w:pBdr>
      <w:spacing w:before="320" w:after="160"/>
      <w:outlineLvl w:val="0"/>
    </w:pPr>
    <w:rPr>
      <w:rFonts w:ascii="Cambria" w:eastAsia="Cambria" w:hAnsi="Cambria" w:cs="Cambria"/>
      <w:b/>
      <w:bCs/>
      <w:color w:val="0A3D52"/>
      <w:sz w:val="32"/>
      <w:szCs w:val="32"/>
    </w:rPr>
  </w:style>
  <w:style w:type="paragraph" w:styleId="Heading2">
    <w:name w:val="heading 2"/>
    <w:uiPriority w:val="9"/>
    <w:unhideWhenUsed/>
    <w:qFormat/>
    <w:pPr>
      <w:spacing w:before="240" w:after="100"/>
      <w:outlineLvl w:val="1"/>
    </w:pPr>
    <w:rPr>
      <w:rFonts w:ascii="Cambria" w:eastAsia="Cambria" w:hAnsi="Cambria" w:cs="Cambria"/>
      <w:b/>
      <w:bCs/>
      <w:color w:val="065A82"/>
      <w:sz w:val="26"/>
      <w:szCs w:val="26"/>
    </w:rPr>
  </w:style>
  <w:style w:type="paragraph" w:styleId="Heading3">
    <w:name w:val="heading 3"/>
    <w:uiPriority w:val="9"/>
    <w:unhideWhenUsed/>
    <w:qFormat/>
    <w:pPr>
      <w:spacing w:before="160" w:after="80"/>
      <w:outlineLvl w:val="2"/>
    </w:pPr>
    <w:rPr>
      <w:rFonts w:ascii="Cambria" w:eastAsia="Cambria" w:hAnsi="Cambria" w:cs="Cambria"/>
      <w:b/>
      <w:bCs/>
      <w:color w:val="1C7293"/>
      <w:sz w:val="23"/>
      <w:szCs w:val="23"/>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77971"/>
    <w:rPr>
      <w:b/>
      <w:bCs/>
      <w:color w:val="0A3D52"/>
      <w:sz w:val="32"/>
      <w:szCs w:val="32"/>
    </w:rPr>
  </w:style>
  <w:style w:type="paragraph" w:styleId="Header">
    <w:name w:val="header"/>
    <w:basedOn w:val="Normal"/>
    <w:link w:val="HeaderChar"/>
    <w:uiPriority w:val="99"/>
    <w:unhideWhenUsed/>
    <w:rsid w:val="00B156BE"/>
    <w:pPr>
      <w:tabs>
        <w:tab w:val="center" w:pos="4513"/>
        <w:tab w:val="right" w:pos="9026"/>
      </w:tabs>
    </w:pPr>
  </w:style>
  <w:style w:type="character" w:customStyle="1" w:styleId="HeaderChar">
    <w:name w:val="Header Char"/>
    <w:basedOn w:val="DefaultParagraphFont"/>
    <w:link w:val="Header"/>
    <w:uiPriority w:val="99"/>
    <w:rsid w:val="00B156BE"/>
  </w:style>
  <w:style w:type="paragraph" w:styleId="Footer">
    <w:name w:val="footer"/>
    <w:basedOn w:val="Normal"/>
    <w:link w:val="FooterChar"/>
    <w:uiPriority w:val="99"/>
    <w:unhideWhenUsed/>
    <w:rsid w:val="00B156BE"/>
    <w:pPr>
      <w:tabs>
        <w:tab w:val="center" w:pos="4513"/>
        <w:tab w:val="right" w:pos="9026"/>
      </w:tabs>
    </w:pPr>
  </w:style>
  <w:style w:type="character" w:customStyle="1" w:styleId="FooterChar">
    <w:name w:val="Footer Char"/>
    <w:basedOn w:val="DefaultParagraphFont"/>
    <w:link w:val="Footer"/>
    <w:uiPriority w:val="99"/>
    <w:rsid w:val="00B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4" Type="http://schemas.openxmlformats.org/officeDocument/2006/relationships/webSettings" Target="webSettings.xml"/><Relationship Id="rId101" Type="http://schemas.openxmlformats.org/officeDocument/2006/relationships/image" Target="media/lab-topolog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15</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Workshop 1 — Connect the Data Sources</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 the Data Sources</dc:title>
  <dc:creator>Copper State Credit Union - PDC BA Course</dc:creator>
  <cp:lastModifiedBy>James O'Reilly</cp:lastModifiedBy>
  <cp:revision>23</cp:revision>
  <dcterms:created xsi:type="dcterms:W3CDTF">2026-06-12T07:37:00Z</dcterms:created>
  <dcterms:modified xsi:type="dcterms:W3CDTF">2026-07-02T19:02:00Z</dcterms:modified>
</cp:coreProperties>
</file>