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BUSINESS ANALYST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DATA IDENTIFICATION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WORKSHOP 5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Data Identification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Let the engine classify: dictionaries, patterns and discovery across tables and documents.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Business Analyst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45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spacing w:after="120"/>
      </w:pPr>
      <w:r>
        <w:t xml:space="preserve">Data Identification stamps </w:t>
      </w:r>
      <w:r>
        <w:rPr>
          <w:b/>
          <w:bCs/>
        </w:rPr>
        <w:t xml:space="preserve">tags and sensitivity</w:t>
      </w:r>
      <w:r>
        <w:t xml:space="preserve"> onto columns (and, via Data Discovery, documents) using two method types: </w:t>
      </w:r>
      <w:r>
        <w:rPr>
          <w:b/>
          <w:bCs/>
        </w:rPr>
        <w:t xml:space="preserve">dictionaries</w:t>
      </w:r>
      <w:r>
        <w:t xml:space="preserve"> (match a value list) and </w:t>
      </w:r>
      <w:r>
        <w:rPr>
          <w:b/>
          <w:bCs/>
        </w:rPr>
        <w:t xml:space="preserve">patterns</w:t>
      </w:r>
      <w:r>
        <w:t xml:space="preserve"> (match a regex). CSCU is rich in both.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Identify once.</w:t>
      </w:r>
      <w:r>
        <w:t xml:space="preserve"> Run Data Identification as a one-time baseline. After the stewards override tags/sensitivity (Technical Track: the Glossary Generator's Apply), re-running identification clobbers their work.</w:t>
      </w:r>
    </w:p>
    <w:p>
      <w:pPr>
        <w:pStyle w:val="Heading1"/>
      </w:pPr>
      <w:r>
        <w:t xml:space="preserve">Why this workshop matters</w:t>
      </w:r>
    </w:p>
    <w:p>
      <w:pPr>
        <w:spacing w:after="120"/>
      </w:pPr>
      <w:r>
        <w:t xml:space="preserve">Nobody hand-classifies eleven tables, let alone a document store. Data Identification is PDC's engine for doing it automatically — dictionaries match by </w:t>
      </w:r>
      <w:r>
        <w:rPr>
          <w:i/>
          <w:iCs/>
        </w:rPr>
        <w:t xml:space="preserve">content</w:t>
      </w:r>
      <w:r>
        <w:t xml:space="preserve">, patterns match by </w:t>
      </w:r>
      <w:r>
        <w:rPr>
          <w:i/>
          <w:iCs/>
        </w:rPr>
        <w:t xml:space="preserve">shape</w:t>
      </w:r>
      <w:r>
        <w:t xml:space="preserve"> — and this workshop is where tags and sensitivity start appearing on columns without a steward touching each one.</w:t>
      </w:r>
    </w:p>
    <w:p>
      <w:pPr>
        <w:spacing w:after="120"/>
      </w:pPr>
      <w:r>
        <w:rPr>
          <w:b/>
          <w:bCs/>
        </w:rPr>
        <w:t xml:space="preserve">The business problem.</w:t>
      </w:r>
      <w:r>
        <w:t xml:space="preserve"> CSCU's sensitive data does not stay in neatly labelled columns: member numbers appear inside correspondence, card numbers inside disputes, cities inside letters. Identification finds them wherever they occur — and the one thing it </w:t>
      </w:r>
      <w:r>
        <w:rPr>
          <w:i/>
          <w:iCs/>
        </w:rPr>
        <w:t xml:space="preserve">misses</w:t>
      </w:r>
      <w:r>
        <w:t xml:space="preserve"> (</w:t>
      </w:r>
      <w:r>
        <w:rPr>
          <w:rFonts w:ascii="Consolas" w:hAnsi="Consolas"/>
          <w:color w:val="0A5560"/>
          <w:sz w:val="20"/>
          <w:szCs w:val="20"/>
        </w:rPr>
        <w:t xml:space="preserve">cvv_cd</w:t>
      </w:r>
      <w:r>
        <w:t xml:space="preserve">, a 3-digit column no generic method recognises) teaches the limits: engines baseline, stewards decide.</w:t>
      </w:r>
    </w:p>
    <w:p>
      <w:pPr>
        <w:pStyle w:val="Heading1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two method types — dictionaries and data patterns — and when each is the right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run identification with system methods and read the results on the banking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upload and attach CSCU's custom dictionaries.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Data Discovery extends identification to unstructured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you identify </w:t>
      </w:r>
      <w:r>
        <w:rPr>
          <w:b/>
          <w:bCs/>
        </w:rPr>
        <w:t xml:space="preserve">once</w:t>
      </w:r>
      <w:r>
        <w:t xml:space="preserve">, and where the steward's judgement takes over.</w:t>
      </w:r>
    </w:p>
    <w:p>
      <w:pPr>
        <w:pStyle w:val="Heading1"/>
      </w:pPr>
      <w:r>
        <w:t xml:space="preserve">Part A — system methods on the banking tables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As </w:t>
      </w:r>
      <w:r>
        <w:rPr>
          <w:rFonts w:ascii="Consolas" w:hAnsi="Consolas"/>
          <w:color w:val="0A5560"/>
          <w:sz w:val="20"/>
          <w:szCs w:val="20"/>
        </w:rPr>
        <w:t xml:space="preserve">elena.ramirez</w:t>
      </w:r>
      <w:r>
        <w:t xml:space="preserve"> (</w:t>
      </w:r>
      <w:r>
        <w:rPr>
          <w:b/>
          <w:bCs/>
        </w:rPr>
        <w:t xml:space="preserve">Data Steward</w:t>
      </w:r>
      <w:r>
        <w:t xml:space="preserve"> — in v11, Data Identification Methods belong to the Data Steward and Data Storage Administrator roles; Dana's Data Developer role cannot author them): </w:t>
      </w:r>
      <w:r>
        <w:rPr>
          <w:b/>
          <w:bCs/>
        </w:rPr>
        <w:t xml:space="preserve">Data Operations → Data Identification</w:t>
      </w:r>
      <w:r>
        <w:t xml:space="preserve">. Confirm the built-in methods relevant to CSCU are enabled: SSN, Email Address, Phone Number, </w:t>
      </w:r>
      <w:r>
        <w:rPr>
          <w:b/>
          <w:bCs/>
        </w:rPr>
        <w:t xml:space="preserve">Credit Card Number</w:t>
      </w:r>
      <w:r>
        <w:t xml:space="preserve">, US Address/ZIP.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Run identification on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cards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accounts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transactions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ach_payments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t xml:space="preserve">Review the results: </w:t>
      </w:r>
      <w:r>
        <w:rPr>
          <w:rFonts w:ascii="Consolas" w:hAnsi="Consolas"/>
          <w:color w:val="0A5560"/>
          <w:sz w:val="20"/>
          <w:szCs w:val="20"/>
        </w:rPr>
        <w:t xml:space="preserve">members.ssn</w:t>
      </w:r>
      <w:r>
        <w:t xml:space="preserve"> → SSN (HIGH), </w:t>
      </w:r>
      <w:r>
        <w:rPr>
          <w:rFonts w:ascii="Consolas" w:hAnsi="Consolas"/>
          <w:color w:val="0A5560"/>
          <w:sz w:val="20"/>
          <w:szCs w:val="20"/>
        </w:rPr>
        <w:t xml:space="preserve">cards.card_no</w:t>
      </w:r>
      <w:r>
        <w:t xml:space="preserve"> → Credit Card Number (HIGH — the 4111… test PANs match the issuer pattern + Luhn), </w:t>
      </w:r>
      <w:r>
        <w:rPr>
          <w:rFonts w:ascii="Consolas" w:hAnsi="Consolas"/>
          <w:color w:val="0A5560"/>
          <w:sz w:val="20"/>
          <w:szCs w:val="20"/>
        </w:rPr>
        <w:t xml:space="preserve">members.email</w:t>
      </w:r>
      <w:r>
        <w:t xml:space="preserve"> / </w:t>
      </w:r>
      <w:r>
        <w:rPr>
          <w:rFonts w:ascii="Consolas" w:hAnsi="Consolas"/>
          <w:color w:val="0A5560"/>
          <w:sz w:val="20"/>
          <w:szCs w:val="20"/>
        </w:rPr>
        <w:t xml:space="preserve">phone</w:t>
      </w:r>
      <w:r>
        <w:t xml:space="preserve"> → contact PII.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identification results on members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The planted finding:</w:t>
      </w:r>
      <w:r>
        <w:t xml:space="preserve"> </w:t>
      </w:r>
      <w:r>
        <w:rPr>
          <w:rFonts w:ascii="Consolas" w:hAnsi="Consolas"/>
          <w:color w:val="0A5560"/>
          <w:sz w:val="20"/>
          <w:szCs w:val="20"/>
        </w:rPr>
        <w:t xml:space="preserve">cards.cvv_cd</w:t>
      </w:r>
      <w:r>
        <w:t xml:space="preserve"> — a 3-digit column the generic methods may miss. Pair it with Workshop 4's failing PCI rule and the PCI attestation PDF: identification, quality and documents all point at the same defect. That triangulation is the lesson.</w:t>
      </w:r>
    </w:p>
    <w:p>
      <w:pPr>
        <w:pStyle w:val="Heading1"/>
      </w:pPr>
      <w:r>
        <w:t xml:space="preserve">Part B — custom dictionaries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rPr>
          <w:b/>
          <w:bCs/>
        </w:rPr>
        <w:t xml:space="preserve">Data Operations → Dictionaries → Add</w:t>
      </w:r>
      <w:r>
        <w:t xml:space="preserve">: upload </w:t>
      </w:r>
      <w:r>
        <w:rPr>
          <w:rFonts w:ascii="Consolas" w:hAnsi="Consolas"/>
          <w:color w:val="0A5560"/>
          <w:sz w:val="20"/>
          <w:szCs w:val="20"/>
        </w:rPr>
        <w:t xml:space="preserve">assets/CSCU-Branch-Cities-Dictionary.csv</w:t>
      </w:r>
      <w:r>
        <w:t xml:space="preserve"> (single </w:t>
      </w:r>
      <w:r>
        <w:rPr>
          <w:rFonts w:ascii="Consolas" w:hAnsi="Consolas"/>
          <w:color w:val="0A5560"/>
          <w:sz w:val="20"/>
          <w:szCs w:val="20"/>
        </w:rPr>
        <w:t xml:space="preserve">term</w:t>
      </w:r>
      <w:r>
        <w:t xml:space="preserve"> column) as </w:t>
      </w:r>
      <w:r>
        <w:rPr>
          <w:b/>
          <w:bCs/>
        </w:rPr>
        <w:t xml:space="preserve">CSCU Service Cities</w:t>
      </w:r>
      <w:r>
        <w:t xml:space="preserve">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dictionary upload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Upload </w:t>
      </w:r>
      <w:r>
        <w:rPr>
          <w:rFonts w:ascii="Consolas" w:hAnsi="Consolas"/>
          <w:color w:val="0A5560"/>
          <w:sz w:val="20"/>
          <w:szCs w:val="20"/>
        </w:rPr>
        <w:t xml:space="preserve">assets/CSCU-Transaction-Types-Dictionary.csv</w:t>
      </w:r>
      <w:r>
        <w:t xml:space="preserve"> as </w:t>
      </w:r>
      <w:r>
        <w:rPr>
          <w:b/>
          <w:bCs/>
        </w:rPr>
        <w:t xml:space="preserve">CSCU Transaction Types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after="80" w:line="264" w:lineRule="auto"/>
      </w:pPr>
      <w:r>
        <w:t xml:space="preserve">Attach each to a method and re-run identification on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 (city column) and </w:t>
      </w:r>
      <w:r>
        <w:rPr>
          <w:rFonts w:ascii="Consolas" w:hAnsi="Consolas"/>
          <w:color w:val="0A5560"/>
          <w:sz w:val="20"/>
          <w:szCs w:val="20"/>
        </w:rPr>
        <w:t xml:space="preserve">transactions</w:t>
      </w:r>
      <w:r>
        <w:t xml:space="preserve"> (</w:t>
      </w:r>
      <w:r>
        <w:rPr>
          <w:rFonts w:ascii="Consolas" w:hAnsi="Consolas"/>
          <w:color w:val="0A5560"/>
          <w:sz w:val="20"/>
          <w:szCs w:val="20"/>
        </w:rPr>
        <w:t xml:space="preserve">txn_type_cd</w:t>
      </w:r>
      <w:r>
        <w:t xml:space="preserve">). Low-cardinality enum columns light up precisely — that's what dictionaries are for.</w:t>
      </w:r>
    </w:p>
    <w:p>
      <w:pPr>
        <w:pStyle w:val="Heading1"/>
      </w:pPr>
      <w:r>
        <w:t xml:space="preserve">Part C — unstructured: Data Discovery on the documents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Run </w:t>
      </w:r>
      <w:r>
        <w:rPr>
          <w:b/>
          <w:bCs/>
        </w:rPr>
        <w:t xml:space="preserve">Data Discovery</w:t>
      </w:r>
      <w:r>
        <w:t xml:space="preserve"> on </w:t>
      </w:r>
      <w:r>
        <w:rPr>
          <w:rFonts w:ascii="Consolas" w:hAnsi="Consolas"/>
          <w:color w:val="0A5560"/>
          <w:sz w:val="20"/>
          <w:szCs w:val="20"/>
        </w:rPr>
        <w:t xml:space="preserve">CopperState_Documents</w:t>
      </w:r>
      <w:r>
        <w:t xml:space="preserve">, scoped to </w:t>
      </w:r>
      <w:r>
        <w:rPr>
          <w:rFonts w:ascii="Consolas" w:hAnsi="Consolas"/>
          <w:color w:val="0A5560"/>
          <w:sz w:val="20"/>
          <w:szCs w:val="20"/>
        </w:rPr>
        <w:t xml:space="preserve">correspondence/</w:t>
      </w:r>
      <w:r>
        <w:t xml:space="preserve">.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String detection finds member PII inside the letters — names, addresses, the member numbers (</w:t>
      </w:r>
      <w:r>
        <w:rPr>
          <w:rFonts w:ascii="Consolas" w:hAnsi="Consolas"/>
          <w:color w:val="0A5560"/>
          <w:sz w:val="20"/>
          <w:szCs w:val="20"/>
        </w:rPr>
        <w:t xml:space="preserve">CSCU-100509</w:t>
      </w:r>
      <w:r>
        <w:t xml:space="preserve">), account references — and the city dictionary matches the branch cities.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discovery results on a correspondence letter</w:t>
      </w:r>
    </w:p>
    <w:p>
      <w:pPr>
        <w:pStyle w:val="ListParagraph"/>
        <w:numPr>
          <w:ilvl w:val="0"/>
          <w:numId w:val="102"/>
        </w:numPr>
        <w:spacing w:after="80" w:line="264" w:lineRule="auto"/>
      </w:pPr>
      <w:r>
        <w:t xml:space="preserve">Compare sensitivity now shown on the documents vs. the folders' defaults.</w:t>
      </w:r>
    </w:p>
    <w:p>
      <w:pPr>
        <w:pStyle w:val="Heading1"/>
      </w:pPr>
      <w:r>
        <w:t xml:space="preserve">Part D — read the results like a steward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Tags applied by identification are the </w:t>
      </w:r>
      <w:r>
        <w:rPr>
          <w:b/>
          <w:bCs/>
        </w:rPr>
        <w:t xml:space="preserve">baseline</w:t>
      </w:r>
      <w:r>
        <w:t xml:space="preserve">; Workshop 3's glossary terms and the stewards' judgement sit above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Sensitivity conflicts (name-pattern LOW vs. identified HIGH) resolve toward the identified value — but a steward override (Technical Track) wins last.</w:t>
      </w:r>
    </w:p>
    <w:p>
      <w:pPr>
        <w:pStyle w:val="Heading1"/>
      </w:pPr>
      <w:r>
        <w:t xml:space="preserve">Checkpoint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System methods identified SSN / card / contact PII on the five tables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Two CSCU dictionaries uploaded and matched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Data Discovery ran over correspondence/ and tagged member PII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 You can explain the cvv_cd triangulation (rule + method + PDF)</w:t>
      </w:r>
    </w:p>
    <w:p>
      <w:pPr>
        <w:spacing w:after="120"/>
      </w:pPr>
      <w:r>
        <w:t xml:space="preserve">All Copper State Credit Union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Workshop 5: Data Identification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  <w:num w:numId="101">
    <w:abstractNumId w:val="23"/>
    <w:lvlOverride w:ilvl="0">
      <w:startOverride w:val="1"/>
    </w:lvlOverride>
  </w:num>
  <w:num w:numId="102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Identification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