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pPr>
      <w:r>
        <w:t xml:space="preserve">PENTAHO DATA CATALOG 11.0.0</w:t>
      </w:r>
    </w:p>
    <w:p>
      <w:r>
        <w:rPr>
          <w:b/>
        </w:rPr>
        <w:t xml:space="preserve">Business Analyst Happy Path — Lab Environment Setup Guide</w:t>
      </w:r>
    </w:p>
    <w:p>
      <w:r>
        <w:t xml:space="preserve">Shared demo lab — one PostgreSQL + one MinIO for every scenario (AWC · CSCU)</w:t>
      </w:r>
    </w:p>
    <w:p>
      <w:r>
        <w:t xml:space="preserve">Everything an instructor or learner needs to stand up the shared lab, load a scenario (Copper State Credit Union or Arizona Water Company), and connect both data sources to Pentaho Data Catalog before Workshop 1. Clone the repository, run make up, load a scenario — done.</w:t>
      </w:r>
    </w:p>
    <w:p>
      <w:pPr>
        <w:pStyle w:val="Heading1"/>
      </w:pPr>
      <w:r>
        <w:t xml:space="preserve">Overview</w:t>
      </w:r>
    </w:p>
    <w:p>
      <w:r>
        <w:t xml:space="preserve">This guide prepares the lab environment for the Business Analyst course. The lab is a single, shared Docker stack: one PostgreSQL 16 container (demo-postgres) and one MinIO object store (demo-minio). Each training scenario loads into its own database and its own bucket, so scenarios coexist side by side with no port conflicts, and switching or combining them never requires a different stack. A provided Makefile brings the stack up, and a loader script creates, populates and verifies each scenario on demand.</w:t>
      </w:r>
    </w:p>
    <w:p>
      <w:pPr>
        <w:pStyle w:val="Heading2"/>
      </w:pPr>
      <w:r>
        <w:t xml:space="preserve">What you will build</w:t>
      </w:r>
    </w:p>
    <w:p>
      <w:pPr>
        <w:pStyle w:val="ListParagraph"/>
        <w:numPr>
          <w:ilvl w:val="0"/>
          <w:numId w:val="2"/>
        </w:numPr>
      </w:pPr>
      <w:r>
        <w:t xml:space="preserve">A PostgreSQL 16 container (demo-postgres) hosting one database per scenario — cscu_core (11 tables, Copper State Credit Union) and/or awc_operations (6 tables, Arizona Water Company) — published on host port 5433.</w:t>
      </w:r>
    </w:p>
    <w:p>
      <w:pPr>
        <w:pStyle w:val="ListParagraph"/>
        <w:numPr>
          <w:ilvl w:val="0"/>
          <w:numId w:val="2"/>
        </w:numPr>
      </w:pPr>
      <w:r>
        <w:t xml:space="preserve">A MinIO object store (demo-minio) hosting one bucket per scenario — cscu-documents (18 files) and/or awc-documents (17 files) — S3 API on port 9000, web console on 9001.</w:t>
      </w:r>
    </w:p>
    <w:p>
      <w:pPr>
        <w:pStyle w:val="ListParagraph"/>
        <w:numPr>
          <w:ilvl w:val="0"/>
          <w:numId w:val="2"/>
        </w:numPr>
      </w:pPr>
      <w:r>
        <w:t xml:space="preserve">Read-only catalog users PDC connects with: pdc_user for the databases, and cscu_minio_user / awc_minio_user for the buckets.</w:t>
      </w:r>
    </w:p>
    <w:p>
      <w:pPr>
        <w:pStyle w:val="ListParagraph"/>
        <w:numPr>
          <w:ilvl w:val="0"/>
          <w:numId w:val="2"/>
        </w:numPr>
      </w:pPr>
      <w:r>
        <w:t xml:space="preserve">Verified PDC data sources per scenario — e.g. CopperState_Core_Banking and CopperState_Documents for CSCU.</w:t>
      </w:r>
    </w:p>
    <w:p>
      <w:pPr>
        <w:pStyle w:val="Heading1"/>
      </w:pPr>
      <w:r>
        <w:t xml:space="preserve">Prerequisites</w:t>
      </w:r>
    </w:p>
    <w:p>
      <w:pPr>
        <w:pStyle w:val="ListParagraph"/>
        <w:numPr>
          <w:ilvl w:val="0"/>
          <w:numId w:val="2"/>
        </w:numPr>
      </w:pPr>
      <w:r>
        <w:t xml:space="preserve">Docker Engine (or Docker Desktop) 24+ installed and running, with the Compose plugin (docker compose).</w:t>
      </w:r>
    </w:p>
    <w:p>
      <w:pPr>
        <w:pStyle w:val="ListParagraph"/>
        <w:numPr>
          <w:ilvl w:val="0"/>
          <w:numId w:val="2"/>
        </w:numPr>
      </w:pPr>
      <w:r>
        <w:t xml:space="preserve">GNU make and git (both pre-installed on the Ubuntu 24.04 lab VM).</w:t>
      </w:r>
    </w:p>
    <w:p>
      <w:pPr>
        <w:pStyle w:val="ListParagraph"/>
        <w:numPr>
          <w:ilvl w:val="0"/>
          <w:numId w:val="2"/>
        </w:numPr>
      </w:pPr>
      <w:r>
        <w:t xml:space="preserve">Access to a Pentaho Data Catalog 11.0.0 instance with a Data Steward or IT Administrator login. In the standard lab, PDC runs in the same Ubuntu VM (static IP 192.168.1.200) and is served at https://pentaho.io.</w:t>
      </w:r>
    </w:p>
    <w:p>
      <w:pPr>
        <w:pStyle w:val="ListParagraph"/>
        <w:numPr>
          <w:ilvl w:val="0"/>
          <w:numId w:val="2"/>
        </w:numPr>
      </w:pPr>
      <w:r>
        <w:t xml:space="preserve">Roughly 2 GB of free disk, and host ports 5433 (PostgreSQL — 5432 already belongs to PDC's own database on the VM), 9000 and 9001 (MinIO) free.</w:t>
      </w:r>
    </w:p>
    <w:p>
      <w:pPr>
        <w:pStyle w:val="Heading1"/>
      </w:pPr>
      <w:r>
        <w:t xml:space="preserve">Part A — Get the repository</w:t>
      </w:r>
    </w:p>
    <w:p>
      <w:r>
        <w:t xml:space="preserve">The lab ships inside the PDC-Glossary-Generator git repository, together with the scenario data, the domain packs, the Glossary Generator app and the courseware. Clone it once on the Docker host (the Ubuntu VM):</w:t>
      </w:r>
    </w:p>
    <w:p>
      <w:pPr>
        <w:shd w:val="clear" w:color="auto" w:fill="F2F2F2"/>
      </w:pPr>
      <w:r>
        <w:rPr>
          <w:rFonts w:ascii="Consolas" w:hAnsi="Consolas"/>
          <w:sz w:val="20"/>
        </w:rPr>
        <w:t xml:space="preserve">git clone https://github.com/jporeilly/PDC-Glossary-Generator.git PDC-Demo</w:t>
      </w:r>
    </w:p>
    <w:p>
      <w:pPr>
        <w:shd w:val="clear" w:color="auto" w:fill="F2F2F2"/>
      </w:pPr>
      <w:r>
        <w:rPr>
          <w:rFonts w:ascii="Consolas" w:hAnsi="Consolas"/>
          <w:sz w:val="20"/>
        </w:rPr>
        <w:t xml:space="preserve">cd PDC-Demo/data_sources/lab</w:t>
      </w:r>
    </w:p>
    <w:p>
      <w:r>
        <w:t xml:space="preserve">Already cloned? Pull the latest lab and courseware updates instead:</w:t>
      </w:r>
    </w:p>
    <w:p>
      <w:pPr>
        <w:shd w:val="clear" w:color="auto" w:fill="F2F2F2"/>
      </w:pPr>
      <w:r>
        <w:rPr>
          <w:rFonts w:ascii="Consolas" w:hAnsi="Consolas"/>
          <w:sz w:val="20"/>
        </w:rPr>
        <w:t xml:space="preserve">cd PDC-Demo</w:t>
      </w:r>
    </w:p>
    <w:p>
      <w:pPr>
        <w:shd w:val="clear" w:color="auto" w:fill="F2F2F2"/>
      </w:pPr>
      <w:r>
        <w:rPr>
          <w:rFonts w:ascii="Consolas" w:hAnsi="Consolas"/>
          <w:sz w:val="20"/>
        </w:rPr>
        <w:t xml:space="preserve">git pull</w:t>
      </w:r>
    </w:p>
    <w:p>
      <w:pPr>
        <w:pStyle w:val="Heading2"/>
      </w:pPr>
      <w:r>
        <w:t xml:space="preserve">Where things live in the repository</w:t>
      </w:r>
    </w:p>
    <w:p>
      <w:pPr>
        <w:pStyle w:val="ListParagraph"/>
        <w:numPr>
          <w:ilvl w:val="0"/>
          <w:numId w:val="2"/>
        </w:numPr>
      </w:pPr>
      <w:r>
        <w:t xml:space="preserve">data_sources/lab/ — this shared stack: docker-compose.yml, Makefile, .env.example and the scenario loader.</w:t>
      </w:r>
    </w:p>
    <w:p>
      <w:pPr>
        <w:pStyle w:val="ListParagraph"/>
        <w:numPr>
          <w:ilvl w:val="0"/>
          <w:numId w:val="2"/>
        </w:numPr>
      </w:pPr>
      <w:r>
        <w:t xml:space="preserve">data_sources/CSCU/ and data_sources/AWC/ — scenario data only: the sample SQL, the documents, the installable domain pack and the PDC bulk-load CSV.</w:t>
      </w:r>
    </w:p>
    <w:p>
      <w:pPr>
        <w:pStyle w:val="ListParagraph"/>
        <w:numPr>
          <w:ilvl w:val="0"/>
          <w:numId w:val="2"/>
        </w:numPr>
      </w:pPr>
      <w:r>
        <w:t xml:space="preserve">courseware/CSCU/ and courseware/AWC/ — the workshop guides and assets for each scenario.</w:t>
      </w:r>
    </w:p>
    <w:p>
      <w:pPr>
        <w:pStyle w:val="Heading1"/>
      </w:pPr>
      <w:r>
        <w:t xml:space="preserve">Part B — Stand up the lab and load a scenario</w:t>
      </w:r>
    </w:p>
    <w:p>
      <w:pPr>
        <w:pStyle w:val="Heading2"/>
      </w:pPr>
      <w:r>
        <w:t xml:space="preserve">Step 1: Configure and start the shared stack</w:t>
      </w:r>
    </w:p>
    <w:p>
      <w:pPr>
        <w:shd w:val="clear" w:color="auto" w:fill="F2F2F2"/>
      </w:pPr>
      <w:r>
        <w:rPr>
          <w:rFonts w:ascii="Consolas" w:hAnsi="Consolas"/>
          <w:sz w:val="20"/>
        </w:rPr>
        <w:t xml:space="preserve">cp .env.example .env</w:t>
      </w:r>
    </w:p>
    <w:p>
      <w:pPr>
        <w:shd w:val="clear" w:color="auto" w:fill="F2F2F2"/>
      </w:pPr>
      <w:r>
        <w:rPr>
          <w:rFonts w:ascii="Consolas" w:hAnsi="Consolas"/>
          <w:sz w:val="20"/>
        </w:rPr>
        <w:t xml:space="preserve">make up</w:t>
      </w:r>
    </w:p>
    <w:p>
      <w:r>
        <w:t xml:space="preserve">make up runs a preflight check (Docker present and running, Compose plugin available), starts both containers, and waits until PostgreSQL and MinIO are genuinely ready before returning.</w:t>
      </w:r>
    </w:p>
    <w:p>
      <w:pPr>
        <w:pStyle w:val="Heading2"/>
      </w:pPr>
      <w:r>
        <w:t xml:space="preserve">Step 2: Load a scenario</w:t>
      </w:r>
    </w:p>
    <w:p>
      <w:pPr>
        <w:shd w:val="clear" w:color="auto" w:fill="F2F2F2"/>
      </w:pPr>
      <w:r>
        <w:rPr>
          <w:rFonts w:ascii="Consolas" w:hAnsi="Consolas"/>
          <w:sz w:val="20"/>
        </w:rPr>
        <w:t xml:space="preserve">make load SCENARIO=CSCU</w:t>
      </w:r>
    </w:p>
    <w:p>
      <w:pPr>
        <w:shd w:val="clear" w:color="auto" w:fill="F2F2F2"/>
      </w:pPr>
      <w:r>
        <w:rPr>
          <w:rFonts w:ascii="Consolas" w:hAnsi="Consolas"/>
          <w:sz w:val="20"/>
        </w:rPr>
        <w:t xml:space="preserve">make load SCENARIO=AWC        # optional — the scenarios coexist</w:t>
      </w:r>
    </w:p>
    <w:p>
      <w:r>
        <w:t xml:space="preserve">For the selected scenario the loader:</w:t>
      </w:r>
    </w:p>
    <w:p>
      <w:pPr>
        <w:pStyle w:val="ListParagraph"/>
        <w:numPr>
          <w:ilvl w:val="0"/>
          <w:numId w:val="2"/>
        </w:numPr>
      </w:pPr>
      <w:r>
        <w:t xml:space="preserve">creates the scenario's database (cscu_core or awc_operations) and runs its SQL in order — schema, tables, sample data, then the read-only pdc_user grants;</w:t>
      </w:r>
    </w:p>
    <w:p>
      <w:pPr>
        <w:pStyle w:val="ListParagraph"/>
        <w:numPr>
          <w:ilvl w:val="0"/>
          <w:numId w:val="2"/>
        </w:numPr>
      </w:pPr>
      <w:r>
        <w:t xml:space="preserve">creates the scenario's bucket (cscu-documents or awc-documents), its read-only MinIO user and a bucket-scoped read-only policy;</w:t>
      </w:r>
    </w:p>
    <w:p>
      <w:pPr>
        <w:pStyle w:val="ListParagraph"/>
        <w:numPr>
          <w:ilvl w:val="0"/>
          <w:numId w:val="2"/>
        </w:numPr>
      </w:pPr>
      <w:r>
        <w:t xml:space="preserve">uploads the scenario's documents;</w:t>
      </w:r>
    </w:p>
    <w:p>
      <w:pPr>
        <w:pStyle w:val="ListParagraph"/>
        <w:numPr>
          <w:ilvl w:val="0"/>
          <w:numId w:val="2"/>
        </w:numPr>
      </w:pPr>
      <w:r>
        <w:t xml:space="preserve">verifies the table count and the uploaded object count, stopping with a clear message on the first failed check.</w:t>
      </w:r>
    </w:p>
    <w:p>
      <w:r>
        <w:t xml:space="preserve">Loading is idempotent: an existing database is left untouched. To rebuild a scenario from scratch, run make remove SCENARIO=&lt;ID&gt; first.</w:t>
      </w:r>
    </w:p>
    <w:p>
      <w:pPr>
        <w:pStyle w:val="Heading2"/>
      </w:pPr>
      <w:r>
        <w:t xml:space="preserve">Success looks like this</w:t>
      </w:r>
    </w:p>
    <w:p>
      <w:r>
        <w:t xml:space="preserve">Each load ends with a summary line naming the database, schema and bucket it created and verified. Reprint the PDC connection details for every scenario — with a LOADED / not loaded state — at any time with:</w:t>
      </w:r>
    </w:p>
    <w:p>
      <w:pPr>
        <w:shd w:val="clear" w:color="auto" w:fill="F2F2F2"/>
      </w:pPr>
      <w:r>
        <w:rPr>
          <w:rFonts w:ascii="Consolas" w:hAnsi="Consolas"/>
          <w:sz w:val="20"/>
        </w:rPr>
        <w:t xml:space="preserve">make console</w:t>
      </w:r>
    </w:p>
    <w:p>
      <w:pPr>
        <w:pStyle w:val="Heading1"/>
      </w:pPr>
      <w:r>
        <w:t xml:space="preserve">Part C — Verify and manage the lab</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5960"/>
      </w:tblGrid>
      <w:tr>
        <w:tc>
          <w:tcPr>
            <w:tcW w:w="3400" w:type="dxa"/>
          </w:tcPr>
          <w:p>
            <w:r>
              <w:rPr>
                <w:b/>
              </w:rPr>
              <w:t xml:space="preserve">Command</w:t>
            </w:r>
          </w:p>
        </w:tc>
        <w:tc>
          <w:tcPr>
            <w:tcW w:w="5960" w:type="dxa"/>
          </w:tcPr>
          <w:p>
            <w:r>
              <w:rPr>
                <w:b/>
              </w:rPr>
              <w:t xml:space="preserve">What it does</w:t>
            </w:r>
          </w:p>
        </w:tc>
      </w:tr>
      <w:tr>
        <w:tc>
          <w:tcPr>
            <w:tcW w:w="3400" w:type="dxa"/>
          </w:tcPr>
          <w:p>
            <w:r>
              <w:t xml:space="preserve">make up</w:t>
            </w:r>
          </w:p>
        </w:tc>
        <w:tc>
          <w:tcPr>
            <w:tcW w:w="5960" w:type="dxa"/>
          </w:tcPr>
          <w:p>
            <w:r>
              <w:rPr>
                <w:rFonts w:ascii="Consolas" w:hAnsi="Consolas"/>
                <w:sz w:val="20"/>
              </w:rPr>
              <w:t xml:space="preserve">Start both services and wait until each is ready</w:t>
            </w:r>
          </w:p>
        </w:tc>
      </w:tr>
      <w:tr>
        <w:tc>
          <w:tcPr>
            <w:tcW w:w="3400" w:type="dxa"/>
          </w:tcPr>
          <w:p>
            <w:r>
              <w:t xml:space="preserve">make load SCENARIO=&lt;ID&gt;</w:t>
            </w:r>
          </w:p>
        </w:tc>
        <w:tc>
          <w:tcPr>
            <w:tcW w:w="5960" w:type="dxa"/>
          </w:tcPr>
          <w:p>
            <w:r>
              <w:rPr>
                <w:rFonts w:ascii="Consolas" w:hAnsi="Consolas"/>
                <w:sz w:val="20"/>
              </w:rPr>
              <w:t xml:space="preserve">Load a scenario (database + bucket + documents, verified)</w:t>
            </w:r>
          </w:p>
        </w:tc>
      </w:tr>
      <w:tr>
        <w:tc>
          <w:tcPr>
            <w:tcW w:w="3400" w:type="dxa"/>
          </w:tcPr>
          <w:p>
            <w:r>
              <w:t xml:space="preserve">make remove SCENARIO=&lt;ID&gt;</w:t>
            </w:r>
          </w:p>
        </w:tc>
        <w:tc>
          <w:tcPr>
            <w:tcW w:w="5960" w:type="dxa"/>
          </w:tcPr>
          <w:p>
            <w:r>
              <w:rPr>
                <w:rFonts w:ascii="Consolas" w:hAnsi="Consolas"/>
                <w:sz w:val="20"/>
              </w:rPr>
              <w:t xml:space="preserve">Drop that scenario's database and bucket</w:t>
            </w:r>
          </w:p>
        </w:tc>
      </w:tr>
      <w:tr>
        <w:tc>
          <w:tcPr>
            <w:tcW w:w="3400" w:type="dxa"/>
          </w:tcPr>
          <w:p>
            <w:r>
              <w:t xml:space="preserve">make status</w:t>
            </w:r>
          </w:p>
        </w:tc>
        <w:tc>
          <w:tcPr>
            <w:tcW w:w="5960" w:type="dxa"/>
          </w:tcPr>
          <w:p>
            <w:r>
              <w:rPr>
                <w:rFonts w:ascii="Consolas" w:hAnsi="Consolas"/>
                <w:sz w:val="20"/>
              </w:rPr>
              <w:t xml:space="preserve">Containers, databases and buckets at a glance</w:t>
            </w:r>
          </w:p>
        </w:tc>
      </w:tr>
      <w:tr>
        <w:tc>
          <w:tcPr>
            <w:tcW w:w="3400" w:type="dxa"/>
          </w:tcPr>
          <w:p>
            <w:r>
              <w:t xml:space="preserve">make console</w:t>
            </w:r>
          </w:p>
        </w:tc>
        <w:tc>
          <w:tcPr>
            <w:tcW w:w="5960" w:type="dxa"/>
          </w:tcPr>
          <w:p>
            <w:r>
              <w:rPr>
                <w:rFonts w:ascii="Consolas" w:hAnsi="Consolas"/>
                <w:sz w:val="20"/>
              </w:rPr>
              <w:t xml:space="preserve">PDC connection details per scenario, with loaded state</w:t>
            </w:r>
          </w:p>
        </w:tc>
      </w:tr>
      <w:tr>
        <w:tc>
          <w:tcPr>
            <w:tcW w:w="3400" w:type="dxa"/>
          </w:tcPr>
          <w:p>
            <w:r>
              <w:t xml:space="preserve">make logs</w:t>
            </w:r>
          </w:p>
        </w:tc>
        <w:tc>
          <w:tcPr>
            <w:tcW w:w="5960" w:type="dxa"/>
          </w:tcPr>
          <w:p>
            <w:r>
              <w:rPr>
                <w:rFonts w:ascii="Consolas" w:hAnsi="Consolas"/>
                <w:sz w:val="20"/>
              </w:rPr>
              <w:t xml:space="preserve">Tail the logs from both containers</w:t>
            </w:r>
          </w:p>
        </w:tc>
      </w:tr>
      <w:tr>
        <w:tc>
          <w:tcPr>
            <w:tcW w:w="3400" w:type="dxa"/>
          </w:tcPr>
          <w:p>
            <w:r>
              <w:t xml:space="preserve">make clean</w:t>
            </w:r>
          </w:p>
        </w:tc>
        <w:tc>
          <w:tcPr>
            <w:tcW w:w="5960" w:type="dxa"/>
          </w:tcPr>
          <w:p>
            <w:r>
              <w:rPr>
                <w:rFonts w:ascii="Consolas" w:hAnsi="Consolas"/>
                <w:sz w:val="20"/>
              </w:rPr>
              <w:t xml:space="preserve">Stop and remove the containers but keep the data</w:t>
            </w:r>
          </w:p>
        </w:tc>
      </w:tr>
      <w:tr>
        <w:tc>
          <w:tcPr>
            <w:tcW w:w="3400" w:type="dxa"/>
          </w:tcPr>
          <w:p>
            <w:r>
              <w:t xml:space="preserve">make destroy</w:t>
            </w:r>
          </w:p>
        </w:tc>
        <w:tc>
          <w:tcPr>
            <w:tcW w:w="5960" w:type="dxa"/>
          </w:tcPr>
          <w:p>
            <w:r>
              <w:rPr>
                <w:rFonts w:ascii="Consolas" w:hAnsi="Consolas"/>
                <w:sz w:val="20"/>
              </w:rPr>
              <w:t xml:space="preserve">Remove the containers and erase all scenario data</w:t>
            </w:r>
          </w:p>
        </w:tc>
      </w:tr>
    </w:tbl>
    <w:p/>
    <w:p>
      <w:pPr>
        <w:pStyle w:val="Heading2"/>
      </w:pPr>
      <w:r>
        <w:t xml:space="preserve">A note on changing credentials</w:t>
      </w:r>
    </w:p>
    <w:p>
      <w:r>
        <w:t xml:space="preserve">Both PostgreSQL and MinIO bake their initial users into their data volumes on first start. If you edit credentials in .env after the first run, they will not take effect until you rebuild: make destroy, then make up and make load again.</w:t>
      </w:r>
    </w:p>
    <w:p>
      <w:pPr>
        <w:pStyle w:val="Heading1"/>
      </w:pPr>
      <w:r>
        <w:t xml:space="preserve">Part D — Connect Pentaho Data Catalog</w:t>
      </w:r>
    </w:p>
    <w:p>
      <w:r>
        <w:t xml:space="preserve">Always use the VM's IP address (192.168.1.200) for the data-source connections; reserve pentaho.io for PDC's own HTTPS URL. Container names such as demo-postgres resolve only inside the VM's Docker network, and the IP endpoint also forces the S3 path-style addressing that MinIO requires. These are the exact values printed by make console, and the same ones pre-filled in each scenario's bulk-load CSV (data_sources/&lt;ID&gt;/*-datasources.csv).</w:t>
      </w:r>
    </w:p>
    <w:p>
      <w:pPr>
        <w:pStyle w:val="Heading2"/>
      </w:pPr>
      <w:r>
        <w:t xml:space="preserve">CSCU — the database source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560"/>
      </w:tblGrid>
      <w:tr>
        <w:tc>
          <w:tcPr>
            <w:tcW w:w="2800" w:type="dxa"/>
          </w:tcPr>
          <w:p>
            <w:r>
              <w:rPr>
                <w:b/>
              </w:rPr>
              <w:t xml:space="preserve">Field</w:t>
            </w:r>
          </w:p>
        </w:tc>
        <w:tc>
          <w:tcPr>
            <w:tcW w:w="6560" w:type="dxa"/>
          </w:tcPr>
          <w:p>
            <w:r>
              <w:rPr>
                <w:b/>
              </w:rPr>
              <w:t xml:space="preserve">Value</w:t>
            </w:r>
          </w:p>
        </w:tc>
      </w:tr>
      <w:tr>
        <w:tc>
          <w:tcPr>
            <w:tcW w:w="2800" w:type="dxa"/>
          </w:tcPr>
          <w:p>
            <w:r>
              <w:t xml:space="preserve">Data Source Name</w:t>
            </w:r>
          </w:p>
        </w:tc>
        <w:tc>
          <w:tcPr>
            <w:tcW w:w="6560" w:type="dxa"/>
          </w:tcPr>
          <w:p>
            <w:r>
              <w:rPr>
                <w:rFonts w:ascii="Consolas" w:hAnsi="Consolas"/>
                <w:sz w:val="20"/>
              </w:rPr>
              <w:t xml:space="preserve">CopperState_Core_Banking</w:t>
            </w:r>
          </w:p>
        </w:tc>
      </w:tr>
      <w:tr>
        <w:tc>
          <w:tcPr>
            <w:tcW w:w="2800" w:type="dxa"/>
          </w:tcPr>
          <w:p>
            <w:r>
              <w:t xml:space="preserve">Data Source Type</w:t>
            </w:r>
          </w:p>
        </w:tc>
        <w:tc>
          <w:tcPr>
            <w:tcW w:w="6560" w:type="dxa"/>
          </w:tcPr>
          <w:p>
            <w:r>
              <w:rPr>
                <w:rFonts w:ascii="Consolas" w:hAnsi="Consolas"/>
                <w:sz w:val="20"/>
              </w:rPr>
              <w:t xml:space="preserve">PostgreSQL</w:t>
            </w:r>
          </w:p>
        </w:tc>
      </w:tr>
      <w:tr>
        <w:tc>
          <w:tcPr>
            <w:tcW w:w="2800" w:type="dxa"/>
          </w:tcPr>
          <w:p>
            <w:r>
              <w:t xml:space="preserve">Configuration Method</w:t>
            </w:r>
          </w:p>
        </w:tc>
        <w:tc>
          <w:tcPr>
            <w:tcW w:w="6560" w:type="dxa"/>
          </w:tcPr>
          <w:p>
            <w:r>
              <w:rPr>
                <w:rFonts w:ascii="Consolas" w:hAnsi="Consolas"/>
                <w:sz w:val="20"/>
              </w:rPr>
              <w:t xml:space="preserve">Credentials</w:t>
            </w:r>
          </w:p>
        </w:tc>
      </w:tr>
      <w:tr>
        <w:tc>
          <w:tcPr>
            <w:tcW w:w="2800" w:type="dxa"/>
          </w:tcPr>
          <w:p>
            <w:r>
              <w:t xml:space="preserve">Driver Class Name</w:t>
            </w:r>
          </w:p>
        </w:tc>
        <w:tc>
          <w:tcPr>
            <w:tcW w:w="6560" w:type="dxa"/>
          </w:tcPr>
          <w:p>
            <w:r>
              <w:rPr>
                <w:rFonts w:ascii="Consolas" w:hAnsi="Consolas"/>
                <w:sz w:val="20"/>
              </w:rPr>
              <w:t xml:space="preserve">org.postgresql.Driver</w:t>
            </w:r>
          </w:p>
        </w:tc>
      </w:tr>
      <w:tr>
        <w:tc>
          <w:tcPr>
            <w:tcW w:w="2800" w:type="dxa"/>
          </w:tcPr>
          <w:p>
            <w:r>
              <w:t xml:space="preserve">Host</w:t>
            </w:r>
          </w:p>
        </w:tc>
        <w:tc>
          <w:tcPr>
            <w:tcW w:w="6560" w:type="dxa"/>
          </w:tcPr>
          <w:p>
            <w:r>
              <w:rPr>
                <w:rFonts w:ascii="Consolas" w:hAnsi="Consolas"/>
                <w:sz w:val="20"/>
              </w:rPr>
              <w:t xml:space="preserve">192.168.1.200</w:t>
            </w:r>
          </w:p>
        </w:tc>
      </w:tr>
      <w:tr>
        <w:tc>
          <w:tcPr>
            <w:tcW w:w="2800" w:type="dxa"/>
          </w:tcPr>
          <w:p>
            <w:r>
              <w:t xml:space="preserve">Port</w:t>
            </w:r>
          </w:p>
        </w:tc>
        <w:tc>
          <w:tcPr>
            <w:tcW w:w="6560" w:type="dxa"/>
          </w:tcPr>
          <w:p>
            <w:r>
              <w:rPr>
                <w:rFonts w:ascii="Consolas" w:hAnsi="Consolas"/>
                <w:sz w:val="20"/>
              </w:rPr>
              <w:t xml:space="preserve">5433</w:t>
            </w:r>
          </w:p>
        </w:tc>
      </w:tr>
      <w:tr>
        <w:tc>
          <w:tcPr>
            <w:tcW w:w="2800" w:type="dxa"/>
          </w:tcPr>
          <w:p>
            <w:r>
              <w:t xml:space="preserve">Database Name</w:t>
            </w:r>
          </w:p>
        </w:tc>
        <w:tc>
          <w:tcPr>
            <w:tcW w:w="6560" w:type="dxa"/>
          </w:tcPr>
          <w:p>
            <w:r>
              <w:rPr>
                <w:rFonts w:ascii="Consolas" w:hAnsi="Consolas"/>
                <w:sz w:val="20"/>
              </w:rPr>
              <w:t xml:space="preserve">cscu_core</w:t>
            </w:r>
          </w:p>
        </w:tc>
      </w:tr>
      <w:tr>
        <w:tc>
          <w:tcPr>
            <w:tcW w:w="2800" w:type="dxa"/>
          </w:tcPr>
          <w:p>
            <w:r>
              <w:t xml:space="preserve">Schemas</w:t>
            </w:r>
          </w:p>
        </w:tc>
        <w:tc>
          <w:tcPr>
            <w:tcW w:w="6560" w:type="dxa"/>
          </w:tcPr>
          <w:p>
            <w:r>
              <w:rPr>
                <w:rFonts w:ascii="Consolas" w:hAnsi="Consolas"/>
                <w:sz w:val="20"/>
              </w:rPr>
              <w:t xml:space="preserve">cscu_core</w:t>
            </w:r>
          </w:p>
        </w:tc>
      </w:tr>
      <w:tr>
        <w:tc>
          <w:tcPr>
            <w:tcW w:w="2800" w:type="dxa"/>
          </w:tcPr>
          <w:p>
            <w:r>
              <w:t xml:space="preserve">User Name</w:t>
            </w:r>
          </w:p>
        </w:tc>
        <w:tc>
          <w:tcPr>
            <w:tcW w:w="6560" w:type="dxa"/>
          </w:tcPr>
          <w:p>
            <w:r>
              <w:rPr>
                <w:rFonts w:ascii="Consolas" w:hAnsi="Consolas"/>
                <w:sz w:val="20"/>
              </w:rPr>
              <w:t xml:space="preserve">pdc_user</w:t>
            </w:r>
          </w:p>
        </w:tc>
      </w:tr>
      <w:tr>
        <w:tc>
          <w:tcPr>
            <w:tcW w:w="2800" w:type="dxa"/>
          </w:tcPr>
          <w:p>
            <w:r>
              <w:t xml:space="preserve">Password</w:t>
            </w:r>
          </w:p>
        </w:tc>
        <w:tc>
          <w:tcPr>
            <w:tcW w:w="6560" w:type="dxa"/>
          </w:tcPr>
          <w:p>
            <w:r>
              <w:rPr>
                <w:rFonts w:ascii="Consolas" w:hAnsi="Consolas"/>
                <w:sz w:val="20"/>
              </w:rPr>
              <w:t xml:space="preserve">catalog123!</w:t>
            </w:r>
          </w:p>
        </w:tc>
      </w:tr>
    </w:tbl>
    <w:p/>
    <w:p>
      <w:pPr>
        <w:pStyle w:val="Heading2"/>
      </w:pPr>
      <w:r>
        <w:t xml:space="preserve">CSCU — the object-store source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560"/>
      </w:tblGrid>
      <w:tr>
        <w:tc>
          <w:tcPr>
            <w:tcW w:w="2800" w:type="dxa"/>
          </w:tcPr>
          <w:p>
            <w:r>
              <w:rPr>
                <w:b/>
              </w:rPr>
              <w:t xml:space="preserve">Field</w:t>
            </w:r>
          </w:p>
        </w:tc>
        <w:tc>
          <w:tcPr>
            <w:tcW w:w="6560" w:type="dxa"/>
          </w:tcPr>
          <w:p>
            <w:r>
              <w:rPr>
                <w:b/>
              </w:rPr>
              <w:t xml:space="preserve">Value</w:t>
            </w:r>
          </w:p>
        </w:tc>
      </w:tr>
      <w:tr>
        <w:tc>
          <w:tcPr>
            <w:tcW w:w="2800" w:type="dxa"/>
          </w:tcPr>
          <w:p>
            <w:r>
              <w:t xml:space="preserve">Data Source Name</w:t>
            </w:r>
          </w:p>
        </w:tc>
        <w:tc>
          <w:tcPr>
            <w:tcW w:w="6560" w:type="dxa"/>
          </w:tcPr>
          <w:p>
            <w:r>
              <w:rPr>
                <w:rFonts w:ascii="Consolas" w:hAnsi="Consolas"/>
                <w:sz w:val="20"/>
              </w:rPr>
              <w:t xml:space="preserve">CopperState_Documents</w:t>
            </w:r>
          </w:p>
        </w:tc>
      </w:tr>
      <w:tr>
        <w:tc>
          <w:tcPr>
            <w:tcW w:w="2800" w:type="dxa"/>
          </w:tcPr>
          <w:p>
            <w:r>
              <w:t xml:space="preserve">Data Source Type</w:t>
            </w:r>
          </w:p>
        </w:tc>
        <w:tc>
          <w:tcPr>
            <w:tcW w:w="6560" w:type="dxa"/>
          </w:tcPr>
          <w:p>
            <w:r>
              <w:rPr>
                <w:rFonts w:ascii="Consolas" w:hAnsi="Consolas"/>
                <w:sz w:val="20"/>
              </w:rPr>
              <w:t xml:space="preserve">S3-compatible / object store (AWS S3)</w:t>
            </w:r>
          </w:p>
        </w:tc>
      </w:tr>
      <w:tr>
        <w:tc>
          <w:tcPr>
            <w:tcW w:w="2800" w:type="dxa"/>
          </w:tcPr>
          <w:p>
            <w:r>
              <w:t xml:space="preserve">Endpoint</w:t>
            </w:r>
          </w:p>
        </w:tc>
        <w:tc>
          <w:tcPr>
            <w:tcW w:w="6560" w:type="dxa"/>
          </w:tcPr>
          <w:p>
            <w:r>
              <w:rPr>
                <w:rFonts w:ascii="Consolas" w:hAnsi="Consolas"/>
                <w:sz w:val="20"/>
              </w:rPr>
              <w:t xml:space="preserve">http://192.168.1.200:9000</w:t>
            </w:r>
          </w:p>
        </w:tc>
      </w:tr>
      <w:tr>
        <w:tc>
          <w:tcPr>
            <w:tcW w:w="2800" w:type="dxa"/>
          </w:tcPr>
          <w:p>
            <w:r>
              <w:t xml:space="preserve">Access Key</w:t>
            </w:r>
          </w:p>
        </w:tc>
        <w:tc>
          <w:tcPr>
            <w:tcW w:w="6560" w:type="dxa"/>
          </w:tcPr>
          <w:p>
            <w:r>
              <w:rPr>
                <w:rFonts w:ascii="Consolas" w:hAnsi="Consolas"/>
                <w:sz w:val="20"/>
              </w:rPr>
              <w:t xml:space="preserve">cscu_minio_user</w:t>
            </w:r>
          </w:p>
        </w:tc>
      </w:tr>
      <w:tr>
        <w:tc>
          <w:tcPr>
            <w:tcW w:w="2800" w:type="dxa"/>
          </w:tcPr>
          <w:p>
            <w:r>
              <w:t xml:space="preserve">Secret Key</w:t>
            </w:r>
          </w:p>
        </w:tc>
        <w:tc>
          <w:tcPr>
            <w:tcW w:w="6560" w:type="dxa"/>
          </w:tcPr>
          <w:p>
            <w:r>
              <w:rPr>
                <w:rFonts w:ascii="Consolas" w:hAnsi="Consolas"/>
                <w:sz w:val="20"/>
              </w:rPr>
              <w:t xml:space="preserve">minio_secret_123!</w:t>
            </w:r>
          </w:p>
        </w:tc>
      </w:tr>
      <w:tr>
        <w:tc>
          <w:tcPr>
            <w:tcW w:w="2800" w:type="dxa"/>
          </w:tcPr>
          <w:p>
            <w:r>
              <w:t xml:space="preserve">Bucket</w:t>
            </w:r>
          </w:p>
        </w:tc>
        <w:tc>
          <w:tcPr>
            <w:tcW w:w="6560" w:type="dxa"/>
          </w:tcPr>
          <w:p>
            <w:r>
              <w:rPr>
                <w:rFonts w:ascii="Consolas" w:hAnsi="Consolas"/>
                <w:sz w:val="20"/>
              </w:rPr>
              <w:t xml:space="preserve">cscu-documents</w:t>
            </w:r>
          </w:p>
        </w:tc>
      </w:tr>
      <w:tr>
        <w:tc>
          <w:tcPr>
            <w:tcW w:w="2800" w:type="dxa"/>
          </w:tcPr>
          <w:p>
            <w:r>
              <w:t xml:space="preserve">Path-Style Access</w:t>
            </w:r>
          </w:p>
        </w:tc>
        <w:tc>
          <w:tcPr>
            <w:tcW w:w="6560" w:type="dxa"/>
          </w:tcPr>
          <w:p>
            <w:r>
              <w:rPr>
                <w:rFonts w:ascii="Consolas" w:hAnsi="Consolas"/>
                <w:sz w:val="20"/>
              </w:rPr>
              <w:t xml:space="preserve">Enabled (required for MinIO)</w:t>
            </w:r>
          </w:p>
        </w:tc>
      </w:tr>
    </w:tbl>
    <w:p/>
    <w:p>
      <w:pPr>
        <w:pStyle w:val="Heading2"/>
      </w:pPr>
      <w:r>
        <w:t xml:space="preserve">AWC — the same pattern</w:t>
      </w:r>
    </w:p>
    <w:p>
      <w:r>
        <w:t xml:space="preserve">The Arizona Water Company scenario connects identically — only the names change: database source Arizona_Water_Operations (database awc_operations, schema awc_operations, same host 192.168.1.200, port 5433, user pdc_user), and object store Arizona_Water_Documents (same endpoint, access key awc_minio_user, bucket awc-documents).</w:t>
      </w:r>
    </w:p>
    <w:p>
      <w:pPr>
        <w:pStyle w:val="Heading2"/>
      </w:pPr>
      <w:r>
        <w:t xml:space="preserve">Final checks</w:t>
      </w:r>
    </w:p>
    <w:p>
      <w:pPr>
        <w:pStyle w:val="ListParagraph"/>
        <w:numPr>
          <w:ilvl w:val="0"/>
          <w:numId w:val="2"/>
        </w:numPr>
      </w:pPr>
      <w:r>
        <w:t xml:space="preserve">Database: Test Connection succeeds, Metadata Ingest lists the scenario schema, and the tables appear in the Data Canvas.</w:t>
      </w:r>
    </w:p>
    <w:p>
      <w:pPr>
        <w:pStyle w:val="ListParagraph"/>
        <w:numPr>
          <w:ilvl w:val="0"/>
          <w:numId w:val="2"/>
        </w:numPr>
      </w:pPr>
      <w:r>
        <w:t xml:space="preserve">Object store: Test Connection succeeds and Scan Files loads the bucket's folders into the Data Canvas.</w:t>
      </w:r>
    </w:p>
    <w:p>
      <w:pPr>
        <w:pStyle w:val="ListParagraph"/>
        <w:numPr>
          <w:ilvl w:val="0"/>
          <w:numId w:val="2"/>
        </w:numPr>
      </w:pPr>
      <w:r>
        <w:t xml:space="preserve">Alternative: the Glossary Generator's bulk loader registers both sources from the scenario's CSV in one pass (the object store still needs the manual Scan Files click afterwards).</w:t>
      </w:r>
    </w:p>
    <w:p>
      <w:r>
        <w:t xml:space="preserve">All scenario data — Arizona Water Company and Copper State Credit Union — is fictional and generated for training. Lab credentials are training values; change them for anything beyond the lab.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7782"/>
        <w:sz w:val="16"/>
        <w:szCs w:val="16"/>
      </w:rPr>
      <w:t xml:space="preserve">Shared Demo Lab (AWC · CSCU)  ·  Page </w:t>
    </w:r>
    <w:r>
      <w:rPr>
        <w:rFonts w:ascii="Calibri" w:cs="Calibri" w:eastAsia="Calibri" w:hAnsi="Calibri"/>
        <w:color w:val="5B77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E8" w:sz="4" w:space="4"/>
      </w:pBdr>
      <w:jc w:val="right"/>
    </w:pPr>
    <w:r>
      <w:rPr>
        <w:rFonts w:ascii="Calibri" w:cs="Calibri" w:eastAsia="Calibri" w:hAnsi="Calibri"/>
        <w:color w:val="5B7782"/>
        <w:sz w:val="16"/>
        <w:szCs w:val="16"/>
      </w:rPr>
      <w:t xml:space="preserve">Pentaho Data Catalog  ·  Lab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7293" w:sz="6" w:space="6"/>
      </w:pBdr>
      <w:spacing w:after="200" w:before="320"/>
      <w:outlineLvl w:val="0"/>
    </w:pPr>
    <w:rPr>
      <w:rFonts w:ascii="Calibri" w:cs="Calibri" w:eastAsia="Calibri" w:hAnsi="Calibri"/>
      <w:b/>
      <w:bCs/>
      <w:color w:val="0A3D52"/>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65A82"/>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C72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 11.0.0 Lab Environment Setup Guide — Shared Demo Lab</dc:title>
  <dc:creator>Arizona Water Company - PDC BA Course</dc:creator>
  <cp:lastModifiedBy>Un-named</cp:lastModifiedBy>
  <cp:revision>1</cp:revision>
  <dcterms:created xsi:type="dcterms:W3CDTF">2026-06-11T16:44:13.409Z</dcterms:created>
  <dcterms:modified xsi:type="dcterms:W3CDTF">2026-06-11T16:44:13.424Z</dcterms:modified>
</cp:coreProperties>
</file>

<file path=docProps/custom.xml><?xml version="1.0" encoding="utf-8"?>
<Properties xmlns="http://schemas.openxmlformats.org/officeDocument/2006/custom-properties" xmlns:vt="http://schemas.openxmlformats.org/officeDocument/2006/docPropsVTypes"/>
</file>