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BUSINESS GLOSSARY</w:t>
      </w:r>
    </w:p>
    <w:p>
      <w:pPr>
        <w:spacing w:before="200"/>
      </w:pPr>
      <w:r>
        <w:rPr>
          <w:b/>
          <w:bCs/>
          <w:color w:val="5B7782"/>
          <w:spacing w:val="20"/>
          <w:sz w:val="32"/>
          <w:szCs w:val="32"/>
        </w:rPr>
        <w:t xml:space="preserve">WORKSHOP 3</w:t>
      </w:r>
    </w:p>
    <w:p>
      <w:pPr>
        <w:spacing w:before="320"/>
      </w:pPr>
      <w:r>
        <w:rPr>
          <w:rFonts w:ascii="Cambria" w:eastAsia="Cambria" w:hAnsi="Cambria" w:cs="Cambria"/>
          <w:b/>
          <w:bCs/>
          <w:color w:val="14333F"/>
          <w:sz w:val="56"/>
          <w:szCs w:val="56"/>
        </w:rPr>
        <w:t xml:space="preserve">Build the Business Glossary</w:t>
      </w:r>
    </w:p>
    <w:p>
      <w:pPr>
        <w:spacing w:before="200"/>
      </w:pPr>
      <w:r>
        <w:rPr>
          <w:color w:val="065A82"/>
          <w:sz w:val="28"/>
          <w:szCs w:val="28"/>
        </w:rPr>
        <w:t xml:space="preserve">Give CTO one governed vocabulary: build, import, link and steward the terms — then feed each table's Trust Score.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Steward</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In Workshops 1 and 2 you connected CTO's data and learned to read its three metadata layers — and you saw the business layer come up empty, because that knowledge does not live on the table. It lives in the Business Glossary. This workshop fills that gap. You will build CTO's glossary: the controlled vocabulary that turns a cryptic column like </w:t>
      </w:r>
      <w:r>
        <w:rPr>
          <w:rFonts w:ascii="Consolas" w:hAnsi="Consolas"/>
          <w:color w:val="0A5560"/>
          <w:sz w:val="20"/>
          <w:szCs w:val="20"/>
        </w:rPr>
        <w:t xml:space="preserve">loyalty_no</w:t>
      </w:r>
      <w:r>
        <w:t xml:space="preserve"> into a governed term with a plain-language definition, an owner, and a sensitivity level — then link those terms to the Catalog so every analyst speaks the same language.</w:t>
      </w:r>
    </w:p>
    <w:p>
      <w:pPr>
        <w:pBdr>
          <w:left w:val="single" w:sz="12" w:space="8" w:color="065A82"/>
        </w:pBdr>
        <w:shd w:val="clear" w:color="auto" w:fill="EEF6FA"/>
        <w:ind w:left="240" w:right="240"/>
        <w:spacing w:before="120" w:after="160"/>
      </w:pPr>
      <w:r>
        <w:rPr>
          <w:b/>
          <w:bCs/>
        </w:rPr>
        <w:t xml:space="preserve">The business problem.</w:t>
      </w:r>
      <w:r>
        <w:t xml:space="preserve"> A privacy regulator asks CTO to show every field that holds customer personal data, who owns it, and how it is classified. Without a glossary, that means crawling nearly a hundred columns across eleven tables and guessing which ones are PII. With a glossary, the customer's personal fields — name, email, phone, address, loyalty number — are governed terms, each defined once, classified once, and linked to every matching column, so the answer is a single search. Workshop 3 builds that vocabulary.</w:t>
      </w:r>
    </w:p>
    <w:p>
      <w:pPr>
        <w:pStyle w:val="Heading1"/>
      </w:pPr>
      <w:r>
        <w:t xml:space="preserve">What you will learn</w:t>
      </w:r>
    </w:p>
    <w:p>
      <w:pPr>
        <w:pStyle w:val="ListParagraph"/>
        <w:numPr>
          <w:ilvl w:val="0"/>
          <w:numId w:val="2"/>
        </w:numPr>
        <w:spacing w:after="60"/>
      </w:pPr>
      <w:r>
        <w:t xml:space="preserve">What a Business Glossary is, and how the Glossary, Category, and Term hierarchy organizes CTO's business language — and why each layer exists.</w:t>
      </w:r>
    </w:p>
    <w:p>
      <w:pPr>
        <w:pStyle w:val="ListParagraph"/>
        <w:numPr>
          <w:ilvl w:val="0"/>
          <w:numId w:val="2"/>
        </w:numPr>
        <w:spacing w:after="60"/>
      </w:pPr>
      <w:r>
        <w:t xml:space="preserve">The built-in properties that carry governance — Domain, Sensitivity, Classification, Business Steward, and Owner — and why they live on the term, not the table.</w:t>
      </w:r>
    </w:p>
    <w:p>
      <w:pPr>
        <w:pStyle w:val="ListParagraph"/>
        <w:numPr>
          <w:ilvl w:val="0"/>
          <w:numId w:val="2"/>
        </w:numPr>
        <w:spacing w:after="60"/>
      </w:pPr>
      <w:r>
        <w:t xml:space="preserve">How to create a glossary, categories, and terms in the Data Canvas.</w:t>
      </w:r>
    </w:p>
    <w:p>
      <w:pPr>
        <w:pStyle w:val="ListParagraph"/>
        <w:numPr>
          <w:ilvl w:val="0"/>
          <w:numId w:val="2"/>
        </w:numPr>
        <w:spacing w:after="60"/>
      </w:pPr>
      <w:r>
        <w:t xml:space="preserve">How to import a glossary from a CSV or JSON Lines file — and how to get the exact format by exporting first.</w:t>
      </w:r>
    </w:p>
    <w:p>
      <w:pPr>
        <w:pStyle w:val="ListParagraph"/>
        <w:numPr>
          <w:ilvl w:val="0"/>
          <w:numId w:val="2"/>
        </w:numPr>
        <w:spacing w:after="60"/>
      </w:pPr>
      <w:r>
        <w:t xml:space="preserve">How to link business terms to their columns across every table in the source, and recalculate each table's Trust Score.</w:t>
      </w:r>
    </w:p>
    <w:p>
      <w:pPr>
        <w:pStyle w:val="ListParagraph"/>
        <w:numPr>
          <w:ilvl w:val="0"/>
          <w:numId w:val="2"/>
        </w:numPr>
        <w:spacing w:after="60"/>
      </w:pPr>
      <w:r>
        <w:t xml:space="preserve">How the Similarity Score powers the Suggested Columns you approve.</w:t>
      </w:r>
    </w:p>
    <w:p>
      <w:pPr>
        <w:pStyle w:val="Heading1"/>
      </w:pPr>
      <w:r>
        <w:t xml:space="preserve">Background: how a glossary is organized</w:t>
      </w:r>
    </w:p>
    <w:p>
      <w:pPr>
        <w:spacing w:after="120"/>
      </w:pPr>
      <w:r>
        <w:t xml:space="preserve">PDC organizes business language as a three-level hierarchy. A </w:t>
      </w:r>
      <w:r>
        <w:rPr>
          <w:b/>
          <w:bCs/>
        </w:rPr>
        <w:t xml:space="preserve">Glossary</w:t>
      </w:r>
      <w:r>
        <w:t xml:space="preserve"> is the top-level container; </w:t>
      </w:r>
      <w:r>
        <w:rPr>
          <w:b/>
          <w:bCs/>
        </w:rPr>
        <w:t xml:space="preserve">Categories</w:t>
      </w:r>
      <w:r>
        <w:t xml:space="preserve"> group related terms; and </w:t>
      </w:r>
      <w:r>
        <w:rPr>
          <w:b/>
          <w:bCs/>
        </w:rPr>
        <w:t xml:space="preserve">Terms</w:t>
      </w:r>
      <w:r>
        <w:t xml:space="preserve"> are the individual governed concepts, each with its own definition and properties. A term can sit under a category, directly under a glossary, or stand alone (in which case it shows as Unassigned). Tags are separate — lightweight, informal labels for quick discovery that complement terms rather than replace them.</w:t>
      </w:r>
    </w:p>
    <w:p>
      <w:pPr>
        <w:spacing w:after="120"/>
      </w:pPr>
      <w:r>
        <w:t xml:space="preserve">Why these four parts exist: each solves a different problem. The Glossary is the single, definitive reference, so the business stops arguing over what a word means. Categories make that vocabulary navigable, so an analyst can find terms by business area instead of scrolling a flat list. Terms let you define and govern a concept once — definition, owner, sensitivity — rather than re-deciding it on every table. And Linked Data Elements connect that business language to the physical columns and files that implement it, across every data source, so one search answers "where does this live and how is it governed?" and one change shows its full impact.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Level</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CTO example</w:t>
            </w:r>
          </w:p>
        </w:tc>
      </w:tr>
      <w:tr>
        <w:tc>
          <w:tcPr>
            <w:tcW w:w="2500" w:type="dxa"/>
            <w:tcMar>
              <w:top w:w="120" w:type="dxa"/>
              <w:left w:w="180" w:type="dxa"/>
              <w:bottom w:w="120" w:type="dxa"/>
              <w:right w:w="180" w:type="dxa"/>
            </w:tcMar>
          </w:tcPr>
          <w:p>
            <w:pPr>
              <w:spacing w:after="0"/>
            </w:pPr>
            <w:r>
              <w:t xml:space="preserve">Glossary</w:t>
            </w:r>
          </w:p>
        </w:tc>
        <w:tc>
          <w:tcPr>
            <w:tcW w:w="3430" w:type="dxa"/>
            <w:tcMar>
              <w:top w:w="120" w:type="dxa"/>
              <w:left w:w="180" w:type="dxa"/>
              <w:bottom w:w="120" w:type="dxa"/>
              <w:right w:w="180" w:type="dxa"/>
            </w:tcMar>
          </w:tcPr>
          <w:p>
            <w:pPr>
              <w:spacing w:after="0"/>
            </w:pPr>
            <w:r>
              <w:t xml:space="preserve">The top-level container for a body of business language.</w:t>
            </w:r>
          </w:p>
        </w:tc>
        <w:tc>
          <w:tcPr>
            <w:tcW w:w="3430" w:type="dxa"/>
            <w:tcMar>
              <w:top w:w="120" w:type="dxa"/>
              <w:left w:w="180" w:type="dxa"/>
              <w:bottom w:w="120" w:type="dxa"/>
              <w:right w:w="180" w:type="dxa"/>
            </w:tcMar>
          </w:tcPr>
          <w:p>
            <w:pPr>
              <w:spacing w:after="0"/>
            </w:pPr>
            <w:r>
              <w:t xml:space="preserve">CTO Business Glossary</w:t>
            </w:r>
          </w:p>
        </w:tc>
      </w:tr>
      <w:tr>
        <w:tc>
          <w:tcPr>
            <w:tcW w:w="2500" w:type="dxa"/>
            <w:tcMar>
              <w:top w:w="120" w:type="dxa"/>
              <w:left w:w="180" w:type="dxa"/>
              <w:bottom w:w="120" w:type="dxa"/>
              <w:right w:w="180" w:type="dxa"/>
            </w:tcMar>
          </w:tcPr>
          <w:p>
            <w:pPr>
              <w:spacing w:after="0"/>
            </w:pPr>
            <w:r>
              <w:t xml:space="preserve">Category</w:t>
            </w:r>
          </w:p>
        </w:tc>
        <w:tc>
          <w:tcPr>
            <w:tcW w:w="3430" w:type="dxa"/>
            <w:tcMar>
              <w:top w:w="120" w:type="dxa"/>
              <w:left w:w="180" w:type="dxa"/>
              <w:bottom w:w="120" w:type="dxa"/>
              <w:right w:w="180" w:type="dxa"/>
            </w:tcMar>
          </w:tcPr>
          <w:p>
            <w:pPr>
              <w:spacing w:after="0"/>
            </w:pPr>
            <w:r>
              <w:t xml:space="preserve">A grouping of related terms within a glossary.</w:t>
            </w:r>
          </w:p>
        </w:tc>
        <w:tc>
          <w:tcPr>
            <w:tcW w:w="3430" w:type="dxa"/>
            <w:tcMar>
              <w:top w:w="120" w:type="dxa"/>
              <w:left w:w="180" w:type="dxa"/>
              <w:bottom w:w="120" w:type="dxa"/>
              <w:right w:w="180" w:type="dxa"/>
            </w:tcMar>
          </w:tcPr>
          <w:p>
            <w:pPr>
              <w:spacing w:after="0"/>
            </w:pPr>
            <w:r>
              <w:t xml:space="preserve">Customer; Payments; Loss Prevention &amp; Compliance</w:t>
            </w:r>
          </w:p>
        </w:tc>
      </w:tr>
      <w:tr>
        <w:tc>
          <w:tcPr>
            <w:tcW w:w="2500" w:type="dxa"/>
            <w:tcMar>
              <w:top w:w="120" w:type="dxa"/>
              <w:left w:w="180" w:type="dxa"/>
              <w:bottom w:w="120" w:type="dxa"/>
              <w:right w:w="180" w:type="dxa"/>
            </w:tcMar>
          </w:tcPr>
          <w:p>
            <w:pPr>
              <w:spacing w:after="0"/>
            </w:pPr>
            <w:r>
              <w:t xml:space="preserve">Term</w:t>
            </w:r>
          </w:p>
        </w:tc>
        <w:tc>
          <w:tcPr>
            <w:tcW w:w="3430" w:type="dxa"/>
            <w:tcMar>
              <w:top w:w="120" w:type="dxa"/>
              <w:left w:w="180" w:type="dxa"/>
              <w:bottom w:w="120" w:type="dxa"/>
              <w:right w:w="180" w:type="dxa"/>
            </w:tcMar>
          </w:tcPr>
          <w:p>
            <w:pPr>
              <w:spacing w:after="0"/>
            </w:pPr>
            <w:r>
              <w:t xml:space="preserve">A single governed business concept, with a definition and properties.</w:t>
            </w:r>
          </w:p>
        </w:tc>
        <w:tc>
          <w:tcPr>
            <w:tcW w:w="3430" w:type="dxa"/>
            <w:tcMar>
              <w:top w:w="120" w:type="dxa"/>
              <w:left w:w="180" w:type="dxa"/>
              <w:bottom w:w="120" w:type="dxa"/>
              <w:right w:w="180" w:type="dxa"/>
            </w:tcMar>
          </w:tcPr>
          <w:p>
            <w:pPr>
              <w:spacing w:after="0"/>
            </w:pPr>
            <w:r>
              <w:t xml:space="preserve">Loyalty Number; Card Number; Case Type Code</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Glossary — glossary, categories and terms in the navigation tree</w:t>
      </w:r>
    </w:p>
    <w:p>
      <w:pPr>
        <w:spacing w:after="120"/>
      </w:pPr>
      <w:r>
        <w:t xml:space="preserve">A glossary nests categories and terms, links each term to the real columns and files, with tags alongside.</w:t>
      </w:r>
    </w:p>
    <w:p>
      <w:pPr>
        <w:pStyle w:val="Heading2"/>
      </w:pPr>
      <w:r>
        <w:t xml:space="preserve">The properties that make a term governed</w:t>
      </w:r>
    </w:p>
    <w:p>
      <w:pPr>
        <w:spacing w:after="120"/>
      </w:pPr>
      <w:r>
        <w:t xml:space="preserve">Every glossary item carries built-in properties. These — not the table — are where CTO's governance actually lives. Sensitivity, Domain, and Status are always present: PDC shows them on every term with a default value, so they are never blank — set them deliberately rather than leaving the default. The rest you fill in as policy dictates.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Property</w:t>
            </w:r>
          </w:p>
        </w:tc>
        <w:tc>
          <w:tcPr>
            <w:tcW w:w="3430" w:type="dxa"/>
            <w:shd w:val="clear" w:color="auto" w:fill="EEF6FA"/>
            <w:tcMar>
              <w:top w:w="120" w:type="dxa"/>
              <w:left w:w="180" w:type="dxa"/>
              <w:bottom w:w="120" w:type="dxa"/>
              <w:right w:w="180" w:type="dxa"/>
            </w:tcMar>
          </w:tcPr>
          <w:p>
            <w:pPr>
              <w:spacing w:after="0"/>
            </w:pPr>
            <w:r>
              <w:rPr>
                <w:b/>
                <w:bCs/>
              </w:rPr>
              <w:t xml:space="preserve">What it records</w:t>
            </w:r>
          </w:p>
        </w:tc>
        <w:tc>
          <w:tcPr>
            <w:tcW w:w="3430" w:type="dxa"/>
            <w:shd w:val="clear" w:color="auto" w:fill="EEF6FA"/>
            <w:tcMar>
              <w:top w:w="120" w:type="dxa"/>
              <w:left w:w="180" w:type="dxa"/>
              <w:bottom w:w="120" w:type="dxa"/>
              <w:right w:w="180" w:type="dxa"/>
            </w:tcMar>
          </w:tcPr>
          <w:p>
            <w:pPr>
              <w:spacing w:after="0"/>
            </w:pPr>
            <w:r>
              <w:rPr>
                <w:b/>
                <w:bCs/>
              </w:rPr>
              <w:t xml:space="preserve">Example for Loyalty Number</w:t>
            </w:r>
          </w:p>
        </w:tc>
      </w:tr>
      <w:tr>
        <w:tc>
          <w:tcPr>
            <w:tcW w:w="2500" w:type="dxa"/>
            <w:tcMar>
              <w:top w:w="120" w:type="dxa"/>
              <w:left w:w="180" w:type="dxa"/>
              <w:bottom w:w="120" w:type="dxa"/>
              <w:right w:w="180" w:type="dxa"/>
            </w:tcMar>
          </w:tcPr>
          <w:p>
            <w:pPr>
              <w:spacing w:after="0"/>
            </w:pPr>
            <w:r>
              <w:t xml:space="preserve">Sensitivity</w:t>
            </w:r>
          </w:p>
        </w:tc>
        <w:tc>
          <w:tcPr>
            <w:tcW w:w="3430" w:type="dxa"/>
            <w:tcMar>
              <w:top w:w="120" w:type="dxa"/>
              <w:left w:w="180" w:type="dxa"/>
              <w:bottom w:w="120" w:type="dxa"/>
              <w:right w:w="180" w:type="dxa"/>
            </w:tcMar>
          </w:tcPr>
          <w:p>
            <w:pPr>
              <w:spacing w:after="0"/>
            </w:pPr>
            <w:r>
              <w:t xml:space="preserve">Unknown, Low, Medium, or High. Always shown; defaults to Unknown.</w:t>
            </w:r>
          </w:p>
        </w:tc>
        <w:tc>
          <w:tcPr>
            <w:tcW w:w="3430" w:type="dxa"/>
            <w:tcMar>
              <w:top w:w="120" w:type="dxa"/>
              <w:left w:w="180" w:type="dxa"/>
              <w:bottom w:w="120" w:type="dxa"/>
              <w:right w:w="180" w:type="dxa"/>
            </w:tcMar>
          </w:tcPr>
          <w:p>
            <w:pPr>
              <w:spacing w:after="0"/>
            </w:pPr>
            <w:r>
              <w:t xml:space="preserve">High</w:t>
            </w:r>
          </w:p>
        </w:tc>
      </w:tr>
      <w:tr>
        <w:tc>
          <w:tcPr>
            <w:tcW w:w="2500" w:type="dxa"/>
            <w:tcMar>
              <w:top w:w="120" w:type="dxa"/>
              <w:left w:w="180" w:type="dxa"/>
              <w:bottom w:w="120" w:type="dxa"/>
              <w:right w:w="180" w:type="dxa"/>
            </w:tcMar>
          </w:tcPr>
          <w:p>
            <w:pPr>
              <w:spacing w:after="0"/>
            </w:pPr>
            <w:r>
              <w:t xml:space="preserve">Domain</w:t>
            </w:r>
          </w:p>
        </w:tc>
        <w:tc>
          <w:tcPr>
            <w:tcW w:w="3430" w:type="dxa"/>
            <w:tcMar>
              <w:top w:w="120" w:type="dxa"/>
              <w:left w:w="180" w:type="dxa"/>
              <w:bottom w:w="120" w:type="dxa"/>
              <w:right w:w="180" w:type="dxa"/>
            </w:tcMar>
          </w:tcPr>
          <w:p>
            <w:pPr>
              <w:spacing w:after="0"/>
            </w:pPr>
            <w:r>
              <w:t xml:space="preserve">The industry domain the term belongs to, chosen from PDC's built-in domain list. Always shown; the CTO import lands terms as General — refine deliberately if your list carries a retail domain.</w:t>
            </w:r>
          </w:p>
        </w:tc>
        <w:tc>
          <w:tcPr>
            <w:tcW w:w="3430" w:type="dxa"/>
            <w:tcMar>
              <w:top w:w="120" w:type="dxa"/>
              <w:left w:w="180" w:type="dxa"/>
              <w:bottom w:w="120" w:type="dxa"/>
              <w:right w:w="180" w:type="dxa"/>
            </w:tcMar>
          </w:tcPr>
          <w:p>
            <w:pPr>
              <w:spacing w:after="0"/>
            </w:pPr>
            <w:r>
              <w:t xml:space="preserve">General</w:t>
            </w:r>
          </w:p>
        </w:tc>
      </w:tr>
      <w:tr>
        <w:tc>
          <w:tcPr>
            <w:tcW w:w="2500" w:type="dxa"/>
            <w:tcMar>
              <w:top w:w="120" w:type="dxa"/>
              <w:left w:w="180" w:type="dxa"/>
              <w:bottom w:w="120" w:type="dxa"/>
              <w:right w:w="180" w:type="dxa"/>
            </w:tcMar>
          </w:tcPr>
          <w:p>
            <w:pPr>
              <w:spacing w:after="0"/>
            </w:pPr>
            <w:r>
              <w:t xml:space="preserve">Status</w:t>
            </w:r>
          </w:p>
        </w:tc>
        <w:tc>
          <w:tcPr>
            <w:tcW w:w="3430" w:type="dxa"/>
            <w:tcMar>
              <w:top w:w="120" w:type="dxa"/>
              <w:left w:w="180" w:type="dxa"/>
              <w:bottom w:w="120" w:type="dxa"/>
              <w:right w:w="180" w:type="dxa"/>
            </w:tcMar>
          </w:tcPr>
          <w:p>
            <w:pPr>
              <w:spacing w:after="0"/>
            </w:pPr>
            <w:r>
              <w:t xml:space="preserve">Draft, Review, Accepted, or Deprecated. Always shown; defaults to Draft.</w:t>
            </w:r>
          </w:p>
        </w:tc>
        <w:tc>
          <w:tcPr>
            <w:tcW w:w="3430" w:type="dxa"/>
            <w:tcMar>
              <w:top w:w="120" w:type="dxa"/>
              <w:left w:w="180" w:type="dxa"/>
              <w:bottom w:w="120" w:type="dxa"/>
              <w:right w:w="180" w:type="dxa"/>
            </w:tcMar>
          </w:tcPr>
          <w:p>
            <w:pPr>
              <w:spacing w:after="0"/>
            </w:pPr>
            <w:r>
              <w:t xml:space="preserve">Accepted</w:t>
            </w:r>
          </w:p>
        </w:tc>
      </w:tr>
      <w:tr>
        <w:tc>
          <w:tcPr>
            <w:tcW w:w="2500" w:type="dxa"/>
            <w:tcMar>
              <w:top w:w="120" w:type="dxa"/>
              <w:left w:w="180" w:type="dxa"/>
              <w:bottom w:w="120" w:type="dxa"/>
              <w:right w:w="180" w:type="dxa"/>
            </w:tcMar>
          </w:tcPr>
          <w:p>
            <w:pPr>
              <w:spacing w:after="0"/>
            </w:pPr>
            <w:r>
              <w:t xml:space="preserve">Classification</w:t>
            </w:r>
          </w:p>
        </w:tc>
        <w:tc>
          <w:tcPr>
            <w:tcW w:w="3430" w:type="dxa"/>
            <w:tcMar>
              <w:top w:w="120" w:type="dxa"/>
              <w:left w:w="180" w:type="dxa"/>
              <w:bottom w:w="120" w:type="dxa"/>
              <w:right w:w="180" w:type="dxa"/>
            </w:tcMar>
          </w:tcPr>
          <w:p>
            <w:pPr>
              <w:spacing w:after="0"/>
            </w:pPr>
            <w:r>
              <w:t xml:space="preserve">Public, Private, or Company Confidential.</w:t>
            </w:r>
          </w:p>
        </w:tc>
        <w:tc>
          <w:tcPr>
            <w:tcW w:w="3430" w:type="dxa"/>
            <w:tcMar>
              <w:top w:w="120" w:type="dxa"/>
              <w:left w:w="180" w:type="dxa"/>
              <w:bottom w:w="120" w:type="dxa"/>
              <w:right w:w="180" w:type="dxa"/>
            </w:tcMar>
          </w:tcPr>
          <w:p>
            <w:pPr>
              <w:spacing w:after="0"/>
            </w:pPr>
            <w:r>
              <w:t xml:space="preserve">Private</w:t>
            </w:r>
          </w:p>
        </w:tc>
      </w:tr>
      <w:tr>
        <w:tc>
          <w:tcPr>
            <w:tcW w:w="250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The role accountable for changes to the term.</w:t>
            </w:r>
          </w:p>
        </w:tc>
        <w:tc>
          <w:tcPr>
            <w:tcW w:w="3430" w:type="dxa"/>
            <w:tcMar>
              <w:top w:w="120" w:type="dxa"/>
              <w:left w:w="180" w:type="dxa"/>
              <w:bottom w:w="120" w:type="dxa"/>
              <w:right w:w="180" w:type="dxa"/>
            </w:tcMar>
          </w:tcPr>
          <w:p>
            <w:pPr>
              <w:spacing w:after="0"/>
            </w:pPr>
            <w:r>
              <w:t xml:space="preserve">Sofia Marin</w:t>
            </w:r>
          </w:p>
        </w:tc>
      </w:tr>
      <w:tr>
        <w:tc>
          <w:tcPr>
            <w:tcW w:w="2500" w:type="dxa"/>
            <w:tcMar>
              <w:top w:w="120" w:type="dxa"/>
              <w:left w:w="180" w:type="dxa"/>
              <w:bottom w:w="120" w:type="dxa"/>
              <w:right w:w="180" w:type="dxa"/>
            </w:tcMar>
          </w:tcPr>
          <w:p>
            <w:pPr>
              <w:spacing w:after="0"/>
            </w:pPr>
            <w:r>
              <w:t xml:space="preserve">Owner</w:t>
            </w:r>
          </w:p>
        </w:tc>
        <w:tc>
          <w:tcPr>
            <w:tcW w:w="3430" w:type="dxa"/>
            <w:tcMar>
              <w:top w:w="120" w:type="dxa"/>
              <w:left w:w="180" w:type="dxa"/>
              <w:bottom w:w="120" w:type="dxa"/>
              <w:right w:w="180" w:type="dxa"/>
            </w:tcMar>
          </w:tcPr>
          <w:p>
            <w:pPr>
              <w:spacing w:after="0"/>
            </w:pPr>
            <w:r>
              <w:t xml:space="preserve">The role responsible for maintaining the term.</w:t>
            </w:r>
          </w:p>
        </w:tc>
        <w:tc>
          <w:tcPr>
            <w:tcW w:w="3430" w:type="dxa"/>
            <w:tcMar>
              <w:top w:w="120" w:type="dxa"/>
              <w:left w:w="180" w:type="dxa"/>
              <w:bottom w:w="120" w:type="dxa"/>
              <w:right w:w="180" w:type="dxa"/>
            </w:tcMar>
          </w:tcPr>
          <w:p>
            <w:pPr>
              <w:spacing w:after="0"/>
            </w:pPr>
            <w:r>
              <w:t xml:space="preserve">Sofia Marin</w:t>
            </w:r>
          </w:p>
        </w:tc>
      </w:tr>
      <w:tr>
        <w:tc>
          <w:tcPr>
            <w:tcW w:w="2500" w:type="dxa"/>
            <w:tcMar>
              <w:top w:w="120" w:type="dxa"/>
              <w:left w:w="180" w:type="dxa"/>
              <w:bottom w:w="120" w:type="dxa"/>
              <w:right w:w="180" w:type="dxa"/>
            </w:tcMar>
          </w:tcPr>
          <w:p>
            <w:pPr>
              <w:spacing w:after="0"/>
            </w:pPr>
            <w:r>
              <w:t xml:space="preserve">Custodian</w:t>
            </w:r>
          </w:p>
        </w:tc>
        <w:tc>
          <w:tcPr>
            <w:tcW w:w="3430" w:type="dxa"/>
            <w:tcMar>
              <w:top w:w="120" w:type="dxa"/>
              <w:left w:w="180" w:type="dxa"/>
              <w:bottom w:w="120" w:type="dxa"/>
              <w:right w:w="180" w:type="dxa"/>
            </w:tcMar>
          </w:tcPr>
          <w:p>
            <w:pPr>
              <w:spacing w:after="0"/>
            </w:pPr>
            <w:r>
              <w:t xml:space="preserve">The role or person who maintains the data day to day, distinct from the accountable Owner.</w:t>
            </w:r>
          </w:p>
        </w:tc>
        <w:tc>
          <w:tcPr>
            <w:tcW w:w="3430" w:type="dxa"/>
            <w:tcMar>
              <w:top w:w="120" w:type="dxa"/>
              <w:left w:w="180" w:type="dxa"/>
              <w:bottom w:w="120" w:type="dxa"/>
              <w:right w:w="180" w:type="dxa"/>
            </w:tcMar>
          </w:tcPr>
          <w:p>
            <w:pPr>
              <w:spacing w:after="0"/>
            </w:pPr>
            <w:r>
              <w:t xml:space="preserve">Leo Fischer</w:t>
            </w:r>
          </w:p>
        </w:tc>
      </w:tr>
      <w:tr>
        <w:tc>
          <w:tcPr>
            <w:tcW w:w="2500" w:type="dxa"/>
            <w:tcMar>
              <w:top w:w="120" w:type="dxa"/>
              <w:left w:w="180" w:type="dxa"/>
              <w:bottom w:w="120" w:type="dxa"/>
              <w:right w:w="180" w:type="dxa"/>
            </w:tcMar>
          </w:tcPr>
          <w:p>
            <w:pPr>
              <w:spacing w:after="0"/>
            </w:pPr>
            <w:r>
              <w:t xml:space="preserve">Review Date</w:t>
            </w:r>
          </w:p>
        </w:tc>
        <w:tc>
          <w:tcPr>
            <w:tcW w:w="3430" w:type="dxa"/>
            <w:tcMar>
              <w:top w:w="120" w:type="dxa"/>
              <w:left w:w="180" w:type="dxa"/>
              <w:bottom w:w="120" w:type="dxa"/>
              <w:right w:w="180" w:type="dxa"/>
            </w:tcMar>
          </w:tcPr>
          <w:p>
            <w:pPr>
              <w:spacing w:after="0"/>
            </w:pPr>
            <w:r>
              <w:t xml:space="preserve">When the term is next due for review. Shown in the UI as "Reviewed At".</w:t>
            </w:r>
          </w:p>
        </w:tc>
        <w:tc>
          <w:tcPr>
            <w:tcW w:w="3430" w:type="dxa"/>
            <w:tcMar>
              <w:top w:w="120" w:type="dxa"/>
              <w:left w:w="180" w:type="dxa"/>
              <w:bottom w:w="120" w:type="dxa"/>
              <w:right w:w="180" w:type="dxa"/>
            </w:tcMar>
          </w:tcPr>
          <w:p>
            <w:pPr>
              <w:spacing w:after="0"/>
            </w:pPr>
            <w:r>
              <w:t xml:space="preserve">30 Sep 2026</w:t>
            </w:r>
          </w:p>
        </w:tc>
      </w:tr>
      <w:tr>
        <w:tc>
          <w:tcPr>
            <w:tcW w:w="2500" w:type="dxa"/>
            <w:tcMar>
              <w:top w:w="120" w:type="dxa"/>
              <w:left w:w="180" w:type="dxa"/>
              <w:bottom w:w="120" w:type="dxa"/>
              <w:right w:w="180" w:type="dxa"/>
            </w:tcMar>
          </w:tcPr>
          <w:p>
            <w:pPr>
              <w:spacing w:after="0"/>
            </w:pPr>
            <w:r>
              <w:t xml:space="preserve">Stakeholders</w:t>
            </w:r>
          </w:p>
        </w:tc>
        <w:tc>
          <w:tcPr>
            <w:tcW w:w="3430" w:type="dxa"/>
            <w:tcMar>
              <w:top w:w="120" w:type="dxa"/>
              <w:left w:w="180" w:type="dxa"/>
              <w:bottom w:w="120" w:type="dxa"/>
              <w:right w:w="180" w:type="dxa"/>
            </w:tcMar>
          </w:tcPr>
          <w:p>
            <w:pPr>
              <w:spacing w:after="0"/>
            </w:pPr>
            <w:r>
              <w:t xml:space="preserve">People or roles with an interest in the term, beyond Owner and Steward.</w:t>
            </w:r>
          </w:p>
        </w:tc>
        <w:tc>
          <w:tcPr>
            <w:tcW w:w="3430" w:type="dxa"/>
            <w:tcMar>
              <w:top w:w="120" w:type="dxa"/>
              <w:left w:w="180" w:type="dxa"/>
              <w:bottom w:w="120" w:type="dxa"/>
              <w:right w:w="180" w:type="dxa"/>
            </w:tcMar>
          </w:tcPr>
          <w:p>
            <w:pPr>
              <w:spacing w:after="0"/>
            </w:pPr>
            <w:r>
              <w:t xml:space="preserve">Alicia Vega (LP)</w:t>
            </w:r>
          </w:p>
        </w:tc>
      </w:tr>
    </w:tbl>
    <w:p>
      <w:pPr>
        <w:spacing w:after="120"/>
      </w:pPr>
    </w:p>
    <w:p>
      <w:pPr>
        <w:spacing w:after="120"/>
      </w:pPr>
      <w:r>
        <w:rPr>
          <w:b/>
          <w:bCs/>
        </w:rPr>
        <w:t xml:space="preserve">Link it and it sticks:</w:t>
      </w:r>
      <w:r>
        <w:t xml:space="preserve"> these properties map straight to the Glossary tab you saw in Workshop 2 — assign a term to </w:t>
      </w:r>
      <w:r>
        <w:rPr>
          <w:rFonts w:ascii="Consolas" w:hAnsi="Consolas"/>
          <w:color w:val="0A5560"/>
          <w:sz w:val="20"/>
          <w:szCs w:val="20"/>
        </w:rPr>
        <w:t xml:space="preserve">customers</w:t>
      </w:r>
      <w:r>
        <w:t xml:space="preserve"> and the table inherits this governance context.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Summary — the Properties panel</w:t>
      </w:r>
    </w:p>
    <w:p>
      <w:pPr>
        <w:pStyle w:val="Heading2"/>
      </w:pPr>
      <w:r>
        <w:t xml:space="preserve">Tags and Custom Properties</w:t>
      </w:r>
    </w:p>
    <w:p>
      <w:pPr>
        <w:spacing w:after="120"/>
      </w:pPr>
      <w:r>
        <w:t xml:space="preserve">A term carries two more layers of metadata beyond the built-in properties, and you set both on its Summary page.</w:t>
      </w:r>
    </w:p>
    <w:p>
      <w:pPr>
        <w:spacing w:after="120"/>
      </w:pPr>
      <w:r>
        <w:rPr>
          <w:b/>
          <w:bCs/>
        </w:rPr>
        <w:t xml:space="preserve">Tags:</w:t>
      </w:r>
      <w:r>
        <w:t xml:space="preserve"> lightweight, free-text labels for discovery and grouping. Type them into the Tags card on the right of the term's Summary page, and reuse them across terms. For CTO, useful tags include </w:t>
      </w:r>
      <w:r>
        <w:rPr>
          <w:rFonts w:ascii="Consolas" w:hAnsi="Consolas"/>
          <w:color w:val="0A5560"/>
          <w:sz w:val="20"/>
          <w:szCs w:val="20"/>
        </w:rPr>
        <w:t xml:space="preserve">pii</w:t>
      </w:r>
      <w:r>
        <w:t xml:space="preserve">, </w:t>
      </w:r>
      <w:r>
        <w:rPr>
          <w:rFonts w:ascii="Consolas" w:hAnsi="Consolas"/>
          <w:color w:val="0A5560"/>
          <w:sz w:val="20"/>
          <w:szCs w:val="20"/>
        </w:rPr>
        <w:t xml:space="preserve">pci</w:t>
      </w:r>
      <w:r>
        <w:t xml:space="preserve">, </w:t>
      </w:r>
      <w:r>
        <w:rPr>
          <w:rFonts w:ascii="Consolas" w:hAnsi="Consolas"/>
          <w:color w:val="0A5560"/>
          <w:sz w:val="20"/>
          <w:szCs w:val="20"/>
        </w:rPr>
        <w:t xml:space="preserve">privacy</w:t>
      </w:r>
      <w:r>
        <w:t xml:space="preserve">, </w:t>
      </w:r>
      <w:r>
        <w:rPr>
          <w:rFonts w:ascii="Consolas" w:hAnsi="Consolas"/>
          <w:color w:val="0A5560"/>
          <w:sz w:val="20"/>
          <w:szCs w:val="20"/>
        </w:rPr>
        <w:t xml:space="preserve">loyalty</w:t>
      </w:r>
      <w:r>
        <w:t xml:space="preserve">, </w:t>
      </w:r>
      <w:r>
        <w:rPr>
          <w:rFonts w:ascii="Consolas" w:hAnsi="Consolas"/>
          <w:color w:val="0A5560"/>
          <w:sz w:val="20"/>
          <w:szCs w:val="20"/>
        </w:rPr>
        <w:t xml:space="preserve">compliance</w:t>
      </w:r>
      <w:r>
        <w:t xml:space="preserve"> and </w:t>
      </w:r>
      <w:r>
        <w:rPr>
          <w:rFonts w:ascii="Consolas" w:hAnsi="Consolas"/>
          <w:color w:val="0A5560"/>
          <w:sz w:val="20"/>
          <w:szCs w:val="20"/>
        </w:rPr>
        <w:t xml:space="preserve">loss-prevention</w:t>
      </w:r>
      <w:r>
        <w:t xml:space="preserve">. Tags complement terms — they do not replace them.</w:t>
      </w:r>
    </w:p>
    <w:p>
      <w:pPr>
        <w:spacing w:after="120"/>
      </w:pPr>
      <w:r>
        <w:rPr>
          <w:b/>
          <w:bCs/>
        </w:rPr>
        <w:t xml:space="preserve">Custom Properties:</w:t>
      </w:r>
      <w:r>
        <w:t xml:space="preserve"> admin-defined fields that extend the built-in set. An Admin defines each property once for the whole Catalog (a name and a type); a Business Steward then fills in its value per term, on the term's Custom Properties tab. Because a property must exist before you can set it, creating custom properties is an Admin task (</w:t>
      </w:r>
      <w:r>
        <w:rPr>
          <w:rFonts w:ascii="Consolas" w:hAnsi="Consolas"/>
          <w:color w:val="0A5560"/>
          <w:sz w:val="20"/>
          <w:szCs w:val="20"/>
        </w:rPr>
        <w:t xml:space="preserve">catalog.admin</w:t>
      </w:r>
      <w:r>
        <w:t xml:space="preserve">) outside this workshop — here you simply assign values to any that already exist. Properties CTO might define: </w:t>
      </w:r>
      <w:r>
        <w:rPr>
          <w:i/>
          <w:iCs/>
        </w:rPr>
        <w:t xml:space="preserve">Regulation</w:t>
      </w:r>
      <w:r>
        <w:t xml:space="preserve"> (PCI DSS, CCPA), </w:t>
      </w:r>
      <w:r>
        <w:rPr>
          <w:i/>
          <w:iCs/>
        </w:rPr>
        <w:t xml:space="preserve">Retention period</w:t>
      </w:r>
      <w:r>
        <w:t xml:space="preserve">, </w:t>
      </w:r>
      <w:r>
        <w:rPr>
          <w:i/>
          <w:iCs/>
        </w:rPr>
        <w:t xml:space="preserve">Assessment scope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 Tags card and Custom Properties tab</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 and 2 complete — both CTO sources connected and explored.</w:t>
      </w:r>
    </w:p>
    <w:p>
      <w:pPr>
        <w:pStyle w:val="ListParagraph"/>
        <w:numPr>
          <w:ilvl w:val="0"/>
          <w:numId w:val="2"/>
        </w:numPr>
        <w:spacing w:after="60"/>
      </w:pPr>
      <w:r>
        <w:t xml:space="preserve">A </w:t>
      </w:r>
      <w:r>
        <w:rPr>
          <w:b/>
          <w:bCs/>
        </w:rPr>
        <w:t xml:space="preserve">Business Steward</w:t>
      </w:r>
      <w:r>
        <w:t xml:space="preserve"> (or higher) PDC login — creating, importing, and editing glossary items is a governed action reserved for the Business Steward role. Work as </w:t>
      </w:r>
      <w:r>
        <w:rPr>
          <w:rFonts w:ascii="Consolas" w:hAnsi="Consolas"/>
          <w:color w:val="0A5560"/>
          <w:sz w:val="20"/>
          <w:szCs w:val="20"/>
        </w:rPr>
        <w:t xml:space="preserve">alicia.vega</w:t>
      </w:r>
      <w:r>
        <w:t xml:space="preserve"> for the import; </w:t>
      </w:r>
      <w:r>
        <w:rPr>
          <w:rFonts w:ascii="Consolas" w:hAnsi="Consolas"/>
          <w:color w:val="0A5560"/>
          <w:sz w:val="20"/>
          <w:szCs w:val="20"/>
        </w:rPr>
        <w:t xml:space="preserve">sofia.marin</w:t>
      </w:r>
      <w:r>
        <w:t xml:space="preserve"> carries Business Steward alongside her Data Steward role, so she can do everything in this workshop too. (</w:t>
      </w:r>
      <w:r>
        <w:rPr>
          <w:rFonts w:ascii="Consolas" w:hAnsi="Consolas"/>
          <w:color w:val="0A5560"/>
          <w:sz w:val="20"/>
          <w:szCs w:val="20"/>
        </w:rPr>
        <w:t xml:space="preserve">casey.holt</w:t>
      </w:r>
      <w:r>
        <w:t xml:space="preserve"> and </w:t>
      </w:r>
      <w:r>
        <w:rPr>
          <w:rFonts w:ascii="Consolas" w:hAnsi="Consolas"/>
          <w:color w:val="0A5560"/>
          <w:sz w:val="20"/>
          <w:szCs w:val="20"/>
        </w:rPr>
        <w:t xml:space="preserve">robin.pierce</w:t>
      </w:r>
      <w:r>
        <w:t xml:space="preserve"> cannot — try it and watch the actions stay disabled.)</w:t>
      </w:r>
    </w:p>
    <w:p>
      <w:pPr>
        <w:pStyle w:val="Heading2"/>
      </w:pPr>
      <w:r>
        <w:t xml:space="preserve">Assets used in this workshop</w:t>
      </w:r>
    </w:p>
    <w:p>
      <w:pPr>
        <w:pStyle w:val="ListParagraph"/>
        <w:numPr>
          <w:ilvl w:val="0"/>
          <w:numId w:val="2"/>
        </w:numPr>
        <w:spacing w:after="60"/>
      </w:pPr>
      <w:r>
        <w:t xml:space="preserve">The CTO glossary content table in this guide — your source of truth for the terms you will build by hand in Part A.</w:t>
      </w:r>
    </w:p>
    <w:p>
      <w:pPr>
        <w:pStyle w:val="ListParagraph"/>
        <w:numPr>
          <w:ilvl w:val="0"/>
          <w:numId w:val="2"/>
        </w:numPr>
        <w:spacing w:after="60"/>
      </w:pPr>
      <w:r>
        <w:rPr>
          <w:rFonts w:ascii="Consolas" w:hAnsi="Consolas"/>
          <w:color w:val="0A5560"/>
          <w:sz w:val="20"/>
          <w:szCs w:val="20"/>
        </w:rPr>
        <w:t xml:space="preserve">assets/CTO-Business-Glossary.jsonl</w:t>
      </w:r>
      <w:r>
        <w:t xml:space="preserve"> — the full glossary as 109 JSON Lines records (1 glossary + 8 categories + 100 terms), ready to import in Part B.</w:t>
      </w:r>
    </w:p>
    <w:p>
      <w:pPr>
        <w:pStyle w:val="ListParagraph"/>
        <w:numPr>
          <w:ilvl w:val="0"/>
          <w:numId w:val="2"/>
        </w:numPr>
        <w:spacing w:after="60"/>
      </w:pPr>
      <w:r>
        <w:rPr>
          <w:rFonts w:ascii="Consolas" w:hAnsi="Consolas"/>
          <w:color w:val="0A5560"/>
          <w:sz w:val="20"/>
          <w:szCs w:val="20"/>
        </w:rPr>
        <w:t xml:space="preserve">assets/CTO-Term-Linking-Map.csv</w:t>
      </w:r>
      <w:r>
        <w:t xml:space="preserve"> — all 93 term-to-column links for Part D, grouped by table.</w:t>
      </w:r>
    </w:p>
    <w:p>
      <w:pPr>
        <w:pStyle w:val="ListParagraph"/>
        <w:numPr>
          <w:ilvl w:val="0"/>
          <w:numId w:val="2"/>
        </w:numPr>
        <w:spacing w:after="60"/>
      </w:pPr>
      <w:r>
        <w:rPr>
          <w:rFonts w:ascii="Consolas" w:hAnsi="Consolas"/>
          <w:color w:val="0A5560"/>
          <w:sz w:val="20"/>
          <w:szCs w:val="20"/>
        </w:rPr>
        <w:t xml:space="preserve">assets/CTO-glossary-user-map.csv</w:t>
      </w:r>
      <w:r>
        <w:t xml:space="preserve"> — which steward owns which categories, for the stewardship pass in Part E.</w:t>
      </w:r>
    </w:p>
    <w:p>
      <w:pPr>
        <w:pStyle w:val="ListParagraph"/>
        <w:numPr>
          <w:ilvl w:val="0"/>
          <w:numId w:val="2"/>
        </w:numPr>
        <w:spacing w:after="60"/>
      </w:pPr>
      <w:r>
        <w:t xml:space="preserve">The connected </w:t>
      </w:r>
      <w:r>
        <w:rPr>
          <w:rFonts w:ascii="Consolas" w:hAnsi="Consolas"/>
          <w:color w:val="0A5560"/>
          <w:sz w:val="20"/>
          <w:szCs w:val="20"/>
        </w:rPr>
        <w:t xml:space="preserve">cto_retail</w:t>
      </w:r>
      <w:r>
        <w:t xml:space="preserve"> database — the </w:t>
      </w:r>
      <w:r>
        <w:rPr>
          <w:rFonts w:ascii="Consolas" w:hAnsi="Consolas"/>
          <w:color w:val="0A5560"/>
          <w:sz w:val="20"/>
          <w:szCs w:val="20"/>
        </w:rPr>
        <w:t xml:space="preserve">customers</w:t>
      </w:r>
      <w:r>
        <w:t xml:space="preserve"> table is where you will link terms first.</w:t>
      </w:r>
    </w:p>
    <w:p>
      <w:pPr>
        <w:pStyle w:val="Heading1"/>
      </w:pPr>
      <w:r>
        <w:t xml:space="preserve">The CTO glossary you will build</w:t>
      </w:r>
    </w:p>
    <w:p>
      <w:pPr>
        <w:spacing w:after="120"/>
      </w:pPr>
      <w:r>
        <w:t xml:space="preserve">Here is a representative slice of the CTO Business Glossary — a term or two from each of its categories. The full glossary holds 100 terms across eight categories — column-level terms plus one table-level term per table (Customer Record, Payment Record, and so on — you will meet those in Part C). Each row is a term, grouped by category. Build this slice by hand in Part A, or import the full glossary (</w:t>
      </w:r>
      <w:r>
        <w:rPr>
          <w:rFonts w:ascii="Consolas" w:hAnsi="Consolas"/>
          <w:color w:val="0A5560"/>
          <w:sz w:val="20"/>
          <w:szCs w:val="20"/>
        </w:rPr>
        <w:t xml:space="preserve">CTO-Business-Glossary.jsonl</w:t>
      </w:r>
      <w:r>
        <w:t xml:space="preserve">) in Part B.</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1560"/>
        <w:gridCol w:w="1560"/>
        <w:gridCol w:w="1560"/>
        <w:gridCol w:w="1560"/>
        <w:gridCol w:w="1560"/>
        <w:gridCol w:w="1560"/>
      </w:tblGrid>
      <w:tr>
        <w:tc>
          <w:tcPr>
            <w:tcW w:w="156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Term</w:t>
            </w:r>
          </w:p>
        </w:tc>
        <w:tc>
          <w:tcPr>
            <w:tcW w:w="1560" w:type="dxa"/>
            <w:shd w:val="clear" w:color="auto" w:fill="EEF6FA"/>
            <w:tcMar>
              <w:top w:w="120" w:type="dxa"/>
              <w:left w:w="180" w:type="dxa"/>
              <w:bottom w:w="120" w:type="dxa"/>
              <w:right w:w="180" w:type="dxa"/>
            </w:tcMar>
          </w:tcPr>
          <w:p>
            <w:pPr>
              <w:spacing w:after="0"/>
            </w:pPr>
            <w:r>
              <w:rPr>
                <w:b/>
                <w:bCs/>
              </w:rPr>
              <w:t xml:space="preserve">Category</w:t>
            </w:r>
          </w:p>
        </w:tc>
        <w:tc>
          <w:tcPr>
            <w:tcW w:w="1560" w:type="dxa"/>
            <w:shd w:val="clear" w:color="auto" w:fill="EEF6FA"/>
            <w:tcMar>
              <w:top w:w="120" w:type="dxa"/>
              <w:left w:w="180" w:type="dxa"/>
              <w:bottom w:w="120" w:type="dxa"/>
              <w:right w:w="180" w:type="dxa"/>
            </w:tcMar>
          </w:tcPr>
          <w:p>
            <w:pPr>
              <w:spacing w:after="0"/>
            </w:pPr>
            <w:r>
              <w:rPr>
                <w:b/>
                <w:bCs/>
              </w:rPr>
              <w:t xml:space="preserve">Sensitivity</w:t>
            </w:r>
          </w:p>
        </w:tc>
        <w:tc>
          <w:tcPr>
            <w:tcW w:w="1560" w:type="dxa"/>
            <w:shd w:val="clear" w:color="auto" w:fill="EEF6FA"/>
            <w:tcMar>
              <w:top w:w="120" w:type="dxa"/>
              <w:left w:w="180" w:type="dxa"/>
              <w:bottom w:w="120" w:type="dxa"/>
              <w:right w:w="180" w:type="dxa"/>
            </w:tcMar>
          </w:tcPr>
          <w:p>
            <w:pPr>
              <w:spacing w:after="0"/>
            </w:pPr>
            <w:r>
              <w:rPr>
                <w:b/>
                <w:bCs/>
              </w:rPr>
              <w:t xml:space="preserve">Classification</w:t>
            </w:r>
          </w:p>
        </w:tc>
        <w:tc>
          <w:tcPr>
            <w:tcW w:w="1560" w:type="dxa"/>
            <w:shd w:val="clear" w:color="auto" w:fill="EEF6FA"/>
            <w:tcMar>
              <w:top w:w="120" w:type="dxa"/>
              <w:left w:w="180" w:type="dxa"/>
              <w:bottom w:w="120" w:type="dxa"/>
              <w:right w:w="180" w:type="dxa"/>
            </w:tcMar>
          </w:tcPr>
          <w:p>
            <w:pPr>
              <w:spacing w:after="0"/>
            </w:pPr>
            <w:r>
              <w:rPr>
                <w:b/>
                <w:bCs/>
              </w:rPr>
              <w:t xml:space="preserve">Business Steward</w:t>
            </w:r>
          </w:p>
        </w:tc>
        <w:tc>
          <w:tcPr>
            <w:tcW w:w="1560" w:type="dxa"/>
            <w:shd w:val="clear" w:color="auto" w:fill="EEF6FA"/>
            <w:tcMar>
              <w:top w:w="120" w:type="dxa"/>
              <w:left w:w="180" w:type="dxa"/>
              <w:bottom w:w="120" w:type="dxa"/>
              <w:right w:w="180" w:type="dxa"/>
            </w:tcMar>
          </w:tcPr>
          <w:p>
            <w:pPr>
              <w:spacing w:after="0"/>
            </w:pPr>
            <w:r>
              <w:rPr>
                <w:b/>
                <w:bCs/>
              </w:rPr>
              <w:t xml:space="preserve">Definition</w:t>
            </w:r>
          </w:p>
        </w:tc>
      </w:tr>
      <w:tr>
        <w:tc>
          <w:tcPr>
            <w:tcW w:w="1560" w:type="dxa"/>
            <w:tcMar>
              <w:top w:w="120" w:type="dxa"/>
              <w:left w:w="180" w:type="dxa"/>
              <w:bottom w:w="120" w:type="dxa"/>
              <w:right w:w="180" w:type="dxa"/>
            </w:tcMar>
          </w:tcPr>
          <w:p>
            <w:pPr>
              <w:spacing w:after="0"/>
            </w:pPr>
            <w:r>
              <w:t xml:space="preserve">Loyalty Number</w:t>
            </w:r>
          </w:p>
        </w:tc>
        <w:tc>
          <w:tcPr>
            <w:tcW w:w="1560" w:type="dxa"/>
            <w:tcMar>
              <w:top w:w="120" w:type="dxa"/>
              <w:left w:w="180" w:type="dxa"/>
              <w:bottom w:w="120" w:type="dxa"/>
              <w:right w:w="180" w:type="dxa"/>
            </w:tcMar>
          </w:tcPr>
          <w:p>
            <w:pPr>
              <w:spacing w:after="0"/>
            </w:pPr>
            <w:r>
              <w:t xml:space="preserve">Customer</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Private</w:t>
            </w:r>
          </w:p>
        </w:tc>
        <w:tc>
          <w:tcPr>
            <w:tcW w:w="1560" w:type="dxa"/>
            <w:tcMar>
              <w:top w:w="120" w:type="dxa"/>
              <w:left w:w="180" w:type="dxa"/>
              <w:bottom w:w="120" w:type="dxa"/>
              <w:right w:w="180" w:type="dxa"/>
            </w:tcMar>
          </w:tcPr>
          <w:p>
            <w:pPr>
              <w:spacing w:after="0"/>
            </w:pPr>
            <w:r>
              <w:t xml:space="preserve">Sofia Marin</w:t>
            </w:r>
          </w:p>
        </w:tc>
        <w:tc>
          <w:tcPr>
            <w:tcW w:w="1560" w:type="dxa"/>
            <w:tcMar>
              <w:top w:w="120" w:type="dxa"/>
              <w:left w:w="180" w:type="dxa"/>
              <w:bottom w:w="120" w:type="dxa"/>
              <w:right w:w="180" w:type="dxa"/>
            </w:tcMar>
          </w:tcPr>
          <w:p>
            <w:pPr>
              <w:spacing w:after="0"/>
            </w:pPr>
            <w:r>
              <w:t xml:space="preserve">Loyalty program number (format CTO-nnnnnn); the customer-facing identifier.</w:t>
            </w:r>
          </w:p>
        </w:tc>
      </w:tr>
      <w:tr>
        <w:tc>
          <w:tcPr>
            <w:tcW w:w="1560" w:type="dxa"/>
            <w:tcMar>
              <w:top w:w="120" w:type="dxa"/>
              <w:left w:w="180" w:type="dxa"/>
              <w:bottom w:w="120" w:type="dxa"/>
              <w:right w:w="180" w:type="dxa"/>
            </w:tcMar>
          </w:tcPr>
          <w:p>
            <w:pPr>
              <w:spacing w:after="0"/>
            </w:pPr>
            <w:r>
              <w:t xml:space="preserve">Opted Out Marketing</w:t>
            </w:r>
          </w:p>
        </w:tc>
        <w:tc>
          <w:tcPr>
            <w:tcW w:w="1560" w:type="dxa"/>
            <w:tcMar>
              <w:top w:w="120" w:type="dxa"/>
              <w:left w:w="180" w:type="dxa"/>
              <w:bottom w:w="120" w:type="dxa"/>
              <w:right w:w="180" w:type="dxa"/>
            </w:tcMar>
          </w:tcPr>
          <w:p>
            <w:pPr>
              <w:spacing w:after="0"/>
            </w:pPr>
            <w:r>
              <w:t xml:space="preserve">Customer</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Sofia Marin</w:t>
            </w:r>
          </w:p>
        </w:tc>
        <w:tc>
          <w:tcPr>
            <w:tcW w:w="1560" w:type="dxa"/>
            <w:tcMar>
              <w:top w:w="120" w:type="dxa"/>
              <w:left w:w="180" w:type="dxa"/>
              <w:bottom w:w="120" w:type="dxa"/>
              <w:right w:w="180" w:type="dxa"/>
            </w:tcMar>
          </w:tcPr>
          <w:p>
            <w:pPr>
              <w:spacing w:after="0"/>
            </w:pPr>
            <w:r>
              <w:t xml:space="preserve">TRUE when the customer opted out of marketing contact.</w:t>
            </w:r>
          </w:p>
        </w:tc>
      </w:tr>
      <w:tr>
        <w:tc>
          <w:tcPr>
            <w:tcW w:w="1560" w:type="dxa"/>
            <w:tcMar>
              <w:top w:w="120" w:type="dxa"/>
              <w:left w:w="180" w:type="dxa"/>
              <w:bottom w:w="120" w:type="dxa"/>
              <w:right w:w="180" w:type="dxa"/>
            </w:tcMar>
          </w:tcPr>
          <w:p>
            <w:pPr>
              <w:spacing w:after="0"/>
            </w:pPr>
            <w:r>
              <w:t xml:space="preserve">SKU</w:t>
            </w:r>
          </w:p>
        </w:tc>
        <w:tc>
          <w:tcPr>
            <w:tcW w:w="1560" w:type="dxa"/>
            <w:tcMar>
              <w:top w:w="120" w:type="dxa"/>
              <w:left w:w="180" w:type="dxa"/>
              <w:bottom w:w="120" w:type="dxa"/>
              <w:right w:w="180" w:type="dxa"/>
            </w:tcMar>
          </w:tcPr>
          <w:p>
            <w:pPr>
              <w:spacing w:after="0"/>
            </w:pPr>
            <w:r>
              <w:t xml:space="preserve">Merchandising</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Derek Boone</w:t>
            </w:r>
          </w:p>
        </w:tc>
        <w:tc>
          <w:tcPr>
            <w:tcW w:w="1560" w:type="dxa"/>
            <w:tcMar>
              <w:top w:w="120" w:type="dxa"/>
              <w:left w:w="180" w:type="dxa"/>
              <w:bottom w:w="120" w:type="dxa"/>
              <w:right w:w="180" w:type="dxa"/>
            </w:tcMar>
          </w:tcPr>
          <w:p>
            <w:pPr>
              <w:spacing w:after="0"/>
            </w:pPr>
            <w:r>
              <w:t xml:space="preserve">Stock-keeping unit, format CT-AAA-nnnn with the category prefix.</w:t>
            </w:r>
          </w:p>
        </w:tc>
      </w:tr>
      <w:tr>
        <w:tc>
          <w:tcPr>
            <w:tcW w:w="1560" w:type="dxa"/>
            <w:tcMar>
              <w:top w:w="120" w:type="dxa"/>
              <w:left w:w="180" w:type="dxa"/>
              <w:bottom w:w="120" w:type="dxa"/>
              <w:right w:w="180" w:type="dxa"/>
            </w:tcMar>
          </w:tcPr>
          <w:p>
            <w:pPr>
              <w:spacing w:after="0"/>
            </w:pPr>
            <w:r>
              <w:t xml:space="preserve">Unit Cost</w:t>
            </w:r>
          </w:p>
        </w:tc>
        <w:tc>
          <w:tcPr>
            <w:tcW w:w="1560" w:type="dxa"/>
            <w:tcMar>
              <w:top w:w="120" w:type="dxa"/>
              <w:left w:w="180" w:type="dxa"/>
              <w:bottom w:w="120" w:type="dxa"/>
              <w:right w:w="180" w:type="dxa"/>
            </w:tcMar>
          </w:tcPr>
          <w:p>
            <w:pPr>
              <w:spacing w:after="0"/>
            </w:pPr>
            <w:r>
              <w:t xml:space="preserve">Merchandising</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Derek Boone</w:t>
            </w:r>
          </w:p>
        </w:tc>
        <w:tc>
          <w:tcPr>
            <w:tcW w:w="1560" w:type="dxa"/>
            <w:tcMar>
              <w:top w:w="120" w:type="dxa"/>
              <w:left w:w="180" w:type="dxa"/>
              <w:bottom w:w="120" w:type="dxa"/>
              <w:right w:w="180" w:type="dxa"/>
            </w:tcMar>
          </w:tcPr>
          <w:p>
            <w:pPr>
              <w:spacing w:after="0"/>
            </w:pPr>
            <w:r>
              <w:t xml:space="preserve">Landed unit cost from the supplier; commercially sensitive.</w:t>
            </w:r>
          </w:p>
        </w:tc>
      </w:tr>
      <w:tr>
        <w:tc>
          <w:tcPr>
            <w:tcW w:w="1560" w:type="dxa"/>
            <w:tcMar>
              <w:top w:w="120" w:type="dxa"/>
              <w:left w:w="180" w:type="dxa"/>
              <w:bottom w:w="120" w:type="dxa"/>
              <w:right w:w="180" w:type="dxa"/>
            </w:tcMar>
          </w:tcPr>
          <w:p>
            <w:pPr>
              <w:spacing w:after="0"/>
            </w:pPr>
            <w:r>
              <w:t xml:space="preserve">Quantity On Hand</w:t>
            </w:r>
          </w:p>
        </w:tc>
        <w:tc>
          <w:tcPr>
            <w:tcW w:w="1560" w:type="dxa"/>
            <w:tcMar>
              <w:top w:w="120" w:type="dxa"/>
              <w:left w:w="180" w:type="dxa"/>
              <w:bottom w:w="120" w:type="dxa"/>
              <w:right w:w="180" w:type="dxa"/>
            </w:tcMar>
          </w:tcPr>
          <w:p>
            <w:pPr>
              <w:spacing w:after="0"/>
            </w:pPr>
            <w:r>
              <w:t xml:space="preserve">Inventory</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Derek Boone</w:t>
            </w:r>
          </w:p>
        </w:tc>
        <w:tc>
          <w:tcPr>
            <w:tcW w:w="1560" w:type="dxa"/>
            <w:tcMar>
              <w:top w:w="120" w:type="dxa"/>
              <w:left w:w="180" w:type="dxa"/>
              <w:bottom w:w="120" w:type="dxa"/>
              <w:right w:w="180" w:type="dxa"/>
            </w:tcMar>
          </w:tcPr>
          <w:p>
            <w:pPr>
              <w:spacing w:after="0"/>
            </w:pPr>
            <w:r>
              <w:t xml:space="preserve">Units physically on hand at last count.</w:t>
            </w:r>
          </w:p>
        </w:tc>
      </w:tr>
      <w:tr>
        <w:tc>
          <w:tcPr>
            <w:tcW w:w="1560" w:type="dxa"/>
            <w:tcMar>
              <w:top w:w="120" w:type="dxa"/>
              <w:left w:w="180" w:type="dxa"/>
              <w:bottom w:w="120" w:type="dxa"/>
              <w:right w:w="180" w:type="dxa"/>
            </w:tcMar>
          </w:tcPr>
          <w:p>
            <w:pPr>
              <w:spacing w:after="0"/>
            </w:pPr>
            <w:r>
              <w:t xml:space="preserve">Order Number</w:t>
            </w:r>
          </w:p>
        </w:tc>
        <w:tc>
          <w:tcPr>
            <w:tcW w:w="1560" w:type="dxa"/>
            <w:tcMar>
              <w:top w:w="120" w:type="dxa"/>
              <w:left w:w="180" w:type="dxa"/>
              <w:bottom w:w="120" w:type="dxa"/>
              <w:right w:w="180" w:type="dxa"/>
            </w:tcMar>
          </w:tcPr>
          <w:p>
            <w:pPr>
              <w:spacing w:after="0"/>
            </w:pPr>
            <w:r>
              <w:t xml:space="preserve">Orders &amp; Fulfillment</w:t>
            </w:r>
          </w:p>
        </w:tc>
        <w:tc>
          <w:tcPr>
            <w:tcW w:w="1560" w:type="dxa"/>
            <w:tcMar>
              <w:top w:w="120" w:type="dxa"/>
              <w:left w:w="180" w:type="dxa"/>
              <w:bottom w:w="120" w:type="dxa"/>
              <w:right w:w="180" w:type="dxa"/>
            </w:tcMar>
          </w:tcPr>
          <w:p>
            <w:pPr>
              <w:spacing w:after="0"/>
            </w:pPr>
            <w:r>
              <w:t xml:space="preserve">Medium</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Sofia Marin</w:t>
            </w:r>
          </w:p>
        </w:tc>
        <w:tc>
          <w:tcPr>
            <w:tcW w:w="1560" w:type="dxa"/>
            <w:tcMar>
              <w:top w:w="120" w:type="dxa"/>
              <w:left w:w="180" w:type="dxa"/>
              <w:bottom w:w="120" w:type="dxa"/>
              <w:right w:w="180" w:type="dxa"/>
            </w:tcMar>
          </w:tcPr>
          <w:p>
            <w:pPr>
              <w:spacing w:after="0"/>
            </w:pPr>
            <w:r>
              <w:t xml:space="preserve">Customer-facing order number, format SO-nnnnnnnn.</w:t>
            </w:r>
          </w:p>
        </w:tc>
      </w:tr>
      <w:tr>
        <w:tc>
          <w:tcPr>
            <w:tcW w:w="1560" w:type="dxa"/>
            <w:tcMar>
              <w:top w:w="120" w:type="dxa"/>
              <w:left w:w="180" w:type="dxa"/>
              <w:bottom w:w="120" w:type="dxa"/>
              <w:right w:w="180" w:type="dxa"/>
            </w:tcMar>
          </w:tcPr>
          <w:p>
            <w:pPr>
              <w:spacing w:after="0"/>
            </w:pPr>
            <w:r>
              <w:t xml:space="preserve">Discount Percent</w:t>
            </w:r>
          </w:p>
        </w:tc>
        <w:tc>
          <w:tcPr>
            <w:tcW w:w="1560" w:type="dxa"/>
            <w:tcMar>
              <w:top w:w="120" w:type="dxa"/>
              <w:left w:w="180" w:type="dxa"/>
              <w:bottom w:w="120" w:type="dxa"/>
              <w:right w:w="180" w:type="dxa"/>
            </w:tcMar>
          </w:tcPr>
          <w:p>
            <w:pPr>
              <w:spacing w:after="0"/>
            </w:pPr>
            <w:r>
              <w:t xml:space="preserve">Orders &amp; Fulfillment</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Sofia Marin</w:t>
            </w:r>
          </w:p>
        </w:tc>
        <w:tc>
          <w:tcPr>
            <w:tcW w:w="1560" w:type="dxa"/>
            <w:tcMar>
              <w:top w:w="120" w:type="dxa"/>
              <w:left w:w="180" w:type="dxa"/>
              <w:bottom w:w="120" w:type="dxa"/>
              <w:right w:w="180" w:type="dxa"/>
            </w:tcMar>
          </w:tcPr>
          <w:p>
            <w:pPr>
              <w:spacing w:after="0"/>
            </w:pPr>
            <w:r>
              <w:t xml:space="preserve">Line discount percentage; policy ceiling is 40%.</w:t>
            </w:r>
          </w:p>
        </w:tc>
      </w:tr>
      <w:tr>
        <w:tc>
          <w:tcPr>
            <w:tcW w:w="1560" w:type="dxa"/>
            <w:tcMar>
              <w:top w:w="120" w:type="dxa"/>
              <w:left w:w="180" w:type="dxa"/>
              <w:bottom w:w="120" w:type="dxa"/>
              <w:right w:w="180" w:type="dxa"/>
            </w:tcMar>
          </w:tcPr>
          <w:p>
            <w:pPr>
              <w:spacing w:after="0"/>
            </w:pPr>
            <w:r>
              <w:t xml:space="preserve">Card Number</w:t>
            </w:r>
          </w:p>
        </w:tc>
        <w:tc>
          <w:tcPr>
            <w:tcW w:w="1560" w:type="dxa"/>
            <w:tcMar>
              <w:top w:w="120" w:type="dxa"/>
              <w:left w:w="180" w:type="dxa"/>
              <w:bottom w:w="120" w:type="dxa"/>
              <w:right w:w="180" w:type="dxa"/>
            </w:tcMar>
          </w:tcPr>
          <w:p>
            <w:pPr>
              <w:spacing w:after="0"/>
            </w:pPr>
            <w:r>
              <w:t xml:space="preserve">Payments</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Private</w:t>
            </w:r>
          </w:p>
        </w:tc>
        <w:tc>
          <w:tcPr>
            <w:tcW w:w="1560" w:type="dxa"/>
            <w:tcMar>
              <w:top w:w="120" w:type="dxa"/>
              <w:left w:w="180" w:type="dxa"/>
              <w:bottom w:w="120" w:type="dxa"/>
              <w:right w:w="180" w:type="dxa"/>
            </w:tcMar>
          </w:tcPr>
          <w:p>
            <w:pPr>
              <w:spacing w:after="0"/>
            </w:pPr>
            <w:r>
              <w:t xml:space="preserve">Ken Tanaka</w:t>
            </w:r>
          </w:p>
        </w:tc>
        <w:tc>
          <w:tcPr>
            <w:tcW w:w="1560" w:type="dxa"/>
            <w:tcMar>
              <w:top w:w="120" w:type="dxa"/>
              <w:left w:w="180" w:type="dxa"/>
              <w:bottom w:w="120" w:type="dxa"/>
              <w:right w:w="180" w:type="dxa"/>
            </w:tcMar>
          </w:tcPr>
          <w:p>
            <w:pPr>
              <w:spacing w:after="0"/>
            </w:pPr>
            <w:r>
              <w:t xml:space="preserve">Payment card number (PAN). Stored unmasked today — a documented defect.</w:t>
            </w:r>
          </w:p>
        </w:tc>
      </w:tr>
      <w:tr>
        <w:tc>
          <w:tcPr>
            <w:tcW w:w="1560" w:type="dxa"/>
            <w:tcMar>
              <w:top w:w="120" w:type="dxa"/>
              <w:left w:w="180" w:type="dxa"/>
              <w:bottom w:w="120" w:type="dxa"/>
              <w:right w:w="180" w:type="dxa"/>
            </w:tcMar>
          </w:tcPr>
          <w:p>
            <w:pPr>
              <w:spacing w:after="0"/>
            </w:pPr>
            <w:r>
              <w:t xml:space="preserve">Terms Code</w:t>
            </w:r>
          </w:p>
        </w:tc>
        <w:tc>
          <w:tcPr>
            <w:tcW w:w="1560" w:type="dxa"/>
            <w:tcMar>
              <w:top w:w="120" w:type="dxa"/>
              <w:left w:w="180" w:type="dxa"/>
              <w:bottom w:w="120" w:type="dxa"/>
              <w:right w:w="180" w:type="dxa"/>
            </w:tcMar>
          </w:tcPr>
          <w:p>
            <w:pPr>
              <w:spacing w:after="0"/>
            </w:pPr>
            <w:r>
              <w:t xml:space="preserve">Suppliers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Derek Boone</w:t>
            </w:r>
          </w:p>
        </w:tc>
        <w:tc>
          <w:tcPr>
            <w:tcW w:w="1560" w:type="dxa"/>
            <w:tcMar>
              <w:top w:w="120" w:type="dxa"/>
              <w:left w:w="180" w:type="dxa"/>
              <w:bottom w:w="120" w:type="dxa"/>
              <w:right w:w="180" w:type="dxa"/>
            </w:tcMar>
          </w:tcPr>
          <w:p>
            <w:pPr>
              <w:spacing w:after="0"/>
            </w:pPr>
            <w:r>
              <w:t xml:space="preserve">Payment terms: NET30, NET45, NET60 or PREPAID.</w:t>
            </w:r>
          </w:p>
        </w:tc>
      </w:tr>
      <w:tr>
        <w:tc>
          <w:tcPr>
            <w:tcW w:w="1560" w:type="dxa"/>
            <w:tcMar>
              <w:top w:w="120" w:type="dxa"/>
              <w:left w:w="180" w:type="dxa"/>
              <w:bottom w:w="120" w:type="dxa"/>
              <w:right w:w="180" w:type="dxa"/>
            </w:tcMar>
          </w:tcPr>
          <w:p>
            <w:pPr>
              <w:spacing w:after="0"/>
            </w:pPr>
            <w:r>
              <w:t xml:space="preserve">Case Type Code</w:t>
            </w:r>
          </w:p>
        </w:tc>
        <w:tc>
          <w:tcPr>
            <w:tcW w:w="1560" w:type="dxa"/>
            <w:tcMar>
              <w:top w:w="120" w:type="dxa"/>
              <w:left w:w="180" w:type="dxa"/>
              <w:bottom w:w="120" w:type="dxa"/>
              <w:right w:w="180" w:type="dxa"/>
            </w:tcMar>
          </w:tcPr>
          <w:p>
            <w:pPr>
              <w:spacing w:after="0"/>
            </w:pPr>
            <w:r>
              <w:t xml:space="preserve">Loss Prevention &amp; Compliance</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Alicia Vega</w:t>
            </w:r>
          </w:p>
        </w:tc>
        <w:tc>
          <w:tcPr>
            <w:tcW w:w="1560" w:type="dxa"/>
            <w:tcMar>
              <w:top w:w="120" w:type="dxa"/>
              <w:left w:w="180" w:type="dxa"/>
              <w:bottom w:w="120" w:type="dxa"/>
              <w:right w:w="180" w:type="dxa"/>
            </w:tcMar>
          </w:tcPr>
          <w:p>
            <w:pPr>
              <w:spacing w:after="0"/>
            </w:pPr>
            <w:r>
              <w:t xml:space="preserve">LP case classification: REFUND_ABUSE, SHRINK, CARD_FRAUD or TILL_SHORTAGE.</w:t>
            </w:r>
          </w:p>
        </w:tc>
      </w:tr>
      <w:tr>
        <w:tc>
          <w:tcPr>
            <w:tcW w:w="1560" w:type="dxa"/>
            <w:tcMar>
              <w:top w:w="120" w:type="dxa"/>
              <w:left w:w="180" w:type="dxa"/>
              <w:bottom w:w="120" w:type="dxa"/>
              <w:right w:w="180" w:type="dxa"/>
            </w:tcMar>
          </w:tcPr>
          <w:p>
            <w:pPr>
              <w:spacing w:after="0"/>
            </w:pPr>
            <w:r>
              <w:t xml:space="preserve">Case Notes</w:t>
            </w:r>
          </w:p>
        </w:tc>
        <w:tc>
          <w:tcPr>
            <w:tcW w:w="1560" w:type="dxa"/>
            <w:tcMar>
              <w:top w:w="120" w:type="dxa"/>
              <w:left w:w="180" w:type="dxa"/>
              <w:bottom w:w="120" w:type="dxa"/>
              <w:right w:w="180" w:type="dxa"/>
            </w:tcMar>
          </w:tcPr>
          <w:p>
            <w:pPr>
              <w:spacing w:after="0"/>
            </w:pPr>
            <w:r>
              <w:t xml:space="preserve">Loss Prevention &amp; Compliance</w:t>
            </w:r>
          </w:p>
        </w:tc>
        <w:tc>
          <w:tcPr>
            <w:tcW w:w="1560" w:type="dxa"/>
            <w:tcMar>
              <w:top w:w="120" w:type="dxa"/>
              <w:left w:w="180" w:type="dxa"/>
              <w:bottom w:w="120" w:type="dxa"/>
              <w:right w:w="180" w:type="dxa"/>
            </w:tcMar>
          </w:tcPr>
          <w:p>
            <w:pPr>
              <w:spacing w:after="0"/>
            </w:pPr>
            <w:r>
              <w:t xml:space="preserve">High</w:t>
            </w:r>
          </w:p>
        </w:tc>
        <w:tc>
          <w:tcPr>
            <w:tcW w:w="1560" w:type="dxa"/>
            <w:tcMar>
              <w:top w:w="120" w:type="dxa"/>
              <w:left w:w="180" w:type="dxa"/>
              <w:bottom w:w="120" w:type="dxa"/>
              <w:right w:w="180" w:type="dxa"/>
            </w:tcMar>
          </w:tcPr>
          <w:p>
            <w:pPr>
              <w:spacing w:after="0"/>
            </w:pPr>
            <w:r>
              <w:t xml:space="preserve">Company Confidential</w:t>
            </w:r>
          </w:p>
        </w:tc>
        <w:tc>
          <w:tcPr>
            <w:tcW w:w="1560" w:type="dxa"/>
            <w:tcMar>
              <w:top w:w="120" w:type="dxa"/>
              <w:left w:w="180" w:type="dxa"/>
              <w:bottom w:w="120" w:type="dxa"/>
              <w:right w:w="180" w:type="dxa"/>
            </w:tcMar>
          </w:tcPr>
          <w:p>
            <w:pPr>
              <w:spacing w:after="0"/>
            </w:pPr>
            <w:r>
              <w:t xml:space="preserve">Alicia Vega</w:t>
            </w:r>
          </w:p>
        </w:tc>
        <w:tc>
          <w:tcPr>
            <w:tcW w:w="1560" w:type="dxa"/>
            <w:tcMar>
              <w:top w:w="120" w:type="dxa"/>
              <w:left w:w="180" w:type="dxa"/>
              <w:bottom w:w="120" w:type="dxa"/>
              <w:right w:w="180" w:type="dxa"/>
            </w:tcMar>
          </w:tcPr>
          <w:p>
            <w:pPr>
              <w:spacing w:after="0"/>
            </w:pPr>
            <w:r>
              <w:t xml:space="preserve">Free-text investigation detail; access restricted to LP.</w:t>
            </w:r>
          </w:p>
        </w:tc>
      </w:tr>
      <w:tr>
        <w:tc>
          <w:tcPr>
            <w:tcW w:w="1560" w:type="dxa"/>
            <w:tcMar>
              <w:top w:w="120" w:type="dxa"/>
              <w:left w:w="180" w:type="dxa"/>
              <w:bottom w:w="120" w:type="dxa"/>
              <w:right w:w="180" w:type="dxa"/>
            </w:tcMar>
          </w:tcPr>
          <w:p>
            <w:pPr>
              <w:spacing w:after="0"/>
            </w:pPr>
            <w:r>
              <w:t xml:space="preserve">Store Name</w:t>
            </w:r>
          </w:p>
        </w:tc>
        <w:tc>
          <w:tcPr>
            <w:tcW w:w="1560" w:type="dxa"/>
            <w:tcMar>
              <w:top w:w="120" w:type="dxa"/>
              <w:left w:w="180" w:type="dxa"/>
              <w:bottom w:w="120" w:type="dxa"/>
              <w:right w:w="180" w:type="dxa"/>
            </w:tcMar>
          </w:tcPr>
          <w:p>
            <w:pPr>
              <w:spacing w:after="0"/>
            </w:pPr>
            <w:r>
              <w:t xml:space="preserve">Store Operations</w:t>
            </w:r>
          </w:p>
        </w:tc>
        <w:tc>
          <w:tcPr>
            <w:tcW w:w="1560" w:type="dxa"/>
            <w:tcMar>
              <w:top w:w="120" w:type="dxa"/>
              <w:left w:w="180" w:type="dxa"/>
              <w:bottom w:w="120" w:type="dxa"/>
              <w:right w:w="180" w:type="dxa"/>
            </w:tcMar>
          </w:tcPr>
          <w:p>
            <w:pPr>
              <w:spacing w:after="0"/>
            </w:pPr>
            <w:r>
              <w:t xml:space="preserve">Low</w:t>
            </w:r>
          </w:p>
        </w:tc>
        <w:tc>
          <w:tcPr>
            <w:tcW w:w="1560" w:type="dxa"/>
            <w:tcMar>
              <w:top w:w="120" w:type="dxa"/>
              <w:left w:w="180" w:type="dxa"/>
              <w:bottom w:w="120" w:type="dxa"/>
              <w:right w:w="180" w:type="dxa"/>
            </w:tcMar>
          </w:tcPr>
          <w:p>
            <w:pPr>
              <w:spacing w:after="0"/>
            </w:pPr>
            <w:r>
              <w:t xml:space="preserve">Public</w:t>
            </w:r>
          </w:p>
        </w:tc>
        <w:tc>
          <w:tcPr>
            <w:tcW w:w="1560" w:type="dxa"/>
            <w:tcMar>
              <w:top w:w="120" w:type="dxa"/>
              <w:left w:w="180" w:type="dxa"/>
              <w:bottom w:w="120" w:type="dxa"/>
              <w:right w:w="180" w:type="dxa"/>
            </w:tcMar>
          </w:tcPr>
          <w:p>
            <w:pPr>
              <w:spacing w:after="0"/>
            </w:pPr>
            <w:r>
              <w:t xml:space="preserve">Sofia Marin</w:t>
            </w:r>
          </w:p>
        </w:tc>
        <w:tc>
          <w:tcPr>
            <w:tcW w:w="1560" w:type="dxa"/>
            <w:tcMar>
              <w:top w:w="120" w:type="dxa"/>
              <w:left w:w="180" w:type="dxa"/>
              <w:bottom w:w="120" w:type="dxa"/>
              <w:right w:w="180" w:type="dxa"/>
            </w:tcMar>
          </w:tcPr>
          <w:p>
            <w:pPr>
              <w:spacing w:after="0"/>
            </w:pPr>
            <w:r>
              <w:t xml:space="preserve">Public-facing name of a CTO store.</w:t>
            </w:r>
          </w:p>
        </w:tc>
      </w:tr>
    </w:tbl>
    <w:p>
      <w:pPr>
        <w:spacing w:after="120"/>
      </w:pPr>
    </w:p>
    <w:p>
      <w:pPr>
        <w:pStyle w:val="Heading1"/>
      </w:pPr>
      <w:r>
        <w:t xml:space="preserve">Step-by-step</w:t>
      </w:r>
    </w:p>
    <w:p>
      <w:pPr>
        <w:pStyle w:val="Heading2"/>
      </w:pPr>
      <w:r>
        <w:t xml:space="preserve">Part A — Create the glossary in the Data Canvas</w:t>
      </w:r>
    </w:p>
    <w:p>
      <w:pPr>
        <w:pStyle w:val="ListParagraph"/>
        <w:numPr>
          <w:ilvl w:val="0"/>
          <w:numId w:val="100"/>
        </w:numPr>
        <w:spacing w:after="80" w:line="264" w:lineRule="auto"/>
      </w:pPr>
      <w:r>
        <w:t xml:space="preserve">Click </w:t>
      </w:r>
      <w:r>
        <w:rPr>
          <w:b/>
          <w:bCs/>
        </w:rPr>
        <w:t xml:space="preserve">Glossary</w:t>
      </w:r>
      <w:r>
        <w:t xml:space="preserve"> in the left navigation menu to open the Business Glossary page.</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Glossary</w:t>
      </w:r>
      <w:r>
        <w:t xml:space="preserve">. Name it </w:t>
      </w:r>
      <w:r>
        <w:rPr>
          <w:rFonts w:ascii="Consolas" w:hAnsi="Consolas"/>
          <w:color w:val="0A5560"/>
          <w:sz w:val="20"/>
          <w:szCs w:val="20"/>
        </w:rPr>
        <w:t xml:space="preserve">CTO Business Glossary</w:t>
      </w:r>
      <w:r>
        <w:t xml:space="preserve"> and click Continue. Add a Definition and a Purpose.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Glossary → Category → Term</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Category</w:t>
      </w:r>
      <w:r>
        <w:t xml:space="preserve">. Create the eight categories: </w:t>
      </w:r>
      <w:r>
        <w:rPr>
          <w:b/>
          <w:bCs/>
        </w:rPr>
        <w:t xml:space="preserve">Customer, Merchandising, Inventory, Orders &amp; Fulfillment, Payments, Suppliers, Loss Prevention &amp; Compliance,</w:t>
      </w:r>
      <w:r>
        <w:t xml:space="preserve"> and </w:t>
      </w:r>
      <w:r>
        <w:rPr>
          <w:b/>
          <w:bCs/>
        </w:rPr>
        <w:t xml:space="preserve">Store Operations</w:t>
      </w:r>
      <w:r>
        <w:t xml:space="preserve"> — each with the CTO Business Glossary as its Parent.</w:t>
      </w:r>
    </w:p>
    <w:p>
      <w:pPr>
        <w:pStyle w:val="ListParagraph"/>
        <w:numPr>
          <w:ilvl w:val="0"/>
          <w:numId w:val="100"/>
        </w:numPr>
        <w:spacing w:after="80" w:line="264" w:lineRule="auto"/>
      </w:pPr>
      <w:r>
        <w:t xml:space="preserve">Click </w:t>
      </w:r>
      <w:r>
        <w:rPr>
          <w:b/>
          <w:bCs/>
        </w:rPr>
        <w:t xml:space="preserve">Actions</w:t>
      </w:r>
      <w:r>
        <w:t xml:space="preserve">, then </w:t>
      </w:r>
      <w:r>
        <w:rPr>
          <w:b/>
          <w:bCs/>
        </w:rPr>
        <w:t xml:space="preserve">Add New Term</w:t>
      </w:r>
      <w:r>
        <w:t xml:space="preserve">. For each term in the table above, enter its name, choose its category as the Parent, click Create, then add its Definition.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Term</w:t>
      </w:r>
    </w:p>
    <w:p>
      <w:pPr>
        <w:pStyle w:val="ListParagraph"/>
        <w:numPr>
          <w:ilvl w:val="0"/>
          <w:numId w:val="100"/>
        </w:numPr>
        <w:spacing w:after="80" w:line="264" w:lineRule="auto"/>
      </w:pPr>
      <w:r>
        <w:t xml:space="preserve">On each term's Summary tab, open the Properties panel and set Sensitivity, Domain, Classification, Business Steward, Owner, Custodian, Stakeholders, and the Review Date. Set Status to </w:t>
      </w:r>
      <w:r>
        <w:rPr>
          <w:b/>
          <w:bCs/>
        </w:rPr>
        <w:t xml:space="preserve">Accepted</w:t>
      </w:r>
      <w:r>
        <w:t xml:space="preserve"> when the term is ready.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Term Properties panel filled in</w:t>
      </w:r>
    </w:p>
    <w:p>
      <w:pPr>
        <w:pStyle w:val="ListParagraph"/>
        <w:numPr>
          <w:ilvl w:val="0"/>
          <w:numId w:val="100"/>
        </w:numPr>
        <w:spacing w:after="80" w:line="264" w:lineRule="auto"/>
      </w:pPr>
      <w:r>
        <w:t xml:space="preserve">(Optional) Add Tags such as </w:t>
      </w:r>
      <w:r>
        <w:rPr>
          <w:rFonts w:ascii="Consolas" w:hAnsi="Consolas"/>
          <w:color w:val="0A5560"/>
          <w:sz w:val="20"/>
          <w:szCs w:val="20"/>
        </w:rPr>
        <w:t xml:space="preserve">pii</w:t>
      </w:r>
      <w:r>
        <w:t xml:space="preserve">, </w:t>
      </w:r>
      <w:r>
        <w:rPr>
          <w:rFonts w:ascii="Consolas" w:hAnsi="Consolas"/>
          <w:color w:val="0A5560"/>
          <w:sz w:val="20"/>
          <w:szCs w:val="20"/>
        </w:rPr>
        <w:t xml:space="preserve">pci</w:t>
      </w:r>
      <w:r>
        <w:t xml:space="preserve">, or </w:t>
      </w:r>
      <w:r>
        <w:rPr>
          <w:rFonts w:ascii="Consolas" w:hAnsi="Consolas"/>
          <w:color w:val="0A5560"/>
          <w:sz w:val="20"/>
          <w:szCs w:val="20"/>
        </w:rPr>
        <w:t xml:space="preserve">privacy</w:t>
      </w:r>
      <w:r>
        <w:t xml:space="preserve"> for quick discovery — tags complement the term, they do not replace it.</w:t>
      </w:r>
    </w:p>
    <w:p>
      <w:pPr>
        <w:jc w:val="center"/>
        <w:spacing w:before="120" w:after="160"/>
      </w:pPr>
      <w:r>
        <w:drawing>
          <wp:inline xmlns:wp="http://schemas.openxmlformats.org/drawingml/2006/wordprocessingDrawing" distT="0" distB="0" distL="0" distR="0">
            <wp:extent cx="5760720" cy="3028070"/>
            <wp:docPr id="101" name="two-apps"/>
            <a:graphic xmlns:a="http://schemas.openxmlformats.org/drawingml/2006/main">
              <a:graphicData uri="http://schemas.openxmlformats.org/drawingml/2006/picture">
                <pic:pic xmlns:pic="http://schemas.openxmlformats.org/drawingml/2006/picture">
                  <pic:nvPicPr>
                    <pic:cNvPr id="101" name="two-apps"/>
                    <pic:cNvPicPr/>
                  </pic:nvPicPr>
                  <pic:blipFill>
                    <a:blip r:embed="rId101"/>
                    <a:stretch>
                      <a:fillRect/>
                    </a:stretch>
                  </pic:blipFill>
                  <pic:spPr>
                    <a:xfrm>
                      <a:off x="0" y="0"/>
                      <a:ext cx="5760720" cy="3028070"/>
                    </a:xfrm>
                    <a:prstGeom prst="rect">
                      <a:avLst/>
                    </a:prstGeom>
                  </pic:spPr>
                </pic:pic>
              </a:graphicData>
            </a:graphic>
          </wp:inline>
        </w:drawing>
      </w:r>
    </w:p>
    <w:p>
      <w:pPr>
        <w:pStyle w:val="Heading2"/>
      </w:pPr>
      <w:r>
        <w:t xml:space="preserve">Part B — Import the glossary from a file (the bulk method)</w:t>
      </w:r>
    </w:p>
    <w:p>
      <w:pPr>
        <w:spacing w:after="120"/>
      </w:pPr>
      <w:r>
        <w:t xml:space="preserve">Building terms by hand is fine for a handful; for a real glossary you import. PDC imports JSON Lines or CSV. This workshop ships the full CTO glossary as </w:t>
      </w:r>
      <w:r>
        <w:rPr>
          <w:rFonts w:ascii="Consolas" w:hAnsi="Consolas"/>
          <w:color w:val="0A5560"/>
          <w:sz w:val="20"/>
          <w:szCs w:val="20"/>
        </w:rPr>
        <w:t xml:space="preserve">CTO-Business-Glossary.jsonl</w:t>
      </w:r>
      <w:r>
        <w:t xml:space="preserve"> — 109 records covering the glossary, all eight categories, and 100 terms with definitions, sensitivities and CDE flags already set.</w:t>
      </w:r>
    </w:p>
    <w:p>
      <w:pPr>
        <w:pBdr>
          <w:left w:val="single" w:sz="12" w:space="8" w:color="065A82"/>
        </w:pBdr>
        <w:shd w:val="clear" w:color="auto" w:fill="EEF6FA"/>
        <w:ind w:left="240" w:right="240"/>
        <w:spacing w:before="120" w:after="160"/>
      </w:pPr>
      <w:r>
        <w:rPr>
          <w:b/>
          <w:bCs/>
        </w:rPr>
        <w:t xml:space="preserve">Two paths to the same glossary.</w:t>
      </w:r>
      <w:r>
        <w:t xml:space="preserve"> A file like this can also be produced by the </w:t>
      </w:r>
      <w:r>
        <w:rPr>
          <w:b/>
          <w:bCs/>
        </w:rPr>
        <w:t xml:space="preserve">Glossary Generator app</w:t>
      </w:r>
      <w:r>
        <w:t xml:space="preserve"> (scan → suggest → steward review → export) running against the RETAIL domain pack. In this workshop you consume the shipped file as a Business Steward; with the app installed (</w:t>
      </w:r>
      <w:r>
        <w:rPr>
          <w:rFonts w:ascii="Consolas" w:hAnsi="Consolas"/>
          <w:color w:val="0A5560"/>
          <w:sz w:val="20"/>
          <w:szCs w:val="20"/>
        </w:rPr>
        <w:t xml:space="preserve">install-scenario.ps1</w:t>
      </w:r>
      <w:r>
        <w:t xml:space="preserve"> → RETAIL) you can produce it yourself. Use one path per environment, not both — the import lands the whole tree.</w:t>
      </w:r>
    </w:p>
    <w:p>
      <w:pPr>
        <w:pStyle w:val="ListParagraph"/>
        <w:numPr>
          <w:ilvl w:val="0"/>
          <w:numId w:val="101"/>
        </w:numPr>
        <w:spacing w:after="80" w:line="264" w:lineRule="auto"/>
      </w:pPr>
      <w:r>
        <w:t xml:space="preserve">Get the exact format first: after building one term in Part A, click </w:t>
      </w:r>
      <w:r>
        <w:rPr>
          <w:b/>
          <w:bCs/>
        </w:rPr>
        <w:t xml:space="preserve">Actions</w:t>
      </w:r>
      <w:r>
        <w:t xml:space="preserve">, then </w:t>
      </w:r>
      <w:r>
        <w:rPr>
          <w:b/>
          <w:bCs/>
        </w:rPr>
        <w:t xml:space="preserve">Export</w:t>
      </w:r>
      <w:r>
        <w:t xml:space="preserve">, choose CSV or JSON, and download. The exported file's columns are the precise schema any hand-built import must match. (The supplied JSONL is already in that shape.)</w:t>
      </w:r>
    </w:p>
    <w:p>
      <w:pPr>
        <w:pStyle w:val="ListParagraph"/>
        <w:numPr>
          <w:ilvl w:val="0"/>
          <w:numId w:val="101"/>
        </w:numPr>
        <w:spacing w:after="80" w:line="264" w:lineRule="auto"/>
      </w:pPr>
      <w:r>
        <w:t xml:space="preserve">On the Business Glossary page, click </w:t>
      </w:r>
      <w:r>
        <w:rPr>
          <w:b/>
          <w:bCs/>
        </w:rPr>
        <w:t xml:space="preserve">Actions</w:t>
      </w:r>
      <w:r>
        <w:t xml:space="preserve">, then </w:t>
      </w:r>
      <w:r>
        <w:rPr>
          <w:b/>
          <w:bCs/>
        </w:rPr>
        <w:t xml:space="preserve">Import</w:t>
      </w:r>
      <w:r>
        <w:t xml:space="preserve">, drag in </w:t>
      </w:r>
      <w:r>
        <w:rPr>
          <w:rFonts w:ascii="Consolas" w:hAnsi="Consolas"/>
          <w:color w:val="0A5560"/>
          <w:sz w:val="20"/>
          <w:szCs w:val="20"/>
        </w:rPr>
        <w:t xml:space="preserve">CTO-Business-Glossary.jsonl</w:t>
      </w:r>
      <w:r>
        <w:t xml:space="preserve">, and click Submit.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Import a Glossary</w:t>
      </w:r>
    </w:p>
    <w:p>
      <w:pPr>
        <w:pStyle w:val="ListParagraph"/>
        <w:numPr>
          <w:ilvl w:val="0"/>
          <w:numId w:val="101"/>
        </w:numPr>
        <w:spacing w:after="80" w:line="264" w:lineRule="auto"/>
      </w:pPr>
      <w:r>
        <w:t xml:space="preserve">Confirm the imported glossary, its eight categories, and 100 terms appear in the navigation tree.</w:t>
      </w:r>
    </w:p>
    <w:p>
      <w:pPr>
        <w:pStyle w:val="ListParagraph"/>
        <w:numPr>
          <w:ilvl w:val="0"/>
          <w:numId w:val="101"/>
        </w:numPr>
        <w:spacing w:after="80" w:line="264" w:lineRule="auto"/>
      </w:pPr>
      <w:r>
        <w:t xml:space="preserve">Spot-check two terms: open </w:t>
      </w:r>
      <w:r>
        <w:rPr>
          <w:b/>
          <w:bCs/>
        </w:rPr>
        <w:t xml:space="preserve">Payments → Card Number</w:t>
      </w:r>
      <w:r>
        <w:t xml:space="preserve"> — its definition documents the PCI defect (Workshop 2 planted it), not an approved data element — and </w:t>
      </w:r>
      <w:r>
        <w:rPr>
          <w:b/>
          <w:bCs/>
        </w:rPr>
        <w:t xml:space="preserve">Loss Prevention &amp; Compliance → Case Type Code</w:t>
      </w:r>
      <w:r>
        <w:t xml:space="preserve">, whose definition came straight from the column comment.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Card Number term after import</w:t>
      </w:r>
    </w:p>
    <w:p>
      <w:pPr>
        <w:pBdr>
          <w:left w:val="single" w:sz="12" w:space="8" w:color="065A82"/>
        </w:pBdr>
        <w:shd w:val="clear" w:color="auto" w:fill="EEF6FA"/>
        <w:ind w:left="240" w:right="240"/>
        <w:spacing w:before="120" w:after="160"/>
      </w:pPr>
      <w:r>
        <w:rPr>
          <w:b/>
          <w:bCs/>
        </w:rPr>
        <w:t xml:space="preserve">Export before you import.</w:t>
      </w:r>
      <w:r>
        <w:t xml:space="preserve"> Importer columns can vary by version, so never hand-build a file blind. Export a glossary first — even a one-term one — and mirror its exact headers and Parent references. An exported file is guaranteed to round-trip back in.</w:t>
      </w:r>
    </w:p>
    <w:p>
      <w:pPr>
        <w:pBdr>
          <w:left w:val="single" w:sz="12" w:space="8" w:color="065A82"/>
        </w:pBdr>
        <w:shd w:val="clear" w:color="auto" w:fill="EEF6FA"/>
        <w:ind w:left="240" w:right="240"/>
        <w:spacing w:before="120" w:after="160"/>
      </w:pPr>
      <w:r>
        <w:rPr>
          <w:b/>
          <w:bCs/>
        </w:rPr>
        <w:t xml:space="preserve">Set the people-fields in the UI after import.</w:t>
      </w:r>
      <w:r>
        <w:t xml:space="preserve"> Import carries the descriptive properties — Definition, Sensitivity, Domain, Status, Classification. It does not carry Custodian, Owner, Review Date ("Reviewed At"), or Stakeholders. Those resolve to real users, so the people they name must exist in PDC first (Workshop 0), then be assigned on each term's Summary page after the import lands. Tags and Custom Properties are not in the import file either. Plan the short stewardship pass in Part E to set all of these.</w:t>
      </w:r>
    </w:p>
    <w:p>
      <w:pPr>
        <w:pStyle w:val="Heading2"/>
      </w:pPr>
      <w:r>
        <w:t xml:space="preserve">Part C — Link terms, then feed the table's Trust Score</w:t>
      </w:r>
    </w:p>
    <w:p>
      <w:pPr>
        <w:pBdr>
          <w:left w:val="single" w:sz="12" w:space="8" w:color="065A82"/>
        </w:pBdr>
        <w:shd w:val="clear" w:color="auto" w:fill="EEF6FA"/>
        <w:ind w:left="240" w:right="240"/>
        <w:spacing w:before="120" w:after="160"/>
      </w:pPr>
      <w:r>
        <w:rPr>
          <w:b/>
          <w:bCs/>
        </w:rPr>
        <w:t xml:space="preserve">KEY POINT — Trust Score is a table / file metric, never a column one.</w:t>
      </w:r>
      <w:r>
        <w:t xml:space="preserve"> Calculated at table/file level only. A column never gets its own Trust Score, so linking a term to a column will never produce one — no matter how the term is linked. </w:t>
      </w:r>
      <w:r>
        <w:rPr>
          <w:b/>
          <w:bCs/>
        </w:rPr>
        <w:t xml:space="preserve">The table reads a table-level term.</w:t>
      </w:r>
      <w:r>
        <w:t xml:space="preserve"> Link each table's table-level term (Customer Record, Payment Record, …) to the table itself, then run Calculate Trust Score. That table term — not the column links — is the glossary-term input the score actually reads. </w:t>
      </w:r>
      <w:r>
        <w:rPr>
          <w:b/>
          <w:bCs/>
        </w:rPr>
        <w:t xml:space="preserve">Column links still matter — just not for the score.</w:t>
      </w:r>
      <w:r>
        <w:t xml:space="preserve"> They carry the term's meaning, sensitivity and ownership onto the column for search, lineage and governance. That is their job; feeding a column score is not. </w:t>
      </w:r>
      <w:r>
        <w:rPr>
          <w:b/>
          <w:bCs/>
        </w:rPr>
        <w:t xml:space="preserve">The term input is binary.</w:t>
      </w:r>
      <w:r>
        <w:t xml:space="preserve"> The score asks only whether a meaningful term is assigned — not how many. Over-linking to inflate it is semantically wrong and degrades the governance the score measures. </w:t>
      </w:r>
      <w:r>
        <w:rPr>
          <w:b/>
          <w:bCs/>
        </w:rPr>
        <w:t xml:space="preserve">Need a number on a column?</w:t>
      </w:r>
      <w:r>
        <w:t xml:space="preserve"> It is authored, not calculated — a Technical Track exercise, not part of this workshop.</w:t>
      </w:r>
    </w:p>
    <w:p>
      <w:pPr>
        <w:spacing w:after="120"/>
      </w:pPr>
      <w:r>
        <w:rPr>
          <w:b/>
          <w:bCs/>
        </w:rPr>
        <w:t xml:space="preserve">Where Trust Score lives.</w:t>
      </w:r>
      <w:r>
        <w:t xml:space="preserve"> Trust Score is a native metric on two entity types only: tables and files. In PDC's hierarchy a column sits inside a table and a folder sits above files, so the scored peers are the table and the file — a file is the unstructured twin of a table, scored the same way. A column and a folder are only a part or a container, and never carry a Trust Score.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340"/>
        <w:gridCol w:w="2340"/>
        <w:gridCol w:w="2340"/>
        <w:gridCol w:w="2340"/>
      </w:tblGrid>
      <w:tr>
        <w:tc>
          <w:tcPr>
            <w:tcW w:w="234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Entity</w:t>
            </w:r>
          </w:p>
        </w:tc>
        <w:tc>
          <w:tcPr>
            <w:tcW w:w="2340" w:type="dxa"/>
            <w:shd w:val="clear" w:color="auto" w:fill="EEF6FA"/>
            <w:tcMar>
              <w:top w:w="120" w:type="dxa"/>
              <w:left w:w="180" w:type="dxa"/>
              <w:bottom w:w="120" w:type="dxa"/>
              <w:right w:w="180" w:type="dxa"/>
            </w:tcMar>
          </w:tcPr>
          <w:p>
            <w:pPr>
              <w:spacing w:after="0"/>
            </w:pPr>
            <w:r>
              <w:rPr>
                <w:b/>
                <w:bCs/>
              </w:rPr>
              <w:t xml:space="preserve">Native Trust Score?</w:t>
            </w:r>
          </w:p>
        </w:tc>
        <w:tc>
          <w:tcPr>
            <w:tcW w:w="2340" w:type="dxa"/>
            <w:shd w:val="clear" w:color="auto" w:fill="EEF6FA"/>
            <w:tcMar>
              <w:top w:w="120" w:type="dxa"/>
              <w:left w:w="180" w:type="dxa"/>
              <w:bottom w:w="120" w:type="dxa"/>
              <w:right w:w="180" w:type="dxa"/>
            </w:tcMar>
          </w:tcPr>
          <w:p>
            <w:pPr>
              <w:spacing w:after="0"/>
            </w:pPr>
            <w:r>
              <w:rPr>
                <w:b/>
                <w:bCs/>
              </w:rPr>
              <w:t xml:space="preserve">How it's set</w:t>
            </w:r>
          </w:p>
        </w:tc>
        <w:tc>
          <w:tcPr>
            <w:tcW w:w="2340" w:type="dxa"/>
            <w:shd w:val="clear" w:color="auto" w:fill="EEF6FA"/>
            <w:tcMar>
              <w:top w:w="120" w:type="dxa"/>
              <w:left w:w="180" w:type="dxa"/>
              <w:bottom w:w="120" w:type="dxa"/>
              <w:right w:w="180" w:type="dxa"/>
            </w:tcMar>
          </w:tcPr>
          <w:p>
            <w:pPr>
              <w:spacing w:after="0"/>
            </w:pPr>
            <w:r>
              <w:rPr>
                <w:b/>
                <w:bCs/>
              </w:rPr>
              <w:t xml:space="preserve">What it means / carries</w:t>
            </w:r>
          </w:p>
        </w:tc>
      </w:tr>
      <w:tr>
        <w:tc>
          <w:tcPr>
            <w:tcW w:w="2340" w:type="dxa"/>
            <w:tcMar>
              <w:top w:w="120" w:type="dxa"/>
              <w:left w:w="180" w:type="dxa"/>
              <w:bottom w:w="120" w:type="dxa"/>
              <w:right w:w="180" w:type="dxa"/>
            </w:tcMar>
          </w:tcPr>
          <w:p>
            <w:pPr>
              <w:spacing w:after="0"/>
            </w:pPr>
            <w:r>
              <w:t xml:space="preserve">Table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Calculate (4 inputs) or type a value in Key Metrics</w:t>
            </w:r>
          </w:p>
        </w:tc>
        <w:tc>
          <w:tcPr>
            <w:tcW w:w="2340" w:type="dxa"/>
            <w:tcMar>
              <w:top w:w="120" w:type="dxa"/>
              <w:left w:w="180" w:type="dxa"/>
              <w:bottom w:w="120" w:type="dxa"/>
              <w:right w:w="180" w:type="dxa"/>
            </w:tcMar>
          </w:tcPr>
          <w:p>
            <w:pPr>
              <w:spacing w:after="0"/>
            </w:pPr>
            <w:r>
              <w:t xml:space="preserve">Reliability of the whole table — Data Quality, ratings, verified lineage, and a table-level term</w:t>
            </w:r>
          </w:p>
        </w:tc>
      </w:tr>
      <w:tr>
        <w:tc>
          <w:tcPr>
            <w:tcW w:w="2340" w:type="dxa"/>
            <w:tcMar>
              <w:top w:w="120" w:type="dxa"/>
              <w:left w:w="180" w:type="dxa"/>
              <w:bottom w:w="120" w:type="dxa"/>
              <w:right w:w="180" w:type="dxa"/>
            </w:tcMar>
          </w:tcPr>
          <w:p>
            <w:pPr>
              <w:spacing w:after="0"/>
            </w:pPr>
            <w:r>
              <w:t xml:space="preserve">File</w:t>
            </w:r>
          </w:p>
        </w:tc>
        <w:tc>
          <w:tcPr>
            <w:tcW w:w="2340" w:type="dxa"/>
            <w:tcMar>
              <w:top w:w="120" w:type="dxa"/>
              <w:left w:w="180" w:type="dxa"/>
              <w:bottom w:w="120" w:type="dxa"/>
              <w:right w:w="180" w:type="dxa"/>
            </w:tcMar>
          </w:tcPr>
          <w:p>
            <w:pPr>
              <w:spacing w:after="0"/>
            </w:pPr>
            <w:r>
              <w:t xml:space="preserve">Yes</w:t>
            </w:r>
          </w:p>
        </w:tc>
        <w:tc>
          <w:tcPr>
            <w:tcW w:w="2340" w:type="dxa"/>
            <w:tcMar>
              <w:top w:w="120" w:type="dxa"/>
              <w:left w:w="180" w:type="dxa"/>
              <w:bottom w:w="120" w:type="dxa"/>
              <w:right w:w="180" w:type="dxa"/>
            </w:tcMar>
          </w:tcPr>
          <w:p>
            <w:pPr>
              <w:spacing w:after="0"/>
            </w:pPr>
            <w:r>
              <w:t xml:space="preserve">Same as a table; Data Quality comes from Data Discovery</w:t>
            </w:r>
          </w:p>
        </w:tc>
        <w:tc>
          <w:tcPr>
            <w:tcW w:w="2340" w:type="dxa"/>
            <w:tcMar>
              <w:top w:w="120" w:type="dxa"/>
              <w:left w:w="180" w:type="dxa"/>
              <w:bottom w:w="120" w:type="dxa"/>
              <w:right w:w="180" w:type="dxa"/>
            </w:tcMar>
          </w:tcPr>
          <w:p>
            <w:pPr>
              <w:spacing w:after="0"/>
            </w:pPr>
            <w:r>
              <w:t xml:space="preserve">Reliability of a document — the same four inputs</w:t>
            </w:r>
          </w:p>
        </w:tc>
      </w:tr>
      <w:tr>
        <w:tc>
          <w:tcPr>
            <w:tcW w:w="2340" w:type="dxa"/>
            <w:tcMar>
              <w:top w:w="120" w:type="dxa"/>
              <w:left w:w="180" w:type="dxa"/>
              <w:bottom w:w="120" w:type="dxa"/>
              <w:right w:w="180" w:type="dxa"/>
            </w:tcMar>
          </w:tcPr>
          <w:p>
            <w:pPr>
              <w:spacing w:after="0"/>
            </w:pPr>
            <w:r>
              <w:t xml:space="preserve">Column</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Authored only — bulk-write per column via the API</w:t>
            </w:r>
          </w:p>
        </w:tc>
        <w:tc>
          <w:tcPr>
            <w:tcW w:w="2340" w:type="dxa"/>
            <w:tcMar>
              <w:top w:w="120" w:type="dxa"/>
              <w:left w:w="180" w:type="dxa"/>
              <w:bottom w:w="120" w:type="dxa"/>
              <w:right w:w="180" w:type="dxa"/>
            </w:tcMar>
          </w:tcPr>
          <w:p>
            <w:pPr>
              <w:spacing w:after="0"/>
            </w:pPr>
            <w:r>
              <w:t xml:space="preserve">Profiling/DQ, sensitivity, tags and term links — for governance and discovery, not a score</w:t>
            </w:r>
          </w:p>
        </w:tc>
      </w:tr>
      <w:tr>
        <w:tc>
          <w:tcPr>
            <w:tcW w:w="2340" w:type="dxa"/>
            <w:tcMar>
              <w:top w:w="120" w:type="dxa"/>
              <w:left w:w="180" w:type="dxa"/>
              <w:bottom w:w="120" w:type="dxa"/>
              <w:right w:w="180" w:type="dxa"/>
            </w:tcMar>
          </w:tcPr>
          <w:p>
            <w:pPr>
              <w:spacing w:after="0"/>
            </w:pPr>
            <w:r>
              <w:t xml:space="preserve">Folder</w:t>
            </w:r>
          </w:p>
        </w:tc>
        <w:tc>
          <w:tcPr>
            <w:tcW w:w="2340" w:type="dxa"/>
            <w:tcMar>
              <w:top w:w="120" w:type="dxa"/>
              <w:left w:w="180" w:type="dxa"/>
              <w:bottom w:w="120" w:type="dxa"/>
              <w:right w:w="180" w:type="dxa"/>
            </w:tcMar>
          </w:tcPr>
          <w:p>
            <w:pPr>
              <w:spacing w:after="0"/>
            </w:pPr>
            <w:r>
              <w:t xml:space="preserve">No</w:t>
            </w:r>
          </w:p>
        </w:tc>
        <w:tc>
          <w:tcPr>
            <w:tcW w:w="2340" w:type="dxa"/>
            <w:tcMar>
              <w:top w:w="120" w:type="dxa"/>
              <w:left w:w="180" w:type="dxa"/>
              <w:bottom w:w="120" w:type="dxa"/>
              <w:right w:w="180" w:type="dxa"/>
            </w:tcMar>
          </w:tcPr>
          <w:p>
            <w:pPr>
              <w:spacing w:after="0"/>
            </w:pPr>
            <w:r>
              <w:t xml:space="preserve">— (a container)</w:t>
            </w:r>
          </w:p>
        </w:tc>
        <w:tc>
          <w:tcPr>
            <w:tcW w:w="2340" w:type="dxa"/>
            <w:tcMar>
              <w:top w:w="120" w:type="dxa"/>
              <w:left w:w="180" w:type="dxa"/>
              <w:bottom w:w="120" w:type="dxa"/>
              <w:right w:w="180" w:type="dxa"/>
            </w:tcMar>
          </w:tcPr>
          <w:p>
            <w:pPr>
              <w:spacing w:after="0"/>
            </w:pPr>
            <w:r>
              <w:t xml:space="preserve">The object-store equivalent of a schema; carries no score</w:t>
            </w:r>
          </w:p>
        </w:tc>
      </w:tr>
    </w:tbl>
    <w:p>
      <w:pPr>
        <w:spacing w:after="120"/>
      </w:pPr>
    </w:p>
    <w:p>
      <w:pPr>
        <w:pBdr>
          <w:left w:val="single" w:sz="12" w:space="8" w:color="065A82"/>
        </w:pBdr>
        <w:shd w:val="clear" w:color="auto" w:fill="EEF6FA"/>
        <w:ind w:left="240" w:right="240"/>
        <w:spacing w:before="120" w:after="160"/>
      </w:pPr>
      <w:r>
        <w:rPr>
          <w:b/>
          <w:bCs/>
        </w:rPr>
        <w:t xml:space="preserve">Which terms to map.</w:t>
      </w:r>
      <w:r>
        <w:t xml:space="preserve"> Not every term needs a column, and linking every term to every column to lift a score backfires — it pollutes governance, lineage, and search. Choose what to map by business relevance, then prioritize by risk and criticality: </w:t>
      </w:r>
      <w:r>
        <w:rPr>
          <w:b/>
          <w:bCs/>
        </w:rPr>
        <w:t xml:space="preserve">CDEs and regulated or PII columns first</w:t>
      </w:r>
      <w:r>
        <w:t xml:space="preserve"> — at CTO that is </w:t>
      </w:r>
      <w:r>
        <w:rPr>
          <w:rFonts w:ascii="Consolas" w:hAnsi="Consolas"/>
          <w:color w:val="0A5560"/>
          <w:sz w:val="20"/>
          <w:szCs w:val="20"/>
        </w:rPr>
        <w:t xml:space="preserve">card_no</w:t>
      </w:r>
      <w:r>
        <w:t xml:space="preserve">, </w:t>
      </w:r>
      <w:r>
        <w:rPr>
          <w:rFonts w:ascii="Consolas" w:hAnsi="Consolas"/>
          <w:color w:val="0A5560"/>
          <w:sz w:val="20"/>
          <w:szCs w:val="20"/>
        </w:rPr>
        <w:t xml:space="preserve">loyalty_no</w:t>
      </w:r>
      <w:r>
        <w:t xml:space="preserve">, </w:t>
      </w:r>
      <w:r>
        <w:rPr>
          <w:rFonts w:ascii="Consolas" w:hAnsi="Consolas"/>
          <w:color w:val="0A5560"/>
          <w:sz w:val="20"/>
          <w:szCs w:val="20"/>
        </w:rPr>
        <w:t xml:space="preserve">email</w:t>
      </w:r>
      <w:r>
        <w:t xml:space="preserve">, </w:t>
      </w:r>
      <w:r>
        <w:rPr>
          <w:rFonts w:ascii="Consolas" w:hAnsi="Consolas"/>
          <w:color w:val="0A5560"/>
          <w:sz w:val="20"/>
          <w:szCs w:val="20"/>
        </w:rPr>
        <w:t xml:space="preserve">phone</w:t>
      </w:r>
      <w:r>
        <w:t xml:space="preserve"> and their kin. Flag these as Critical Data Elements, link the right term, set sensitivity and classification, and verify lineage. Then reporting and KPI columns; then the long tail as capacity allows. </w:t>
      </w:r>
      <w:r>
        <w:rPr>
          <w:b/>
          <w:bCs/>
        </w:rPr>
        <w:t xml:space="preserve">Leave concepts unmapped:</w:t>
      </w:r>
      <w:r>
        <w:t xml:space="preserve"> governance terms name ideas the business needs defined, not physical columns, so they are expected to have no data element.</w:t>
      </w:r>
    </w:p>
    <w:p>
      <w:pPr>
        <w:spacing w:after="120"/>
      </w:pPr>
      <w:r>
        <w:rPr>
          <w:b/>
          <w:bCs/>
        </w:rPr>
        <w:t xml:space="preserve">Enrich the columns</w:t>
      </w:r>
      <w:r>
        <w:t xml:space="preserve"> (optional; this does not feed the Trust Score). Work as </w:t>
      </w:r>
      <w:r>
        <w:rPr>
          <w:rFonts w:ascii="Consolas" w:hAnsi="Consolas"/>
          <w:color w:val="0A5560"/>
          <w:sz w:val="20"/>
          <w:szCs w:val="20"/>
        </w:rPr>
        <w:t xml:space="preserve">sofia.marin</w:t>
      </w:r>
      <w:r>
        <w:t xml:space="preserve"> — linking needs the glossary rights of a Business Steward, and her Data Steward side carries the data-source view.</w:t>
      </w:r>
    </w:p>
    <w:p>
      <w:pPr>
        <w:pStyle w:val="ListParagraph"/>
        <w:numPr>
          <w:ilvl w:val="0"/>
          <w:numId w:val="102"/>
        </w:numPr>
        <w:spacing w:after="80" w:line="264" w:lineRule="auto"/>
      </w:pPr>
      <w:r>
        <w:t xml:space="preserve">Click </w:t>
      </w:r>
      <w:r>
        <w:rPr>
          <w:b/>
          <w:bCs/>
        </w:rPr>
        <w:t xml:space="preserve">Glossary</w:t>
      </w:r>
      <w:r>
        <w:t xml:space="preserve"> in the left navigation, then open a term you want to link — for example, </w:t>
      </w:r>
      <w:r>
        <w:rPr>
          <w:b/>
          <w:bCs/>
        </w:rPr>
        <w:t xml:space="preserve">Loyalty Number</w:t>
      </w:r>
      <w:r>
        <w:t xml:space="preserve"> under the Customer category.</w:t>
      </w:r>
    </w:p>
    <w:p>
      <w:pPr>
        <w:pStyle w:val="ListParagraph"/>
        <w:numPr>
          <w:ilvl w:val="0"/>
          <w:numId w:val="102"/>
        </w:numPr>
        <w:spacing w:after="80" w:line="264" w:lineRule="auto"/>
      </w:pPr>
      <w:r>
        <w:t xml:space="preserve">Click the </w:t>
      </w:r>
      <w:r>
        <w:rPr>
          <w:b/>
          <w:bCs/>
        </w:rPr>
        <w:t xml:space="preserve">Data Elements</w:t>
      </w:r>
      <w:r>
        <w:t xml:space="preserve"> tab. It has two views: </w:t>
      </w:r>
      <w:r>
        <w:rPr>
          <w:b/>
          <w:bCs/>
        </w:rPr>
        <w:t xml:space="preserve">Elements</w:t>
      </w:r>
      <w:r>
        <w:t xml:space="preserve"> (the columns already linked to this term) and </w:t>
      </w:r>
      <w:r>
        <w:rPr>
          <w:b/>
          <w:bCs/>
        </w:rPr>
        <w:t xml:space="preserve">Suggested Columns</w:t>
      </w:r>
      <w:r>
        <w:t xml:space="preserve"> (matches PDC proposes for you).</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Loyalty Number — Data Elements tab</w:t>
      </w:r>
    </w:p>
    <w:p>
      <w:pPr>
        <w:pStyle w:val="ListParagraph"/>
        <w:numPr>
          <w:ilvl w:val="0"/>
          <w:numId w:val="102"/>
        </w:numPr>
        <w:spacing w:after="80" w:line="264" w:lineRule="auto"/>
      </w:pPr>
      <w:r>
        <w:t xml:space="preserve">Click </w:t>
      </w:r>
      <w:r>
        <w:rPr>
          <w:b/>
          <w:bCs/>
        </w:rPr>
        <w:t xml:space="preserve">+ Add Data Element</w:t>
      </w:r>
      <w:r>
        <w:t xml:space="preserve">, choose the </w:t>
      </w:r>
      <w:r>
        <w:rPr>
          <w:rFonts w:ascii="Consolas" w:hAnsi="Consolas"/>
          <w:color w:val="0A5560"/>
          <w:sz w:val="20"/>
          <w:szCs w:val="20"/>
        </w:rPr>
        <w:t xml:space="preserve">CanyonTrail_Retail_Ops</w:t>
      </w:r>
      <w:r>
        <w:t xml:space="preserve"> source, and select the matching column — for Loyalty Number that is </w:t>
      </w:r>
      <w:r>
        <w:rPr>
          <w:rFonts w:ascii="Consolas" w:hAnsi="Consolas"/>
          <w:color w:val="0A5560"/>
          <w:sz w:val="20"/>
          <w:szCs w:val="20"/>
        </w:rPr>
        <w:t xml:space="preserve">customers.loyalty_no</w:t>
      </w:r>
      <w:r>
        <w:t xml:space="preserve">. It then appears in the Elements list with an Item Type of COLUMN. (Faster: open Suggested Columns, review PDC's matches, and Approve the right ones — approving assigns the term automatically. See the Similarity Score section further 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Loyalty Number</w:t>
      </w:r>
    </w:p>
    <w:p>
      <w:pPr>
        <w:pStyle w:val="ListParagraph"/>
        <w:numPr>
          <w:ilvl w:val="0"/>
          <w:numId w:val="102"/>
        </w:numPr>
        <w:spacing w:after="80" w:line="264" w:lineRule="auto"/>
      </w:pPr>
      <w:r>
        <w:t xml:space="preserve">Repeat for the other terms you are linking — for example </w:t>
      </w:r>
      <w:r>
        <w:rPr>
          <w:b/>
          <w:bCs/>
        </w:rPr>
        <w:t xml:space="preserve">Card Number</w:t>
      </w:r>
      <w:r>
        <w:t xml:space="preserve"> to </w:t>
      </w:r>
      <w:r>
        <w:rPr>
          <w:rFonts w:ascii="Consolas" w:hAnsi="Consolas"/>
          <w:color w:val="0A5560"/>
          <w:sz w:val="20"/>
          <w:szCs w:val="20"/>
        </w:rPr>
        <w:t xml:space="preserve">payments.card_no</w:t>
      </w:r>
      <w:r>
        <w:t xml:space="preserve">, and </w:t>
      </w:r>
      <w:r>
        <w:rPr>
          <w:b/>
          <w:bCs/>
        </w:rPr>
        <w:t xml:space="preserve">SKU</w:t>
      </w:r>
      <w:r>
        <w:t xml:space="preserve"> to </w:t>
      </w:r>
      <w:r>
        <w:rPr>
          <w:rFonts w:ascii="Consolas" w:hAnsi="Consolas"/>
          <w:color w:val="0A5560"/>
          <w:sz w:val="20"/>
          <w:szCs w:val="20"/>
        </w:rPr>
        <w:t xml:space="preserve">products.sku</w:t>
      </w:r>
      <w:r>
        <w:t xml:space="preserve">.</w:t>
      </w:r>
    </w:p>
    <w:p>
      <w:pPr>
        <w:spacing w:after="120"/>
      </w:pPr>
      <w:r>
        <w:t xml:space="preserve">These column links enrich each column for search, lineage and governance. None of them feed the Trust Score — that comes next, with the table-level term.</w:t>
      </w:r>
    </w:p>
    <w:p>
      <w:pPr>
        <w:pStyle w:val="Heading2"/>
      </w:pPr>
      <w:r>
        <w:t xml:space="preserve">What linking a term to a column means</w:t>
      </w:r>
    </w:p>
    <w:p>
      <w:pPr>
        <w:spacing w:after="120"/>
      </w:pPr>
      <w:r>
        <w:t xml:space="preserve">Part C links terms to the Catalog through Add Data Elements (the Data Elements tab). When you map a term to a column this way you create a </w:t>
      </w:r>
      <w:r>
        <w:rPr>
          <w:b/>
          <w:bCs/>
        </w:rPr>
        <w:t xml:space="preserve">Business Term Association</w:t>
      </w:r>
      <w:r>
        <w:t xml:space="preserve"> — a governed link between the business concept and the physical field, identified as </w:t>
      </w:r>
      <w:r>
        <w:rPr>
          <w:rFonts w:ascii="Consolas" w:hAnsi="Consolas"/>
          <w:color w:val="0A5560"/>
          <w:sz w:val="20"/>
          <w:szCs w:val="20"/>
        </w:rPr>
        <w:t xml:space="preserve">table.column</w:t>
      </w:r>
      <w:r>
        <w:t xml:space="preserve"> (for example, Phone → </w:t>
      </w:r>
      <w:r>
        <w:rPr>
          <w:rFonts w:ascii="Consolas" w:hAnsi="Consolas"/>
          <w:color w:val="0A5560"/>
          <w:sz w:val="20"/>
          <w:szCs w:val="20"/>
        </w:rPr>
        <w:t xml:space="preserve">customers.phone</w:t>
      </w:r>
      <w:r>
        <w:t xml:space="preserve">). The column itself does not change; what you have added is a relationship. From that point:</w:t>
      </w:r>
    </w:p>
    <w:p>
      <w:pPr>
        <w:pStyle w:val="ListParagraph"/>
        <w:numPr>
          <w:ilvl w:val="0"/>
          <w:numId w:val="2"/>
        </w:numPr>
        <w:spacing w:after="60"/>
      </w:pPr>
      <w:r>
        <w:rPr>
          <w:b/>
          <w:bCs/>
        </w:rPr>
        <w:t xml:space="preserve">Meaning travels to the data.</w:t>
      </w:r>
      <w:r>
        <w:t xml:space="preserve"> Anyone inspecting </w:t>
      </w:r>
      <w:r>
        <w:rPr>
          <w:rFonts w:ascii="Consolas" w:hAnsi="Consolas"/>
          <w:color w:val="0A5560"/>
          <w:sz w:val="20"/>
          <w:szCs w:val="20"/>
        </w:rPr>
        <w:t xml:space="preserve">customers.phone</w:t>
      </w:r>
      <w:r>
        <w:t xml:space="preserve"> in the Catalog now sees the term's definition, sensitivity, classification and owner — none of which live on the table itself.</w:t>
      </w:r>
    </w:p>
    <w:p>
      <w:pPr>
        <w:pStyle w:val="ListParagraph"/>
        <w:numPr>
          <w:ilvl w:val="0"/>
          <w:numId w:val="2"/>
        </w:numPr>
        <w:spacing w:after="60"/>
      </w:pPr>
      <w:r>
        <w:rPr>
          <w:b/>
          <w:bCs/>
        </w:rPr>
        <w:t xml:space="preserve">Classify once, govern everywhere.</w:t>
      </w:r>
      <w:r>
        <w:t xml:space="preserve"> The same term can map to matching columns in several tables — and across data sources, the structured database and the document store alike; set sensitivity and classification once on the term, and every linked element inherits them.</w:t>
      </w:r>
    </w:p>
    <w:p>
      <w:pPr>
        <w:pStyle w:val="ListParagraph"/>
        <w:numPr>
          <w:ilvl w:val="0"/>
          <w:numId w:val="2"/>
        </w:numPr>
        <w:spacing w:after="60"/>
      </w:pPr>
      <w:r>
        <w:rPr>
          <w:b/>
          <w:bCs/>
        </w:rPr>
        <w:t xml:space="preserve">One term, many columns — a worked example:</w:t>
      </w:r>
      <w:r>
        <w:t xml:space="preserve"> a single business term can carry several Linked Data Elements, and its one governed meaning applies to every column at once. In CTO, </w:t>
      </w:r>
      <w:r>
        <w:rPr>
          <w:b/>
          <w:bCs/>
        </w:rPr>
        <w:t xml:space="preserve">Store ID</w:t>
      </w:r>
      <w:r>
        <w:t xml:space="preserve"> links to five elements across five tables: </w:t>
      </w:r>
      <w:r>
        <w:rPr>
          <w:rFonts w:ascii="Consolas" w:hAnsi="Consolas"/>
          <w:color w:val="0A5560"/>
          <w:sz w:val="20"/>
          <w:szCs w:val="20"/>
        </w:rPr>
        <w:t xml:space="preserve">stores.st_id</w:t>
      </w:r>
      <w:r>
        <w:t xml:space="preserve">, </w:t>
      </w:r>
      <w:r>
        <w:rPr>
          <w:rFonts w:ascii="Consolas" w:hAnsi="Consolas"/>
          <w:color w:val="0A5560"/>
          <w:sz w:val="20"/>
          <w:szCs w:val="20"/>
        </w:rPr>
        <w:t xml:space="preserve">employees.st_id</w:t>
      </w:r>
      <w:r>
        <w:t xml:space="preserve">, </w:t>
      </w:r>
      <w:r>
        <w:rPr>
          <w:rFonts w:ascii="Consolas" w:hAnsi="Consolas"/>
          <w:color w:val="0A5560"/>
          <w:sz w:val="20"/>
          <w:szCs w:val="20"/>
        </w:rPr>
        <w:t xml:space="preserve">inventory.st_id</w:t>
      </w:r>
      <w:r>
        <w:t xml:space="preserve">, </w:t>
      </w:r>
      <w:r>
        <w:rPr>
          <w:rFonts w:ascii="Consolas" w:hAnsi="Consolas"/>
          <w:color w:val="0A5560"/>
          <w:sz w:val="20"/>
          <w:szCs w:val="20"/>
        </w:rPr>
        <w:t xml:space="preserve">orders.st_id</w:t>
      </w:r>
      <w:r>
        <w:t xml:space="preserve"> and </w:t>
      </w:r>
      <w:r>
        <w:rPr>
          <w:rFonts w:ascii="Consolas" w:hAnsi="Consolas"/>
          <w:color w:val="0A5560"/>
          <w:sz w:val="20"/>
          <w:szCs w:val="20"/>
        </w:rPr>
        <w:t xml:space="preserve">loss_prevention_cases.st_id</w:t>
      </w:r>
      <w:r>
        <w:t xml:space="preserve"> — same definition, five physical homes. </w:t>
      </w:r>
      <w:r>
        <w:rPr>
          <w:b/>
          <w:bCs/>
        </w:rPr>
        <w:t xml:space="preserve">Product ID</w:t>
      </w:r>
      <w:r>
        <w:t xml:space="preserve"> does the same across </w:t>
      </w:r>
      <w:r>
        <w:rPr>
          <w:rFonts w:ascii="Consolas" w:hAnsi="Consolas"/>
          <w:color w:val="0A5560"/>
          <w:sz w:val="20"/>
          <w:szCs w:val="20"/>
        </w:rPr>
        <w:t xml:space="preserve">products</w:t>
      </w:r>
      <w:r>
        <w:t xml:space="preserve">, </w:t>
      </w:r>
      <w:r>
        <w:rPr>
          <w:rFonts w:ascii="Consolas" w:hAnsi="Consolas"/>
          <w:color w:val="0A5560"/>
          <w:sz w:val="20"/>
          <w:szCs w:val="20"/>
        </w:rPr>
        <w:t xml:space="preserve">inventory</w:t>
      </w:r>
      <w:r>
        <w:t xml:space="preserve">, </w:t>
      </w:r>
      <w:r>
        <w:rPr>
          <w:rFonts w:ascii="Consolas" w:hAnsi="Consolas"/>
          <w:color w:val="0A5560"/>
          <w:sz w:val="20"/>
          <w:szCs w:val="20"/>
        </w:rPr>
        <w:t xml:space="preserve">order_items</w:t>
      </w:r>
      <w:r>
        <w:t xml:space="preserve"> and </w:t>
      </w:r>
      <w:r>
        <w:rPr>
          <w:rFonts w:ascii="Consolas" w:hAnsi="Consolas"/>
          <w:color w:val="0A5560"/>
          <w:sz w:val="20"/>
          <w:szCs w:val="20"/>
        </w:rPr>
        <w:t xml:space="preserve">returns</w:t>
      </w:r>
      <w:r>
        <w:t xml:space="preserve">, and </w:t>
      </w:r>
      <w:r>
        <w:rPr>
          <w:b/>
          <w:bCs/>
        </w:rPr>
        <w:t xml:space="preserve">Customer ID</w:t>
      </w:r>
      <w:r>
        <w:t xml:space="preserve"> across </w:t>
      </w:r>
      <w:r>
        <w:rPr>
          <w:rFonts w:ascii="Consolas" w:hAnsi="Consolas"/>
          <w:color w:val="0A5560"/>
          <w:sz w:val="20"/>
          <w:szCs w:val="20"/>
        </w:rPr>
        <w:t xml:space="preserve">customers</w:t>
      </w:r>
      <w:r>
        <w:t xml:space="preserve">, </w:t>
      </w:r>
      <w:r>
        <w:rPr>
          <w:rFonts w:ascii="Consolas" w:hAnsi="Consolas"/>
          <w:color w:val="0A5560"/>
          <w:sz w:val="20"/>
          <w:szCs w:val="20"/>
        </w:rPr>
        <w:t xml:space="preserve">orders</w:t>
      </w:r>
      <w:r>
        <w:t xml:space="preserve"> and </w:t>
      </w:r>
      <w:r>
        <w:rPr>
          <w:rFonts w:ascii="Consolas" w:hAnsi="Consolas"/>
          <w:color w:val="0A5560"/>
          <w:sz w:val="20"/>
          <w:szCs w:val="20"/>
        </w:rPr>
        <w:t xml:space="preserve">loss_prevention_cases</w:t>
      </w:r>
      <w:r>
        <w:t xml:space="preserve">. Define it once on the term and all of them inherit it; re-classify the term and every linked column follows. That is what delivers consistency across systems, and it is what lets the term answer "where does this live, and what changes if I touch it?" in one place.</w:t>
      </w:r>
    </w:p>
    <w:p>
      <w:pPr>
        <w:pStyle w:val="ListParagraph"/>
        <w:numPr>
          <w:ilvl w:val="0"/>
          <w:numId w:val="2"/>
        </w:numPr>
        <w:spacing w:after="60"/>
      </w:pPr>
      <w:r>
        <w:rPr>
          <w:b/>
          <w:bCs/>
        </w:rPr>
        <w:t xml:space="preserve">Discovery improves.</w:t>
      </w:r>
      <w:r>
        <w:t xml:space="preserve"> Searching the term — or filtering by HIGH sensitivity, or by the </w:t>
      </w:r>
      <w:r>
        <w:rPr>
          <w:rFonts w:ascii="Consolas" w:hAnsi="Consolas"/>
          <w:color w:val="0A5560"/>
          <w:sz w:val="20"/>
          <w:szCs w:val="20"/>
        </w:rPr>
        <w:t xml:space="preserve">pii</w:t>
      </w:r>
      <w:r>
        <w:t xml:space="preserve"> tag — now returns that column. The regulator's question becomes a single search.</w:t>
      </w:r>
    </w:p>
    <w:p>
      <w:pPr>
        <w:pStyle w:val="ListParagraph"/>
        <w:numPr>
          <w:ilvl w:val="0"/>
          <w:numId w:val="2"/>
        </w:numPr>
        <w:spacing w:after="60"/>
      </w:pPr>
      <w:r>
        <w:rPr>
          <w:b/>
          <w:bCs/>
        </w:rPr>
        <w:t xml:space="preserve">It appears in lineage and the Galaxy View.</w:t>
      </w:r>
      <w:r>
        <w:t xml:space="preserve"> The association is a relationship edge connecting the business-term node to the data-asset node.</w:t>
      </w:r>
    </w:p>
    <w:p>
      <w:pPr>
        <w:pStyle w:val="ListParagraph"/>
        <w:numPr>
          <w:ilvl w:val="0"/>
          <w:numId w:val="2"/>
        </w:numPr>
        <w:spacing w:after="60"/>
      </w:pPr>
      <w:r>
        <w:rPr>
          <w:b/>
          <w:bCs/>
        </w:rPr>
        <w:t xml:space="preserve">It feeds governance, not the score directly.</w:t>
      </w:r>
      <w:r>
        <w:t xml:space="preserve"> The glossary-term input the Trust Score reads is the table-level term, and it is binary — is a meaningful term assigned or not. It rewards having the right semantic coverage, not the volume of links.</w:t>
      </w:r>
    </w:p>
    <w:p>
      <w:pPr>
        <w:spacing w:after="120"/>
      </w:pPr>
      <w:r>
        <w:t xml:space="preserve">You shouldn't link all terms to a column just to lift the score. The Trust Score is calculated from multiple inputs — Data Quality (completeness, accuracy, validity, uniqueness, consistency), User Ratings (1–5 stars), Data Lineage (verified or not), and whether a glossary term is assigned — and it operates at the table/file level, never scoring individual columns. Linking every term you have to a single column would be semantically wrong: a column should carry the term (or small set of terms) that genuinely describes its content. Over-linking pollutes your glossary mappings, breaks lineage and impact analysis, misleads anyone searching the catalog, and undermines the very governance the Trust Score is trying to measure. You would be optimizing a proxy metric while degrading the thing it is a proxy for.</w:t>
      </w:r>
    </w:p>
    <w:p>
      <w:pPr>
        <w:spacing w:after="120"/>
      </w:pPr>
      <w:r>
        <w:t xml:space="preserve">The better path to a high Trust Score is to treat the four inputs as a checklist of genuine governance work: assign accurate business terms where they belong, verify lineage, run data quality processing, and gather user ratings. A table that is correctly termed, lineage-verified, and quality-checked earns its score honestly — and stays trustworthy when someone actually relies on it.</w:t>
      </w:r>
    </w:p>
    <w:p>
      <w:pPr>
        <w:spacing w:after="120"/>
      </w:pPr>
      <w:r>
        <w:t xml:space="preserve">One practical combination worth calling out: your most important columns are often both CDEs and well-termed. At CTO, flag </w:t>
      </w:r>
      <w:r>
        <w:rPr>
          <w:rFonts w:ascii="Consolas" w:hAnsi="Consolas"/>
          <w:color w:val="0A5560"/>
          <w:sz w:val="20"/>
          <w:szCs w:val="20"/>
        </w:rPr>
        <w:t xml:space="preserve">card_no</w:t>
      </w:r>
      <w:r>
        <w:t xml:space="preserve">, </w:t>
      </w:r>
      <w:r>
        <w:rPr>
          <w:rFonts w:ascii="Consolas" w:hAnsi="Consolas"/>
          <w:color w:val="0A5560"/>
          <w:sz w:val="20"/>
          <w:szCs w:val="20"/>
        </w:rPr>
        <w:t xml:space="preserve">loyalty_no</w:t>
      </w:r>
      <w:r>
        <w:t xml:space="preserve"> and </w:t>
      </w:r>
      <w:r>
        <w:rPr>
          <w:rFonts w:ascii="Consolas" w:hAnsi="Consolas"/>
          <w:color w:val="0A5560"/>
          <w:sz w:val="20"/>
          <w:szCs w:val="20"/>
        </w:rPr>
        <w:t xml:space="preserve">sku</w:t>
      </w:r>
      <w:r>
        <w:t xml:space="preserve"> as Critical Data Elements so they get prioritized stewardship, link them to the correct business term so people understand them, then make sure quality and lineage are verified for those specifically. That is where the effort pays off most.</w:t>
      </w:r>
    </w:p>
    <w:p>
      <w:pPr>
        <w:spacing w:after="120"/>
      </w:pPr>
      <w:r>
        <w:rPr>
          <w:b/>
          <w:bCs/>
        </w:rPr>
        <w:t xml:space="preserve">Feed the table's Trust Score</w:t>
      </w:r>
    </w:p>
    <w:p>
      <w:pPr>
        <w:pStyle w:val="ListParagraph"/>
        <w:numPr>
          <w:ilvl w:val="0"/>
          <w:numId w:val="103"/>
        </w:numPr>
        <w:spacing w:after="80" w:line="264" w:lineRule="auto"/>
      </w:pPr>
      <w:r>
        <w:t xml:space="preserve">Map the table-level term to the table. CTO's glossary already carries one table term per table — Customer Record, Product Record, Inventory Position, Sales Order Record, Order Line Record, Payment Record, Return Record, Supplier Record, Loss Prevention Case, Store Record and Employee Record.</w:t>
      </w:r>
    </w:p>
    <w:p>
      <w:pPr>
        <w:pStyle w:val="ListParagraph"/>
        <w:numPr>
          <w:ilvl w:val="0"/>
          <w:numId w:val="103"/>
        </w:numPr>
        <w:spacing w:after="80" w:line="264" w:lineRule="auto"/>
      </w:pPr>
      <w:r>
        <w:t xml:space="preserve">Open the </w:t>
      </w:r>
      <w:r>
        <w:rPr>
          <w:rFonts w:ascii="Consolas" w:hAnsi="Consolas"/>
          <w:color w:val="0A5560"/>
          <w:sz w:val="20"/>
          <w:szCs w:val="20"/>
        </w:rPr>
        <w:t xml:space="preserve">customers</w:t>
      </w:r>
      <w:r>
        <w:t xml:space="preserve"> table's Glossary tab (or the Customer Record term's Data Elements tab) and link </w:t>
      </w:r>
      <w:r>
        <w:rPr>
          <w:b/>
          <w:bCs/>
        </w:rPr>
        <w:t xml:space="preserve">Customer Record</w:t>
      </w:r>
      <w:r>
        <w:t xml:space="preserve"> to the </w:t>
      </w:r>
      <w:r>
        <w:rPr>
          <w:rFonts w:ascii="Consolas" w:hAnsi="Consolas"/>
          <w:color w:val="0A5560"/>
          <w:sz w:val="20"/>
          <w:szCs w:val="20"/>
        </w:rPr>
        <w:t xml:space="preserve">customers</w:t>
      </w:r>
      <w:r>
        <w:t xml:space="preserve"> table. This table-level term — not the column links — is the glossary-term input the Trust Score actually reads.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table — Glossary tab with Customer Record linked</w:t>
      </w:r>
    </w:p>
    <w:p>
      <w:pPr>
        <w:pStyle w:val="ListParagraph"/>
        <w:numPr>
          <w:ilvl w:val="0"/>
          <w:numId w:val="103"/>
        </w:numPr>
        <w:spacing w:after="80" w:line="264" w:lineRule="auto"/>
      </w:pPr>
      <w:r>
        <w:t xml:space="preserve">Run </w:t>
      </w:r>
      <w:r>
        <w:rPr>
          <w:b/>
          <w:bCs/>
        </w:rPr>
        <w:t xml:space="preserve">Calculate Trust Score</w:t>
      </w:r>
      <w:r>
        <w:t xml:space="preserve">. In the Data Canvas, open the </w:t>
      </w:r>
      <w:r>
        <w:rPr>
          <w:rFonts w:ascii="Consolas" w:hAnsi="Consolas"/>
          <w:color w:val="0A5560"/>
          <w:sz w:val="20"/>
          <w:szCs w:val="20"/>
        </w:rPr>
        <w:t xml:space="preserve">CanyonTrail_Retail_Ops</w:t>
      </w:r>
      <w:r>
        <w:t xml:space="preserve"> source and select the </w:t>
      </w:r>
      <w:r>
        <w:rPr>
          <w:rFonts w:ascii="Consolas" w:hAnsi="Consolas"/>
          <w:color w:val="0A5560"/>
          <w:sz w:val="20"/>
          <w:szCs w:val="20"/>
        </w:rPr>
        <w:t xml:space="preserve">customers</w:t>
      </w:r>
      <w:r>
        <w:t xml:space="preserve"> table, then </w:t>
      </w:r>
      <w:r>
        <w:rPr>
          <w:b/>
          <w:bCs/>
        </w:rPr>
        <w:t xml:space="preserve">Actions → Process → Start Calculate Trust Score</w:t>
      </w:r>
      <w:r>
        <w:t xml:space="preserve">. The table term you just linked is one of the four inputs, so the number stays low until the others are in place.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customers table — Trust Score after calculation</w:t>
      </w:r>
    </w:p>
    <w:p>
      <w:pPr>
        <w:spacing w:after="120"/>
      </w:pPr>
      <w:r>
        <w:t xml:space="preserve">Why this works: the Trust Score is an aggregate of four inputs — Data Quality, User Ratings, verified Data Lineage, and whether a Glossary Term is assigned. Assigning a term satisfies one of them, and it is the only one you can set without profiling the data. On its own it will not lift the table out of Untrusted: Data Quality is the dominant input and stays Not Computed until the data is profiled in Workshop 4.</w:t>
      </w:r>
    </w:p>
    <w:p>
      <w:pPr>
        <w:spacing w:after="120"/>
      </w:pPr>
      <w:r>
        <w:t xml:space="preserve">To watch the score climb now, also rate the table (stars) and set its Data Lineage to Verified, then re-run the calculation. In other words the Trust Score is a sliding scale: it computes from whatever inputs are present and rises as you add each one — a linked term, Verified lineage, a rating — then climbs furthest once Data Quality is computed in Workshop 4.</w:t>
      </w:r>
    </w:p>
    <w:p>
      <w:pPr>
        <w:pStyle w:val="Heading2"/>
      </w:pPr>
      <w:r>
        <w:t xml:space="preserve">Part D — Link the rest of the Catalog</w:t>
      </w:r>
    </w:p>
    <w:p>
      <w:pPr>
        <w:spacing w:after="120"/>
      </w:pPr>
      <w:r>
        <w:t xml:space="preserve">Part C linked one table; now repeat across the whole source. The map below lists the business terms and the columns they link to, grouped by table — all 93 links are in </w:t>
      </w:r>
      <w:r>
        <w:rPr>
          <w:rFonts w:ascii="Consolas" w:hAnsi="Consolas"/>
          <w:color w:val="0A5560"/>
          <w:sz w:val="20"/>
          <w:szCs w:val="20"/>
        </w:rPr>
        <w:t xml:space="preserve">assets/CTO-Term-Linking-Map.csv</w:t>
      </w:r>
      <w:r>
        <w:t xml:space="preserve">. Work table by table:</w:t>
      </w:r>
    </w:p>
    <w:p>
      <w:pPr>
        <w:spacing w:after="120"/>
      </w:pPr>
      <w:r>
        <w:rPr>
          <w:b/>
          <w:bCs/>
        </w:rPr>
        <w:t xml:space="preserve">Also link each table's table-level term:</w:t>
      </w:r>
      <w:r>
        <w:t xml:space="preserve"> as you finish each table, link its table-level term to the table — Customer Record to </w:t>
      </w:r>
      <w:r>
        <w:rPr>
          <w:rFonts w:ascii="Consolas" w:hAnsi="Consolas"/>
          <w:color w:val="0A5560"/>
          <w:sz w:val="20"/>
          <w:szCs w:val="20"/>
        </w:rPr>
        <w:t xml:space="preserve">customers</w:t>
      </w:r>
      <w:r>
        <w:t xml:space="preserve">, Product Record to </w:t>
      </w:r>
      <w:r>
        <w:rPr>
          <w:rFonts w:ascii="Consolas" w:hAnsi="Consolas"/>
          <w:color w:val="0A5560"/>
          <w:sz w:val="20"/>
          <w:szCs w:val="20"/>
        </w:rPr>
        <w:t xml:space="preserve">products</w:t>
      </w:r>
      <w:r>
        <w:t xml:space="preserve">, Inventory Position to </w:t>
      </w:r>
      <w:r>
        <w:rPr>
          <w:rFonts w:ascii="Consolas" w:hAnsi="Consolas"/>
          <w:color w:val="0A5560"/>
          <w:sz w:val="20"/>
          <w:szCs w:val="20"/>
        </w:rPr>
        <w:t xml:space="preserve">inventory</w:t>
      </w:r>
      <w:r>
        <w:t xml:space="preserve">, Sales Order Record to </w:t>
      </w:r>
      <w:r>
        <w:rPr>
          <w:rFonts w:ascii="Consolas" w:hAnsi="Consolas"/>
          <w:color w:val="0A5560"/>
          <w:sz w:val="20"/>
          <w:szCs w:val="20"/>
        </w:rPr>
        <w:t xml:space="preserve">orders</w:t>
      </w:r>
      <w:r>
        <w:t xml:space="preserve">, Order Line Record to </w:t>
      </w:r>
      <w:r>
        <w:rPr>
          <w:rFonts w:ascii="Consolas" w:hAnsi="Consolas"/>
          <w:color w:val="0A5560"/>
          <w:sz w:val="20"/>
          <w:szCs w:val="20"/>
        </w:rPr>
        <w:t xml:space="preserve">order_items</w:t>
      </w:r>
      <w:r>
        <w:t xml:space="preserve">, Payment Record to </w:t>
      </w:r>
      <w:r>
        <w:rPr>
          <w:rFonts w:ascii="Consolas" w:hAnsi="Consolas"/>
          <w:color w:val="0A5560"/>
          <w:sz w:val="20"/>
          <w:szCs w:val="20"/>
        </w:rPr>
        <w:t xml:space="preserve">payments</w:t>
      </w:r>
      <w:r>
        <w:t xml:space="preserve">, Return Record to </w:t>
      </w:r>
      <w:r>
        <w:rPr>
          <w:rFonts w:ascii="Consolas" w:hAnsi="Consolas"/>
          <w:color w:val="0A5560"/>
          <w:sz w:val="20"/>
          <w:szCs w:val="20"/>
        </w:rPr>
        <w:t xml:space="preserve">returns</w:t>
      </w:r>
      <w:r>
        <w:t xml:space="preserve">, Supplier Record to </w:t>
      </w:r>
      <w:r>
        <w:rPr>
          <w:rFonts w:ascii="Consolas" w:hAnsi="Consolas"/>
          <w:color w:val="0A5560"/>
          <w:sz w:val="20"/>
          <w:szCs w:val="20"/>
        </w:rPr>
        <w:t xml:space="preserve">suppliers</w:t>
      </w:r>
      <w:r>
        <w:t xml:space="preserve">, Loss Prevention Case to </w:t>
      </w:r>
      <w:r>
        <w:rPr>
          <w:rFonts w:ascii="Consolas" w:hAnsi="Consolas"/>
          <w:color w:val="0A5560"/>
          <w:sz w:val="20"/>
          <w:szCs w:val="20"/>
        </w:rPr>
        <w:t xml:space="preserve">loss_prevention_cases</w:t>
      </w:r>
      <w:r>
        <w:t xml:space="preserve">, Store Record to </w:t>
      </w:r>
      <w:r>
        <w:rPr>
          <w:rFonts w:ascii="Consolas" w:hAnsi="Consolas"/>
          <w:color w:val="0A5560"/>
          <w:sz w:val="20"/>
          <w:szCs w:val="20"/>
        </w:rPr>
        <w:t xml:space="preserve">stores</w:t>
      </w:r>
      <w:r>
        <w:t xml:space="preserve">, and Employee Record to </w:t>
      </w:r>
      <w:r>
        <w:rPr>
          <w:rFonts w:ascii="Consolas" w:hAnsi="Consolas"/>
          <w:color w:val="0A5560"/>
          <w:sz w:val="20"/>
          <w:szCs w:val="20"/>
        </w:rPr>
        <w:t xml:space="preserve">employees</w:t>
      </w:r>
      <w:r>
        <w:t xml:space="preserve">. That table term is the glossary-term input each table's Trust Score actually reads.</w:t>
      </w:r>
    </w:p>
    <w:p>
      <w:pPr>
        <w:pStyle w:val="ListParagraph"/>
        <w:numPr>
          <w:ilvl w:val="0"/>
          <w:numId w:val="104"/>
        </w:numPr>
        <w:spacing w:after="80" w:line="264" w:lineRule="auto"/>
      </w:pPr>
      <w:r>
        <w:t xml:space="preserve">For each table, link every term to the column shown, using the term's Data Elements tab exactly as in Part C.</w:t>
      </w:r>
    </w:p>
    <w:p>
      <w:pPr>
        <w:pStyle w:val="ListParagraph"/>
        <w:numPr>
          <w:ilvl w:val="0"/>
          <w:numId w:val="104"/>
        </w:numPr>
        <w:spacing w:after="80" w:line="264" w:lineRule="auto"/>
      </w:pPr>
      <w:r>
        <w:t xml:space="preserve">When a table is done, select it in the Data Canvas and run </w:t>
      </w:r>
      <w:r>
        <w:rPr>
          <w:b/>
          <w:bCs/>
        </w:rPr>
        <w:t xml:space="preserve">Actions → Process → Start Calculate Trust Score</w:t>
      </w:r>
      <w:r>
        <w:t xml:space="preserve">, so each table records its glossary-term input. (Expect the number to stay low until the data is profiled in Workshop 4.)</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Table</w:t>
            </w:r>
          </w:p>
        </w:tc>
        <w:tc>
          <w:tcPr>
            <w:tcW w:w="6460" w:type="dxa"/>
            <w:shd w:val="clear" w:color="auto" w:fill="EEF6FA"/>
            <w:tcMar>
              <w:top w:w="120" w:type="dxa"/>
              <w:left w:w="180" w:type="dxa"/>
              <w:bottom w:w="120" w:type="dxa"/>
              <w:right w:w="180" w:type="dxa"/>
            </w:tcMar>
          </w:tcPr>
          <w:p>
            <w:pPr>
              <w:spacing w:after="0"/>
            </w:pPr>
            <w:r>
              <w:rPr>
                <w:b/>
                <w:bCs/>
              </w:rPr>
              <w:t xml:space="preserve">Business terms to link (term → column)</w:t>
            </w:r>
          </w:p>
        </w:tc>
      </w:tr>
      <w:tr>
        <w:tc>
          <w:tcPr>
            <w:tcW w:w="2900" w:type="dxa"/>
            <w:tcMar>
              <w:top w:w="120" w:type="dxa"/>
              <w:left w:w="180" w:type="dxa"/>
              <w:bottom w:w="120" w:type="dxa"/>
              <w:right w:w="180" w:type="dxa"/>
            </w:tcMar>
          </w:tcPr>
          <w:p>
            <w:pPr>
              <w:spacing w:after="0"/>
            </w:pPr>
            <w:r>
              <w:t xml:space="preserve">customers</w:t>
            </w:r>
          </w:p>
        </w:tc>
        <w:tc>
          <w:tcPr>
            <w:tcW w:w="6460" w:type="dxa"/>
            <w:tcMar>
              <w:top w:w="120" w:type="dxa"/>
              <w:left w:w="180" w:type="dxa"/>
              <w:bottom w:w="120" w:type="dxa"/>
              <w:right w:w="180" w:type="dxa"/>
            </w:tcMar>
          </w:tcPr>
          <w:p>
            <w:pPr>
              <w:spacing w:after="0"/>
            </w:pPr>
            <w:r>
              <w:t xml:space="preserve">Customer ID → cust_id; Loyalty Number → loyalty_no; First Name → first_nm; Last Name → last_nm; Email → email; Phone → phone; Address 1 → addr1; City → city; St → st; ZIP → zip; Joined Date → joined_dt; Loyalty Tier → loyalty_tier; Opted Out Marketing → opted_out_marketing; Customer Status → cust_status</w:t>
            </w:r>
          </w:p>
        </w:tc>
      </w:tr>
      <w:tr>
        <w:tc>
          <w:tcPr>
            <w:tcW w:w="2900" w:type="dxa"/>
            <w:tcMar>
              <w:top w:w="120" w:type="dxa"/>
              <w:left w:w="180" w:type="dxa"/>
              <w:bottom w:w="120" w:type="dxa"/>
              <w:right w:w="180" w:type="dxa"/>
            </w:tcMar>
          </w:tcPr>
          <w:p>
            <w:pPr>
              <w:spacing w:after="0"/>
            </w:pPr>
            <w:r>
              <w:t xml:space="preserve">products</w:t>
            </w:r>
          </w:p>
        </w:tc>
        <w:tc>
          <w:tcPr>
            <w:tcW w:w="6460" w:type="dxa"/>
            <w:tcMar>
              <w:top w:w="120" w:type="dxa"/>
              <w:left w:w="180" w:type="dxa"/>
              <w:bottom w:w="120" w:type="dxa"/>
              <w:right w:w="180" w:type="dxa"/>
            </w:tcMar>
          </w:tcPr>
          <w:p>
            <w:pPr>
              <w:spacing w:after="0"/>
            </w:pPr>
            <w:r>
              <w:t xml:space="preserve">Product ID → prod_id; SKU → sku; Product Name → prod_nm; Category Code → category_cd; Supplier ID → supplier_id; Unit Cost → unit_cost; List Price → list_price; Product Status → prod_status</w:t>
            </w:r>
          </w:p>
        </w:tc>
      </w:tr>
      <w:tr>
        <w:tc>
          <w:tcPr>
            <w:tcW w:w="2900" w:type="dxa"/>
            <w:tcMar>
              <w:top w:w="120" w:type="dxa"/>
              <w:left w:w="180" w:type="dxa"/>
              <w:bottom w:w="120" w:type="dxa"/>
              <w:right w:w="180" w:type="dxa"/>
            </w:tcMar>
          </w:tcPr>
          <w:p>
            <w:pPr>
              <w:spacing w:after="0"/>
            </w:pPr>
            <w:r>
              <w:t xml:space="preserve">inventory</w:t>
            </w:r>
          </w:p>
        </w:tc>
        <w:tc>
          <w:tcPr>
            <w:tcW w:w="6460" w:type="dxa"/>
            <w:tcMar>
              <w:top w:w="120" w:type="dxa"/>
              <w:left w:w="180" w:type="dxa"/>
              <w:bottom w:w="120" w:type="dxa"/>
              <w:right w:w="180" w:type="dxa"/>
            </w:tcMar>
          </w:tcPr>
          <w:p>
            <w:pPr>
              <w:spacing w:after="0"/>
            </w:pPr>
            <w:r>
              <w:t xml:space="preserve">Inventory ID → inv_id; Product ID → prod_id; Store ID → st_id; Quantity On Hand → qty_on_hand; Quantity Reserved → qty_reserved; Reorder Point → reorder_pt; Last Count Date → last_count_dt</w:t>
            </w:r>
          </w:p>
        </w:tc>
      </w:tr>
      <w:tr>
        <w:tc>
          <w:tcPr>
            <w:tcW w:w="2900" w:type="dxa"/>
            <w:tcMar>
              <w:top w:w="120" w:type="dxa"/>
              <w:left w:w="180" w:type="dxa"/>
              <w:bottom w:w="120" w:type="dxa"/>
              <w:right w:w="180" w:type="dxa"/>
            </w:tcMar>
          </w:tcPr>
          <w:p>
            <w:pPr>
              <w:spacing w:after="0"/>
            </w:pPr>
            <w:r>
              <w:t xml:space="preserve">orders</w:t>
            </w:r>
          </w:p>
        </w:tc>
        <w:tc>
          <w:tcPr>
            <w:tcW w:w="6460" w:type="dxa"/>
            <w:tcMar>
              <w:top w:w="120" w:type="dxa"/>
              <w:left w:w="180" w:type="dxa"/>
              <w:bottom w:w="120" w:type="dxa"/>
              <w:right w:w="180" w:type="dxa"/>
            </w:tcMar>
          </w:tcPr>
          <w:p>
            <w:pPr>
              <w:spacing w:after="0"/>
            </w:pPr>
            <w:r>
              <w:t xml:space="preserve">Order ID → order_id; Order Number → order_no; Customer ID → cust_id; Store ID → st_id; Channel Code → channel_cd; Order Date → order_dt; Order Status → order_status; Total Amount → total_amt</w:t>
            </w:r>
          </w:p>
        </w:tc>
      </w:tr>
      <w:tr>
        <w:tc>
          <w:tcPr>
            <w:tcW w:w="2900" w:type="dxa"/>
            <w:tcMar>
              <w:top w:w="120" w:type="dxa"/>
              <w:left w:w="180" w:type="dxa"/>
              <w:bottom w:w="120" w:type="dxa"/>
              <w:right w:w="180" w:type="dxa"/>
            </w:tcMar>
          </w:tcPr>
          <w:p>
            <w:pPr>
              <w:spacing w:after="0"/>
            </w:pPr>
            <w:r>
              <w:t xml:space="preserve">order_items</w:t>
            </w:r>
          </w:p>
        </w:tc>
        <w:tc>
          <w:tcPr>
            <w:tcW w:w="6460" w:type="dxa"/>
            <w:tcMar>
              <w:top w:w="120" w:type="dxa"/>
              <w:left w:w="180" w:type="dxa"/>
              <w:bottom w:w="120" w:type="dxa"/>
              <w:right w:w="180" w:type="dxa"/>
            </w:tcMar>
          </w:tcPr>
          <w:p>
            <w:pPr>
              <w:spacing w:after="0"/>
            </w:pPr>
            <w:r>
              <w:t xml:space="preserve">Order Line ID → item_id; Order ID → order_id; Product ID → prod_id; Quantity → qty; Unit Price → unit_price; Discount Percent → discount_pct</w:t>
            </w:r>
          </w:p>
        </w:tc>
      </w:tr>
      <w:tr>
        <w:tc>
          <w:tcPr>
            <w:tcW w:w="2900" w:type="dxa"/>
            <w:tcMar>
              <w:top w:w="120" w:type="dxa"/>
              <w:left w:w="180" w:type="dxa"/>
              <w:bottom w:w="120" w:type="dxa"/>
              <w:right w:w="180" w:type="dxa"/>
            </w:tcMar>
          </w:tcPr>
          <w:p>
            <w:pPr>
              <w:spacing w:after="0"/>
            </w:pPr>
            <w:r>
              <w:t xml:space="preserve">payments</w:t>
            </w:r>
          </w:p>
        </w:tc>
        <w:tc>
          <w:tcPr>
            <w:tcW w:w="6460" w:type="dxa"/>
            <w:tcMar>
              <w:top w:w="120" w:type="dxa"/>
              <w:left w:w="180" w:type="dxa"/>
              <w:bottom w:w="120" w:type="dxa"/>
              <w:right w:w="180" w:type="dxa"/>
            </w:tcMar>
          </w:tcPr>
          <w:p>
            <w:pPr>
              <w:spacing w:after="0"/>
            </w:pPr>
            <w:r>
              <w:t xml:space="preserve">Payment ID → pay_id; Order ID → order_id; Payment Method Code → pay_method_cd; Card Number → card_no; Authorization Code → auth_cd; Payment Amount → pay_amt; Payment Date → pay_dt; Payment Status → pay_status</w:t>
            </w:r>
          </w:p>
        </w:tc>
      </w:tr>
      <w:tr>
        <w:tc>
          <w:tcPr>
            <w:tcW w:w="2900" w:type="dxa"/>
            <w:tcMar>
              <w:top w:w="120" w:type="dxa"/>
              <w:left w:w="180" w:type="dxa"/>
              <w:bottom w:w="120" w:type="dxa"/>
              <w:right w:w="180" w:type="dxa"/>
            </w:tcMar>
          </w:tcPr>
          <w:p>
            <w:pPr>
              <w:spacing w:after="0"/>
            </w:pPr>
            <w:r>
              <w:t xml:space="preserve">returns</w:t>
            </w:r>
          </w:p>
        </w:tc>
        <w:tc>
          <w:tcPr>
            <w:tcW w:w="6460" w:type="dxa"/>
            <w:tcMar>
              <w:top w:w="120" w:type="dxa"/>
              <w:left w:w="180" w:type="dxa"/>
              <w:bottom w:w="120" w:type="dxa"/>
              <w:right w:w="180" w:type="dxa"/>
            </w:tcMar>
          </w:tcPr>
          <w:p>
            <w:pPr>
              <w:spacing w:after="0"/>
            </w:pPr>
            <w:r>
              <w:t xml:space="preserve">Return ID → ret_id; Order ID → order_id; Product ID → prod_id; Return Reason Code → ret_reason_cd; Return Date → ret_dt; Refund Amount → refund_amt; Return Status → ret_status</w:t>
            </w:r>
          </w:p>
        </w:tc>
      </w:tr>
      <w:tr>
        <w:tc>
          <w:tcPr>
            <w:tcW w:w="2900" w:type="dxa"/>
            <w:tcMar>
              <w:top w:w="120" w:type="dxa"/>
              <w:left w:w="180" w:type="dxa"/>
              <w:bottom w:w="120" w:type="dxa"/>
              <w:right w:w="180" w:type="dxa"/>
            </w:tcMar>
          </w:tcPr>
          <w:p>
            <w:pPr>
              <w:spacing w:after="0"/>
            </w:pPr>
            <w:r>
              <w:t xml:space="preserve">suppliers</w:t>
            </w:r>
          </w:p>
        </w:tc>
        <w:tc>
          <w:tcPr>
            <w:tcW w:w="6460" w:type="dxa"/>
            <w:tcMar>
              <w:top w:w="120" w:type="dxa"/>
              <w:left w:w="180" w:type="dxa"/>
              <w:bottom w:w="120" w:type="dxa"/>
              <w:right w:w="180" w:type="dxa"/>
            </w:tcMar>
          </w:tcPr>
          <w:p>
            <w:pPr>
              <w:spacing w:after="0"/>
            </w:pPr>
            <w:r>
              <w:t xml:space="preserve">Supplier ID → supplier_id; Supplier Name → supplier_nm; Contact Email → contact_email; Phone → phone; City → city; St → st; Terms Code → terms_cd; Supplier Status → supplier_status</w:t>
            </w:r>
          </w:p>
        </w:tc>
      </w:tr>
      <w:tr>
        <w:tc>
          <w:tcPr>
            <w:tcW w:w="2900" w:type="dxa"/>
            <w:tcMar>
              <w:top w:w="120" w:type="dxa"/>
              <w:left w:w="180" w:type="dxa"/>
              <w:bottom w:w="120" w:type="dxa"/>
              <w:right w:w="180" w:type="dxa"/>
            </w:tcMar>
          </w:tcPr>
          <w:p>
            <w:pPr>
              <w:spacing w:after="0"/>
            </w:pPr>
            <w:r>
              <w:t xml:space="preserve">loss_prevention_cases</w:t>
            </w:r>
          </w:p>
        </w:tc>
        <w:tc>
          <w:tcPr>
            <w:tcW w:w="6460" w:type="dxa"/>
            <w:tcMar>
              <w:top w:w="120" w:type="dxa"/>
              <w:left w:w="180" w:type="dxa"/>
              <w:bottom w:w="120" w:type="dxa"/>
              <w:right w:w="180" w:type="dxa"/>
            </w:tcMar>
          </w:tcPr>
          <w:p>
            <w:pPr>
              <w:spacing w:after="0"/>
            </w:pPr>
            <w:r>
              <w:t xml:space="preserve">LP Case ID → lp_id; Store ID → st_id; Customer ID → cust_id; Employee ID → emp_id; Case Type Code → case_type_cd; Opened Date → opened_dt; Opened By Employee ID → opened_by_emp_id; Case Status → case_status; Case Notes → notes_txt</w:t>
            </w:r>
          </w:p>
        </w:tc>
      </w:tr>
      <w:tr>
        <w:tc>
          <w:tcPr>
            <w:tcW w:w="2900" w:type="dxa"/>
            <w:tcMar>
              <w:top w:w="120" w:type="dxa"/>
              <w:left w:w="180" w:type="dxa"/>
              <w:bottom w:w="120" w:type="dxa"/>
              <w:right w:w="180" w:type="dxa"/>
            </w:tcMar>
          </w:tcPr>
          <w:p>
            <w:pPr>
              <w:spacing w:after="0"/>
            </w:pPr>
            <w:r>
              <w:t xml:space="preserve">stores</w:t>
            </w:r>
          </w:p>
        </w:tc>
        <w:tc>
          <w:tcPr>
            <w:tcW w:w="6460" w:type="dxa"/>
            <w:tcMar>
              <w:top w:w="120" w:type="dxa"/>
              <w:left w:w="180" w:type="dxa"/>
              <w:bottom w:w="120" w:type="dxa"/>
              <w:right w:w="180" w:type="dxa"/>
            </w:tcMar>
          </w:tcPr>
          <w:p>
            <w:pPr>
              <w:spacing w:after="0"/>
            </w:pPr>
            <w:r>
              <w:t xml:space="preserve">Store ID → st_id; Store Name → st_name; Store Address → st_addr; Store City → st_city; Store County → st_county; Store ZIP → st_zip; Store Phone → st_phone; Manager Employee ID → mgr_emp_id; Store Open Date → open_dt; Store Status → st_status</w:t>
            </w:r>
          </w:p>
        </w:tc>
      </w:tr>
      <w:tr>
        <w:tc>
          <w:tcPr>
            <w:tcW w:w="2900" w:type="dxa"/>
            <w:tcMar>
              <w:top w:w="120" w:type="dxa"/>
              <w:left w:w="180" w:type="dxa"/>
              <w:bottom w:w="120" w:type="dxa"/>
              <w:right w:w="180" w:type="dxa"/>
            </w:tcMar>
          </w:tcPr>
          <w:p>
            <w:pPr>
              <w:spacing w:after="0"/>
            </w:pPr>
            <w:r>
              <w:t xml:space="preserve">employees</w:t>
            </w:r>
          </w:p>
        </w:tc>
        <w:tc>
          <w:tcPr>
            <w:tcW w:w="6460" w:type="dxa"/>
            <w:tcMar>
              <w:top w:w="120" w:type="dxa"/>
              <w:left w:w="180" w:type="dxa"/>
              <w:bottom w:w="120" w:type="dxa"/>
              <w:right w:w="180" w:type="dxa"/>
            </w:tcMar>
          </w:tcPr>
          <w:p>
            <w:pPr>
              <w:spacing w:after="0"/>
            </w:pPr>
            <w:r>
              <w:t xml:space="preserve">Employee ID → emp_id; First Name → first_nm; Last Name → last_nm; Email → email; Store ID → st_id; Role Code → role_cd; Hire Date → hire_dt; Employee Status → emp_status</w:t>
            </w:r>
          </w:p>
        </w:tc>
      </w:tr>
    </w:tbl>
    <w:p>
      <w:pPr>
        <w:spacing w:after="120"/>
      </w:pPr>
    </w:p>
    <w:p>
      <w:pPr>
        <w:spacing w:after="120"/>
      </w:pPr>
      <w:r>
        <w:t xml:space="preserve">The document store (</w:t>
      </w:r>
      <w:r>
        <w:rPr>
          <w:rFonts w:ascii="Consolas" w:hAnsi="Consolas"/>
          <w:color w:val="0A5560"/>
          <w:sz w:val="20"/>
          <w:szCs w:val="20"/>
        </w:rPr>
        <w:t xml:space="preserve">CanyonTrail_Documents</w:t>
      </w:r>
      <w:r>
        <w:t xml:space="preserve">) is governed by this same glossary. Its terms link to whole folders — for example Loss Prevention Case to the </w:t>
      </w:r>
      <w:r>
        <w:rPr>
          <w:rFonts w:ascii="Consolas" w:hAnsi="Consolas"/>
          <w:color w:val="0A5560"/>
          <w:sz w:val="20"/>
          <w:szCs w:val="20"/>
        </w:rPr>
        <w:t xml:space="preserve">compliance</w:t>
      </w:r>
      <w:r>
        <w:t xml:space="preserve"> folder, Supplier Record to </w:t>
      </w:r>
      <w:r>
        <w:rPr>
          <w:rFonts w:ascii="Consolas" w:hAnsi="Consolas"/>
          <w:color w:val="0A5560"/>
          <w:sz w:val="20"/>
          <w:szCs w:val="20"/>
        </w:rPr>
        <w:t xml:space="preserve">invoices</w:t>
      </w:r>
      <w:r>
        <w:t xml:space="preserve">, and Sales Order Record to </w:t>
      </w:r>
      <w:r>
        <w:rPr>
          <w:rFonts w:ascii="Consolas" w:hAnsi="Consolas"/>
          <w:color w:val="0A5560"/>
          <w:sz w:val="20"/>
          <w:szCs w:val="20"/>
        </w:rPr>
        <w:t xml:space="preserve">receipts</w:t>
      </w:r>
      <w:r>
        <w:t xml:space="preserve"> — so one vocabulary spans both the database and the file store.</w:t>
      </w:r>
    </w:p>
    <w:p>
      <w:pPr>
        <w:pStyle w:val="Heading2"/>
      </w:pPr>
      <w:r>
        <w:t xml:space="preserve">Part E — Assign the stewards</w:t>
      </w:r>
    </w:p>
    <w:p>
      <w:pPr>
        <w:spacing w:after="120"/>
      </w:pPr>
      <w:r>
        <w:t xml:space="preserve">Import carried the descriptive properties; now put the people on the terms. </w:t>
      </w:r>
      <w:r>
        <w:rPr>
          <w:rFonts w:ascii="Consolas" w:hAnsi="Consolas"/>
          <w:color w:val="0A5560"/>
          <w:sz w:val="20"/>
          <w:szCs w:val="20"/>
        </w:rPr>
        <w:t xml:space="preserve">assets/CTO-glossary-user-map.csv</w:t>
      </w:r>
      <w:r>
        <w:t xml:space="preserve"> records the expertise-driven map — set each category's terms' Business Steward and Owner accordingly, and set Status to Accepted as each steward signs off their own terms: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Steward</w:t>
            </w:r>
          </w:p>
        </w:tc>
        <w:tc>
          <w:tcPr>
            <w:tcW w:w="6460" w:type="dxa"/>
            <w:shd w:val="clear" w:color="auto" w:fill="EEF6FA"/>
            <w:tcMar>
              <w:top w:w="120" w:type="dxa"/>
              <w:left w:w="180" w:type="dxa"/>
              <w:bottom w:w="120" w:type="dxa"/>
              <w:right w:w="180" w:type="dxa"/>
            </w:tcMar>
          </w:tcPr>
          <w:p>
            <w:pPr>
              <w:spacing w:after="0"/>
            </w:pPr>
            <w:r>
              <w:rPr>
                <w:b/>
                <w:bCs/>
              </w:rPr>
              <w:t xml:space="preserve">Categories owned</w:t>
            </w:r>
          </w:p>
        </w:tc>
      </w:tr>
      <w:tr>
        <w:tc>
          <w:tcPr>
            <w:tcW w:w="2900" w:type="dxa"/>
            <w:tcMar>
              <w:top w:w="120" w:type="dxa"/>
              <w:left w:w="180" w:type="dxa"/>
              <w:bottom w:w="120" w:type="dxa"/>
              <w:right w:w="180" w:type="dxa"/>
            </w:tcMar>
          </w:tcPr>
          <w:p>
            <w:pPr>
              <w:spacing w:after="0"/>
            </w:pPr>
            <w:r>
              <w:t xml:space="preserve">Sofia Marin</w:t>
            </w:r>
          </w:p>
        </w:tc>
        <w:tc>
          <w:tcPr>
            <w:tcW w:w="6460" w:type="dxa"/>
            <w:tcMar>
              <w:top w:w="120" w:type="dxa"/>
              <w:left w:w="180" w:type="dxa"/>
              <w:bottom w:w="120" w:type="dxa"/>
              <w:right w:w="180" w:type="dxa"/>
            </w:tcMar>
          </w:tcPr>
          <w:p>
            <w:pPr>
              <w:spacing w:after="0"/>
            </w:pPr>
            <w:r>
              <w:t xml:space="preserve">Customer; Orders &amp; Fulfillment; Store Operations</w:t>
            </w:r>
          </w:p>
        </w:tc>
      </w:tr>
      <w:tr>
        <w:tc>
          <w:tcPr>
            <w:tcW w:w="2900" w:type="dxa"/>
            <w:tcMar>
              <w:top w:w="120" w:type="dxa"/>
              <w:left w:w="180" w:type="dxa"/>
              <w:bottom w:w="120" w:type="dxa"/>
              <w:right w:w="180" w:type="dxa"/>
            </w:tcMar>
          </w:tcPr>
          <w:p>
            <w:pPr>
              <w:spacing w:after="0"/>
            </w:pPr>
            <w:r>
              <w:t xml:space="preserve">Derek Boone</w:t>
            </w:r>
          </w:p>
        </w:tc>
        <w:tc>
          <w:tcPr>
            <w:tcW w:w="6460" w:type="dxa"/>
            <w:tcMar>
              <w:top w:w="120" w:type="dxa"/>
              <w:left w:w="180" w:type="dxa"/>
              <w:bottom w:w="120" w:type="dxa"/>
              <w:right w:w="180" w:type="dxa"/>
            </w:tcMar>
          </w:tcPr>
          <w:p>
            <w:pPr>
              <w:spacing w:after="0"/>
            </w:pPr>
            <w:r>
              <w:t xml:space="preserve">Merchandising; Inventory; Suppliers</w:t>
            </w:r>
          </w:p>
        </w:tc>
      </w:tr>
      <w:tr>
        <w:tc>
          <w:tcPr>
            <w:tcW w:w="2900" w:type="dxa"/>
            <w:tcMar>
              <w:top w:w="120" w:type="dxa"/>
              <w:left w:w="180" w:type="dxa"/>
              <w:bottom w:w="120" w:type="dxa"/>
              <w:right w:w="180" w:type="dxa"/>
            </w:tcMar>
          </w:tcPr>
          <w:p>
            <w:pPr>
              <w:spacing w:after="0"/>
            </w:pPr>
            <w:r>
              <w:t xml:space="preserve">Ken Tanaka</w:t>
            </w:r>
          </w:p>
        </w:tc>
        <w:tc>
          <w:tcPr>
            <w:tcW w:w="6460" w:type="dxa"/>
            <w:tcMar>
              <w:top w:w="120" w:type="dxa"/>
              <w:left w:w="180" w:type="dxa"/>
              <w:bottom w:w="120" w:type="dxa"/>
              <w:right w:w="180" w:type="dxa"/>
            </w:tcMar>
          </w:tcPr>
          <w:p>
            <w:pPr>
              <w:spacing w:after="0"/>
            </w:pPr>
            <w:r>
              <w:t xml:space="preserve">Payments</w:t>
            </w:r>
          </w:p>
        </w:tc>
      </w:tr>
      <w:tr>
        <w:tc>
          <w:tcPr>
            <w:tcW w:w="2900" w:type="dxa"/>
            <w:tcMar>
              <w:top w:w="120" w:type="dxa"/>
              <w:left w:w="180" w:type="dxa"/>
              <w:bottom w:w="120" w:type="dxa"/>
              <w:right w:w="180" w:type="dxa"/>
            </w:tcMar>
          </w:tcPr>
          <w:p>
            <w:pPr>
              <w:spacing w:after="0"/>
            </w:pPr>
            <w:r>
              <w:t xml:space="preserve">Alicia Vega</w:t>
            </w:r>
          </w:p>
        </w:tc>
        <w:tc>
          <w:tcPr>
            <w:tcW w:w="6460" w:type="dxa"/>
            <w:tcMar>
              <w:top w:w="120" w:type="dxa"/>
              <w:left w:w="180" w:type="dxa"/>
              <w:bottom w:w="120" w:type="dxa"/>
              <w:right w:w="180" w:type="dxa"/>
            </w:tcMar>
          </w:tcPr>
          <w:p>
            <w:pPr>
              <w:spacing w:after="0"/>
            </w:pPr>
            <w:r>
              <w:t xml:space="preserve">Loss Prevention &amp; Compliance (all CDE) — and future document-record terms</w:t>
            </w:r>
          </w:p>
        </w:tc>
      </w:tr>
    </w:tbl>
    <w:p>
      <w:pPr>
        <w:spacing w:after="120"/>
      </w:pPr>
    </w:p>
    <w:p>
      <w:pPr>
        <w:spacing w:after="120"/>
      </w:pPr>
      <w:r>
        <w:t xml:space="preserve">Set </w:t>
      </w:r>
      <w:r>
        <w:rPr>
          <w:b/>
          <w:bCs/>
        </w:rPr>
        <w:t xml:space="preserve">Custodian</w:t>
      </w:r>
      <w:r>
        <w:t xml:space="preserve"> to Leo Fischer (Data Storage Administrator) on the identifier terms his storage estate carries, and add Alicia Vega as a </w:t>
      </w:r>
      <w:r>
        <w:rPr>
          <w:b/>
          <w:bCs/>
        </w:rPr>
        <w:t xml:space="preserve">Stakeholder</w:t>
      </w:r>
      <w:r>
        <w:t xml:space="preserve"> on anything loss-prevention adjacent — case, fraud and refund terms.</w:t>
      </w:r>
    </w:p>
    <w:p>
      <w:pPr>
        <w:pStyle w:val="Heading1"/>
      </w:pPr>
      <w:r>
        <w:t xml:space="preserve">Introducing the Similarity Score</w:t>
      </w:r>
    </w:p>
    <w:p>
      <w:pPr>
        <w:spacing w:after="120"/>
      </w:pPr>
      <w:r>
        <w:t xml:space="preserve">In Part C you opened the Suggested Columns view and approved the matches PDC proposed. Those proposals are not name guesses — they come from PDC's metadata similarity engine, and each one carries a </w:t>
      </w:r>
      <w:r>
        <w:rPr>
          <w:b/>
          <w:bCs/>
        </w:rPr>
        <w:t xml:space="preserve">Similarity Score</w:t>
      </w:r>
      <w:r>
        <w:t xml:space="preserve">. This short section introduces that score so you know what you are approving.</w:t>
      </w:r>
    </w:p>
    <w:p>
      <w:pPr>
        <w:pStyle w:val="Heading2"/>
      </w:pPr>
      <w:r>
        <w:t xml:space="preserve">What the score measures</w:t>
      </w:r>
    </w:p>
    <w:p>
      <w:pPr>
        <w:spacing w:after="120"/>
      </w:pPr>
      <w:r>
        <w:t xml:space="preserve">Metadata similarity uses machine learning to find and rank similar columns, tables, and terms across the whole Catalog. It scores each candidate on metadata structure and meaning rather than column names alone, and expresses the result as a number from 0 to 1 — PDC's confidence that a term fits a column. A higher score is a stronger match.</w:t>
      </w:r>
    </w:p>
    <w:p>
      <w:pPr>
        <w:spacing w:after="120"/>
      </w:pPr>
      <w:r>
        <w:rPr>
          <w:b/>
          <w:bCs/>
        </w:rPr>
        <w:t xml:space="preserve">Meaning over names:</w:t>
      </w:r>
      <w:r>
        <w:t xml:space="preserve"> because the score reads structure and meaning, it can match a column whose name looks nothing like the term. In CTO, the </w:t>
      </w:r>
      <w:r>
        <w:rPr>
          <w:b/>
          <w:bCs/>
        </w:rPr>
        <w:t xml:space="preserve">Customer ID</w:t>
      </w:r>
      <w:r>
        <w:t xml:space="preserve"> term can be proposed for </w:t>
      </w:r>
      <w:r>
        <w:rPr>
          <w:rFonts w:ascii="Consolas" w:hAnsi="Consolas"/>
          <w:color w:val="0A5560"/>
          <w:sz w:val="20"/>
          <w:szCs w:val="20"/>
        </w:rPr>
        <w:t xml:space="preserve">cust_id</w:t>
      </w:r>
      <w:r>
        <w:t xml:space="preserve"> in </w:t>
      </w:r>
      <w:r>
        <w:rPr>
          <w:rFonts w:ascii="Consolas" w:hAnsi="Consolas"/>
          <w:color w:val="0A5560"/>
          <w:sz w:val="20"/>
          <w:szCs w:val="20"/>
        </w:rPr>
        <w:t xml:space="preserve">orders</w:t>
      </w:r>
      <w:r>
        <w:t xml:space="preserve"> and </w:t>
      </w:r>
      <w:r>
        <w:rPr>
          <w:rFonts w:ascii="Consolas" w:hAnsi="Consolas"/>
          <w:color w:val="0A5560"/>
          <w:sz w:val="20"/>
          <w:szCs w:val="20"/>
        </w:rPr>
        <w:t xml:space="preserve">loss_prevention_cases</w:t>
      </w:r>
      <w:r>
        <w:t xml:space="preserve">, and </w:t>
      </w:r>
      <w:r>
        <w:rPr>
          <w:b/>
          <w:bCs/>
        </w:rPr>
        <w:t xml:space="preserve">Order Line ID</w:t>
      </w:r>
      <w:r>
        <w:t xml:space="preserve"> for </w:t>
      </w:r>
      <w:r>
        <w:rPr>
          <w:rFonts w:ascii="Consolas" w:hAnsi="Consolas"/>
          <w:color w:val="0A5560"/>
          <w:sz w:val="20"/>
          <w:szCs w:val="20"/>
        </w:rPr>
        <w:t xml:space="preserve">item_id</w:t>
      </w:r>
      <w:r>
        <w:t xml:space="preserve"> — links a name-only search would miss.</w:t>
      </w:r>
    </w:p>
    <w:p>
      <w:pPr>
        <w:spacing w:after="120"/>
      </w:pPr>
      <w:r>
        <w:rPr>
          <w:b/>
          <w:bCs/>
        </w:rPr>
        <w:t xml:space="preserve">It runs as a job, not on demand:</w:t>
      </w:r>
      <w:r>
        <w:t xml:space="preserve"> the Suggested Columns you see are the results of a metadata similarity run, not generated the moment you open the tab. An administrator runs that job; you review what it produced.</w:t>
      </w:r>
    </w:p>
    <w:p>
      <w:pPr>
        <w:pStyle w:val="Heading2"/>
      </w:pPr>
      <w:r>
        <w:t xml:space="preserve">Reading and acting on suggestions</w:t>
      </w:r>
    </w:p>
    <w:p>
      <w:pPr>
        <w:spacing w:after="120"/>
      </w:pPr>
      <w:r>
        <w:t xml:space="preserve">The Suggested Columns list shows matches above a score threshold — 0.5 by default. Lower the threshold to see more, looser candidates; raise it to see only the closest. Then act on each one:</w:t>
      </w:r>
    </w:p>
    <w:p>
      <w:pPr>
        <w:pStyle w:val="ListParagraph"/>
        <w:numPr>
          <w:ilvl w:val="0"/>
          <w:numId w:val="2"/>
        </w:numPr>
        <w:spacing w:after="60"/>
      </w:pPr>
      <w:r>
        <w:rPr>
          <w:b/>
          <w:bCs/>
        </w:rPr>
        <w:t xml:space="preserve">Approve</w:t>
      </w:r>
      <w:r>
        <w:t xml:space="preserve"> assigns the term to the column automatically — the same Business Term Association you would create by hand in the Elements view, only faster.</w:t>
      </w:r>
    </w:p>
    <w:p>
      <w:pPr>
        <w:pStyle w:val="ListParagraph"/>
        <w:numPr>
          <w:ilvl w:val="0"/>
          <w:numId w:val="2"/>
        </w:numPr>
        <w:spacing w:after="60"/>
      </w:pPr>
      <w:r>
        <w:rPr>
          <w:b/>
          <w:bCs/>
        </w:rPr>
        <w:t xml:space="preserve">Reject</w:t>
      </w:r>
      <w:r>
        <w:t xml:space="preserve"> dismisses a wrong match. A rejected suggestion is excluded from future runs for that asset, so reject deliberately rather than to tidy the list.</w:t>
      </w:r>
    </w:p>
    <w:p>
      <w:pPr>
        <w:spacing w:after="120"/>
      </w:pPr>
      <w:r>
        <w:rPr>
          <w:b/>
          <w:bCs/>
        </w:rPr>
        <w:t xml:space="preserve">Your judgment still decides:</w:t>
      </w:r>
      <w:r>
        <w:t xml:space="preserve"> the score assists, it does not approve. A high score is a recommendation, not a verdict — approve the matches that genuinely describe the column, and the same over-linking cautions from the previous section apply. Good semantic coverage, not volume, is the goal.</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Suggested Columns — customers.loyalty_no</w:t>
      </w:r>
    </w:p>
    <w:p>
      <w:pPr>
        <w:pStyle w:val="Heading1"/>
      </w:pPr>
      <w:r>
        <w:t xml:space="preserve">Verify your work</w:t>
      </w:r>
    </w:p>
    <w:p>
      <w:pPr>
        <w:pStyle w:val="ListParagraph"/>
        <w:numPr>
          <w:ilvl w:val="0"/>
          <w:numId w:val="2"/>
        </w:numPr>
        <w:spacing w:after="60"/>
      </w:pPr>
      <w:r>
        <w:t xml:space="preserve">☐  The CTO Business Glossary exists, with eight categories and your terms beneath them.</w:t>
      </w:r>
    </w:p>
    <w:p>
      <w:pPr>
        <w:pStyle w:val="ListParagraph"/>
        <w:numPr>
          <w:ilvl w:val="0"/>
          <w:numId w:val="2"/>
        </w:numPr>
        <w:spacing w:after="60"/>
      </w:pPr>
      <w:r>
        <w:t xml:space="preserve">☐  Each term has a Definition, a Domain, a Sensitivity, a Classification, and a Business Steward.</w:t>
      </w:r>
    </w:p>
    <w:p>
      <w:pPr>
        <w:pStyle w:val="ListParagraph"/>
        <w:numPr>
          <w:ilvl w:val="0"/>
          <w:numId w:val="2"/>
        </w:numPr>
        <w:spacing w:after="60"/>
      </w:pPr>
      <w:r>
        <w:t xml:space="preserve">☐  Each term you linked lists its columns on the Data Elements tab, and the </w:t>
      </w:r>
      <w:r>
        <w:rPr>
          <w:rFonts w:ascii="Consolas" w:hAnsi="Consolas"/>
          <w:color w:val="0A5560"/>
          <w:sz w:val="20"/>
          <w:szCs w:val="20"/>
        </w:rPr>
        <w:t xml:space="preserve">customers</w:t>
      </w:r>
      <w:r>
        <w:t xml:space="preserve"> columns show their assigned business term.</w:t>
      </w:r>
    </w:p>
    <w:p>
      <w:pPr>
        <w:pStyle w:val="ListParagraph"/>
        <w:numPr>
          <w:ilvl w:val="0"/>
          <w:numId w:val="2"/>
        </w:numPr>
        <w:spacing w:after="60"/>
      </w:pPr>
      <w:r>
        <w:t xml:space="preserve">☐  Every data table — all eleven, </w:t>
      </w:r>
      <w:r>
        <w:rPr>
          <w:rFonts w:ascii="Consolas" w:hAnsi="Consolas"/>
          <w:color w:val="0A5560"/>
          <w:sz w:val="20"/>
          <w:szCs w:val="20"/>
        </w:rPr>
        <w:t xml:space="preserve">customers</w:t>
      </w:r>
      <w:r>
        <w:t xml:space="preserve"> through </w:t>
      </w:r>
      <w:r>
        <w:rPr>
          <w:rFonts w:ascii="Consolas" w:hAnsi="Consolas"/>
          <w:color w:val="0A5560"/>
          <w:sz w:val="20"/>
          <w:szCs w:val="20"/>
        </w:rPr>
        <w:t xml:space="preserve">employees</w:t>
      </w:r>
      <w:r>
        <w:t xml:space="preserve"> — has its terms linked, each carries its own table-level term (Customer Record, Payment Record, and so on) that its Trust Score reads, and each has had its Trust Score recalculated.</w:t>
      </w:r>
    </w:p>
    <w:p>
      <w:pPr>
        <w:pStyle w:val="ListParagraph"/>
        <w:numPr>
          <w:ilvl w:val="0"/>
          <w:numId w:val="2"/>
        </w:numPr>
        <w:spacing w:after="60"/>
      </w:pPr>
      <w:r>
        <w:t xml:space="preserve">☐  After re-running Calculate Trust Score, the </w:t>
      </w:r>
      <w:r>
        <w:rPr>
          <w:rFonts w:ascii="Consolas" w:hAnsi="Consolas"/>
          <w:color w:val="0A5560"/>
          <w:sz w:val="20"/>
          <w:szCs w:val="20"/>
        </w:rPr>
        <w:t xml:space="preserve">customers</w:t>
      </w:r>
      <w:r>
        <w:t xml:space="preserve"> Trust Score is no longer 0 / Untrusted.</w:t>
      </w:r>
    </w:p>
    <w:p>
      <w:pPr>
        <w:pStyle w:val="ListParagraph"/>
        <w:numPr>
          <w:ilvl w:val="0"/>
          <w:numId w:val="2"/>
        </w:numPr>
        <w:spacing w:after="60"/>
      </w:pPr>
      <w:r>
        <w:t xml:space="preserve">☐  Stewardship is assigned per Part E — Sofia, Derek, Ken and Alicia each own their categories.</w:t>
      </w:r>
    </w:p>
    <w:p>
      <w:pPr>
        <w:pStyle w:val="ListParagraph"/>
        <w:numPr>
          <w:ilvl w:val="0"/>
          <w:numId w:val="2"/>
        </w:numPr>
        <w:spacing w:after="60"/>
      </w:pPr>
      <w:r>
        <w:t xml:space="preserve">☐  You can explain why the score moved (the glossary-term input) and why a quality-based score still waits for Workshop 4 profiling.</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Import fails, or terms land under Unassigned</w:t>
            </w:r>
          </w:p>
        </w:tc>
        <w:tc>
          <w:tcPr>
            <w:tcW w:w="6460" w:type="dxa"/>
            <w:tcMar>
              <w:top w:w="120" w:type="dxa"/>
              <w:left w:w="180" w:type="dxa"/>
              <w:bottom w:w="120" w:type="dxa"/>
              <w:right w:w="180" w:type="dxa"/>
            </w:tcMar>
          </w:tcPr>
          <w:p>
            <w:pPr>
              <w:spacing w:after="0"/>
            </w:pPr>
            <w:r>
              <w:t xml:space="preserve">Your file's columns or Parent values do not match the expected schema. Export a glossary first and mirror its exact headers and parent references. The supplied JSONL imports as-is — if it fails, check you did not edit it.</w:t>
            </w:r>
          </w:p>
        </w:tc>
      </w:tr>
      <w:tr>
        <w:tc>
          <w:tcPr>
            <w:tcW w:w="2900" w:type="dxa"/>
            <w:tcMar>
              <w:top w:w="120" w:type="dxa"/>
              <w:left w:w="180" w:type="dxa"/>
              <w:bottom w:w="120" w:type="dxa"/>
              <w:right w:w="180" w:type="dxa"/>
            </w:tcMar>
          </w:tcPr>
          <w:p>
            <w:pPr>
              <w:spacing w:after="0"/>
            </w:pPr>
            <w:r>
              <w:t xml:space="preserve">Term created but no governance shows</w:t>
            </w:r>
          </w:p>
        </w:tc>
        <w:tc>
          <w:tcPr>
            <w:tcW w:w="6460" w:type="dxa"/>
            <w:tcMar>
              <w:top w:w="120" w:type="dxa"/>
              <w:left w:w="180" w:type="dxa"/>
              <w:bottom w:w="120" w:type="dxa"/>
              <w:right w:w="180" w:type="dxa"/>
            </w:tcMar>
          </w:tcPr>
          <w:p>
            <w:pPr>
              <w:spacing w:after="0"/>
            </w:pPr>
            <w:r>
              <w:t xml:space="preserve">Sensitivity, Domain, Classification, and Steward are set per term in the Properties panel. Open the term's Summary tab and fill them in.</w:t>
            </w:r>
          </w:p>
        </w:tc>
      </w:tr>
      <w:tr>
        <w:tc>
          <w:tcPr>
            <w:tcW w:w="2900" w:type="dxa"/>
            <w:tcMar>
              <w:top w:w="120" w:type="dxa"/>
              <w:left w:w="180" w:type="dxa"/>
              <w:bottom w:w="120" w:type="dxa"/>
              <w:right w:w="180" w:type="dxa"/>
            </w:tcMar>
          </w:tcPr>
          <w:p>
            <w:pPr>
              <w:spacing w:after="0"/>
            </w:pPr>
            <w:r>
              <w:t xml:space="preserve">Trust Score still 0 after linking a term</w:t>
            </w:r>
          </w:p>
        </w:tc>
        <w:tc>
          <w:tcPr>
            <w:tcW w:w="6460" w:type="dxa"/>
            <w:tcMar>
              <w:top w:w="120" w:type="dxa"/>
              <w:left w:w="180" w:type="dxa"/>
              <w:bottom w:w="120" w:type="dxa"/>
              <w:right w:w="180" w:type="dxa"/>
            </w:tcMar>
          </w:tcPr>
          <w:p>
            <w:pPr>
              <w:spacing w:after="0"/>
            </w:pPr>
            <w:r>
              <w:t xml:space="preserve">Re-run the Calculate Trust Score job after the term is linked. A completed job with activeMillis 0 means it had no inputs at the moment it ran.</w:t>
            </w:r>
          </w:p>
        </w:tc>
      </w:tr>
      <w:tr>
        <w:tc>
          <w:tcPr>
            <w:tcW w:w="2900" w:type="dxa"/>
            <w:tcMar>
              <w:top w:w="120" w:type="dxa"/>
              <w:left w:w="180" w:type="dxa"/>
              <w:bottom w:w="120" w:type="dxa"/>
              <w:right w:w="180" w:type="dxa"/>
            </w:tcMar>
          </w:tcPr>
          <w:p>
            <w:pPr>
              <w:spacing w:after="0"/>
            </w:pPr>
            <w:r>
              <w:t xml:space="preserve">Cannot create or edit glossary items</w:t>
            </w:r>
          </w:p>
        </w:tc>
        <w:tc>
          <w:tcPr>
            <w:tcW w:w="6460" w:type="dxa"/>
            <w:tcMar>
              <w:top w:w="120" w:type="dxa"/>
              <w:left w:w="180" w:type="dxa"/>
              <w:bottom w:w="120" w:type="dxa"/>
              <w:right w:w="180" w:type="dxa"/>
            </w:tcMar>
          </w:tcPr>
          <w:p>
            <w:pPr>
              <w:spacing w:after="0"/>
            </w:pPr>
            <w:r>
              <w:t xml:space="preserve">Glossary editing is governed by role-based access control and requires the </w:t>
            </w:r>
            <w:r>
              <w:rPr>
                <w:b/>
                <w:bCs/>
              </w:rPr>
              <w:t xml:space="preserve">Business Steward</w:t>
            </w:r>
            <w:r>
              <w:t xml:space="preserve"> role. In the CTO cast that is Alicia, Derek, Ken — and Sofia, whose account carries both Business Steward and Data Steward. A Data Steward role alone cannot edit the glossary.</w:t>
            </w:r>
          </w:p>
        </w:tc>
      </w:tr>
    </w:tbl>
    <w:p>
      <w:pPr>
        <w:spacing w:after="120"/>
      </w:pPr>
    </w:p>
    <w:p>
      <w:pPr>
        <w:pStyle w:val="Heading1"/>
      </w:pPr>
      <w:r>
        <w:t xml:space="preserve">Why it matters &amp; discussion</w:t>
      </w:r>
    </w:p>
    <w:p>
      <w:pPr>
        <w:spacing w:after="120"/>
      </w:pPr>
      <w:r>
        <w:t xml:space="preserve">A new analyst searches the Catalog for customer personal data. Because CTO governs each personal field as its own term — Loyalty Number, First Name, Last Name, Email, Phone, all classified, stewarded by Sofia Marin and linked to every matching column — the search returns exactly the right fields with their governance attached. Discuss: what would that same search return with no glossary, and what would it cost CTO, in a privacy audit or PCI assessment, to assemble that answer by hand?</w:t>
      </w:r>
    </w:p>
    <w:p>
      <w:pPr>
        <w:pStyle w:val="Heading1"/>
      </w:pPr>
      <w:r>
        <w:t xml:space="preserve">What's next</w:t>
      </w:r>
    </w:p>
    <w:p>
      <w:pPr>
        <w:spacing w:after="120"/>
      </w:pPr>
      <w:r>
        <w:t xml:space="preserve">Your business vocabulary now exists and is linked to the data. Workshop 4 runs Data Profiling and Data Quality: PDC profiles the data — the operational layer, row counts, and keys — and Tessa Nguyen (Data Developer) turns CTO's compliance obligations into scheduled, scored business rules. With both a linked term and profiled quality in place, Calculate Trust Score finally produces a real, quality-based number.</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3: Build the Business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two-ap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Business Glossary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