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1200"/>
      </w:pPr>
      <w:r>
        <w:rPr>
          <w:b/>
          <w:bCs/>
          <w:color w:val="1C7293"/>
          <w:spacing w:val="30"/>
        </w:rPr>
        <w:t xml:space="preserve">PENTAHO DATA CATALOG 11.0.0  ·  BUSINESS ANALYST</w:t>
      </w:r>
    </w:p>
    <w:p>
      <w:pPr>
        <w:spacing w:before="80"/>
      </w:pPr>
      <w:r>
        <w:rPr>
          <w:b/>
          <w:bCs/>
          <w:color w:val="5B7886"/>
          <w:spacing w:val="30"/>
        </w:rPr>
        <w:t xml:space="preserve">PDC PROCESS  ·  PROFILING &amp; QUALITY</w:t>
      </w:r>
    </w:p>
    <w:p>
      <w:pPr>
        <w:spacing w:before="200"/>
      </w:pPr>
      <w:r>
        <w:rPr>
          <w:b/>
          <w:bCs/>
          <w:color w:val="5B7782"/>
          <w:spacing w:val="20"/>
          <w:sz w:val="32"/>
          <w:szCs w:val="32"/>
        </w:rPr>
        <w:t xml:space="preserve">WORKSHOP 4</w:t>
      </w:r>
    </w:p>
    <w:p>
      <w:pPr>
        <w:spacing w:before="320"/>
      </w:pPr>
      <w:r>
        <w:rPr>
          <w:rFonts w:ascii="Cambria" w:eastAsia="Cambria" w:hAnsi="Cambria" w:cs="Cambria"/>
          <w:b/>
          <w:bCs/>
          <w:color w:val="14333F"/>
          <w:sz w:val="56"/>
          <w:szCs w:val="56"/>
        </w:rPr>
        <w:t xml:space="preserve">Profile Data &amp; Assess Quality</w:t>
      </w:r>
    </w:p>
    <w:p>
      <w:pPr>
        <w:spacing w:before="200"/>
      </w:pPr>
      <w:r>
        <w:rPr>
          <w:color w:val="065A82"/>
          <w:sz w:val="28"/>
          <w:szCs w:val="28"/>
        </w:rPr>
        <w:t xml:space="preserve">Profile CTO's tables to generate statistics, discover keys, make the Trust Score real — and score the compliance obligations as business rules.</w:t>
      </w:r>
    </w:p>
    <w:p>
      <w:pPr>
        <w:pBdr>
          <w:top w:val="single" w:sz="6" w:space="8" w:color="1C7293"/>
        </w:pBdr>
        <w:spacing w:before="500"/>
      </w:pPr>
    </w:p>
    <w:p>
      <w:pPr>
        <w:spacing w:before="200"/>
      </w:pPr>
      <w:r>
        <w:rPr>
          <w:b/>
          <w:bCs/>
          <w:color w:val="5B7782"/>
          <w:sz w:val="24"/>
          <w:szCs w:val="24"/>
        </w:rPr>
        <w:t xml:space="preserve">Primary role:  </w:t>
      </w:r>
      <w:r>
        <w:rPr>
          <w:color w:val="14333F"/>
          <w:sz w:val="24"/>
          <w:szCs w:val="24"/>
        </w:rPr>
        <w:t xml:space="preserve">Data Steward / Data Developer</w:t>
      </w:r>
    </w:p>
    <w:p>
      <w:pPr>
        <w:spacing w:before="80"/>
      </w:pPr>
      <w:r>
        <w:rPr>
          <w:b/>
          <w:bCs/>
          <w:color w:val="5B7782"/>
          <w:sz w:val="24"/>
          <w:szCs w:val="24"/>
        </w:rPr>
        <w:t xml:space="preserve">Estimated time:  </w:t>
      </w:r>
      <w:r>
        <w:rPr>
          <w:color w:val="14333F"/>
          <w:sz w:val="24"/>
          <w:szCs w:val="24"/>
        </w:rPr>
        <w:t xml:space="preserve">90 minutes</w:t>
      </w:r>
    </w:p>
    <w:p>
      <w:pPr>
        <w:spacing w:before="80"/>
      </w:pPr>
      <w:r>
        <w:rPr>
          <w:b/>
          <w:bCs/>
          <w:color w:val="5B7782"/>
          <w:sz w:val="24"/>
          <w:szCs w:val="24"/>
        </w:rPr>
        <w:t xml:space="preserve">Dataset:  </w:t>
      </w:r>
      <w:r>
        <w:rPr>
          <w:color w:val="14333F"/>
          <w:sz w:val="24"/>
          <w:szCs w:val="24"/>
        </w:rPr>
        <w:t xml:space="preserve">Canyon Trail Outfitters (cto_retail + cto-documents)</w:t>
      </w:r>
    </w:p>
    <w:p>
      <w:pPr>
        <w:pStyle w:val="Heading1"/>
      </w:pPr>
      <w:r>
        <w:t xml:space="preserve">Why this workshop matters</w:t>
      </w:r>
    </w:p>
    <w:p>
      <w:pPr>
        <w:spacing w:after="120"/>
      </w:pPr>
      <w:r>
        <w:t xml:space="preserve">In Workshop 2 the </w:t>
      </w:r>
      <w:r>
        <w:rPr>
          <w:rFonts w:ascii="Consolas" w:hAnsi="Consolas"/>
          <w:color w:val="0A5560"/>
          <w:sz w:val="20"/>
          <w:szCs w:val="20"/>
        </w:rPr>
        <w:t xml:space="preserve">customers</w:t>
      </w:r>
      <w:r>
        <w:t xml:space="preserve"> table had a blank PK/FK column and a Trust Score of 0 / Untrusted; in Workshop 3 you linked glossary terms, but the score still rested on defaults. This workshop runs the engine that fills the operational layer. </w:t>
      </w:r>
      <w:r>
        <w:rPr>
          <w:b/>
          <w:bCs/>
        </w:rPr>
        <w:t xml:space="preserve">Data Profiling</w:t>
      </w:r>
      <w:r>
        <w:t xml:space="preserve"> reads every value once and produces statistics, data patterns, and sample values; Data Catalog's foreign-key detection looks across tables for relationships in that output; and </w:t>
      </w:r>
      <w:r>
        <w:rPr>
          <w:b/>
          <w:bCs/>
        </w:rPr>
        <w:t xml:space="preserve">Calculate Trust Score</w:t>
      </w:r>
      <w:r>
        <w:t xml:space="preserve"> finally has real evidence to roll up. Then you go one step beyond the profiler: </w:t>
      </w:r>
      <w:r>
        <w:rPr>
          <w:b/>
          <w:bCs/>
        </w:rPr>
        <w:t xml:space="preserve">Business Rules</w:t>
      </w:r>
      <w:r>
        <w:t xml:space="preserve"> turn CTO's compliance obligations into scheduled, scored SQL — quality you can trend, not assert. After this workshop, the question </w:t>
      </w:r>
      <w:r>
        <w:rPr>
          <w:i/>
          <w:iCs/>
        </w:rPr>
        <w:t xml:space="preserve">can I trust this table?</w:t>
      </w:r>
      <w:r>
        <w:t xml:space="preserve"> has a defensible answer.</w:t>
      </w:r>
    </w:p>
    <w:p>
      <w:pPr>
        <w:pBdr>
          <w:left w:val="single" w:sz="12" w:space="8" w:color="065A82"/>
        </w:pBdr>
        <w:shd w:val="clear" w:color="auto" w:fill="EEF6FA"/>
        <w:ind w:left="240" w:right="240"/>
        <w:spacing w:before="120" w:after="160"/>
      </w:pPr>
      <w:r>
        <w:rPr>
          <w:b/>
          <w:bCs/>
        </w:rPr>
        <w:t xml:space="preserve">The business problem.</w:t>
      </w:r>
      <w:r>
        <w:t xml:space="preserve"> A CTO analyst is about to build the store-performance report on </w:t>
      </w:r>
      <w:r>
        <w:rPr>
          <w:rFonts w:ascii="Consolas" w:hAnsi="Consolas"/>
          <w:color w:val="0A5560"/>
          <w:sz w:val="20"/>
          <w:szCs w:val="20"/>
        </w:rPr>
        <w:t xml:space="preserve">orders</w:t>
      </w:r>
      <w:r>
        <w:t xml:space="preserve">. Is the data complete? Are there nulls in the amount columns? Which column is the key, and does it join cleanly to </w:t>
      </w:r>
      <w:r>
        <w:rPr>
          <w:rFonts w:ascii="Consolas" w:hAnsi="Consolas"/>
          <w:color w:val="0A5560"/>
          <w:sz w:val="20"/>
          <w:szCs w:val="20"/>
        </w:rPr>
        <w:t xml:space="preserve">customers</w:t>
      </w:r>
      <w:r>
        <w:t xml:space="preserve">? Without profiling, these are guesses. Profiling turns them into measured facts — row counts, null counts, cardinality, and discovered keys — so the analyst builds on evidence, not hope. And two of CTO's obligations are already broken in the data, invisibly: three opted-out customers still carry live marketing emails, and six payments store the full card number unmasked, in direct violation of PCI DSS. Part E makes both failures </w:t>
      </w:r>
      <w:r>
        <w:rPr>
          <w:i/>
          <w:iCs/>
        </w:rPr>
        <w:t xml:space="preserve">measurable</w:t>
      </w:r>
      <w:r>
        <w:t xml:space="preserve"> — the prerequisite for fixing them and proving the fix.</w:t>
      </w:r>
    </w:p>
    <w:p>
      <w:pPr>
        <w:spacing w:after="120"/>
      </w:pPr>
      <w:r>
        <w:rPr>
          <w:b/>
          <w:bCs/>
        </w:rPr>
        <w:t xml:space="preserve">Profiling is a prerequisite:</w:t>
      </w:r>
      <w:r>
        <w:t xml:space="preserve"> it is not an optional step. Until a table is profiled, Data Catalog flags it as Required, and Data Identification (Workshop 5) cannot run on it — so profiling comes first for every asset.</w:t>
      </w:r>
    </w:p>
    <w:p>
      <w:pPr>
        <w:pStyle w:val="Heading1"/>
      </w:pPr>
      <w:r>
        <w:t xml:space="preserve">What you will learn</w:t>
      </w:r>
    </w:p>
    <w:p>
      <w:pPr>
        <w:pStyle w:val="ListParagraph"/>
        <w:numPr>
          <w:ilvl w:val="0"/>
          <w:numId w:val="2"/>
        </w:numPr>
        <w:spacing w:after="60"/>
      </w:pPr>
      <w:r>
        <w:t xml:space="preserve">How to run Data Profiling on a structured table, and why the default settings (a sample of up to 500,000 rows) suit most cases.</w:t>
      </w:r>
    </w:p>
    <w:p>
      <w:pPr>
        <w:pStyle w:val="ListParagraph"/>
        <w:numPr>
          <w:ilvl w:val="0"/>
          <w:numId w:val="2"/>
        </w:numPr>
        <w:spacing w:after="60"/>
      </w:pPr>
      <w:r>
        <w:t xml:space="preserve">What profiling produces: statistics (row count, null count, cardinality), data patterns, and sample values.</w:t>
      </w:r>
    </w:p>
    <w:p>
      <w:pPr>
        <w:pStyle w:val="ListParagraph"/>
        <w:numPr>
          <w:ilvl w:val="0"/>
          <w:numId w:val="2"/>
        </w:numPr>
        <w:spacing w:after="60"/>
      </w:pPr>
      <w:r>
        <w:t xml:space="preserve">Where the PK/FK column comes from — declared keys in the source plus Data Catalog's relationship detection — and what to do when it stays blank.</w:t>
      </w:r>
    </w:p>
    <w:p>
      <w:pPr>
        <w:pStyle w:val="ListParagraph"/>
        <w:numPr>
          <w:ilvl w:val="0"/>
          <w:numId w:val="2"/>
        </w:numPr>
        <w:spacing w:after="60"/>
      </w:pPr>
      <w:r>
        <w:t xml:space="preserve">How Calculate Trust Score rolls up four inputs — and why the Data Quality metric needs the Pentaho Data Quality add-on.</w:t>
      </w:r>
    </w:p>
    <w:p>
      <w:pPr>
        <w:pStyle w:val="ListParagraph"/>
        <w:numPr>
          <w:ilvl w:val="0"/>
          <w:numId w:val="2"/>
        </w:numPr>
        <w:spacing w:after="60"/>
      </w:pPr>
      <w:r>
        <w:t xml:space="preserve">What the Profiling options do — sampling (Sample Type, Skip Recent) and the parallelism threads — and why CTO keeps the defaults.</w:t>
      </w:r>
    </w:p>
    <w:p>
      <w:pPr>
        <w:pStyle w:val="ListParagraph"/>
        <w:numPr>
          <w:ilvl w:val="0"/>
          <w:numId w:val="2"/>
        </w:numPr>
        <w:spacing w:after="60"/>
      </w:pPr>
      <w:r>
        <w:t xml:space="preserve">How CTO's documents are profiled by Data Discovery, which extracts text, flags duplicate files, and can OCR scanned PDFs.</w:t>
      </w:r>
    </w:p>
    <w:p>
      <w:pPr>
        <w:pStyle w:val="ListParagraph"/>
        <w:numPr>
          <w:ilvl w:val="0"/>
          <w:numId w:val="2"/>
        </w:numPr>
        <w:spacing w:after="60"/>
      </w:pPr>
      <w:r>
        <w:t xml:space="preserve">How PDC Business Rules work: the three-column SQL contract the Rules Engine scores, and why in PDC v11 a </w:t>
      </w:r>
      <w:r>
        <w:rPr>
          <w:b/>
          <w:bCs/>
        </w:rPr>
        <w:t xml:space="preserve">Data Developer</w:t>
      </w:r>
      <w:r>
        <w:t xml:space="preserve"> — not an Admin — authors them.</w:t>
      </w:r>
    </w:p>
    <w:p>
      <w:pPr>
        <w:pStyle w:val="Heading1"/>
      </w:pPr>
      <w:r>
        <w:t xml:space="preserve">Background: what profiling produces</w:t>
      </w:r>
    </w:p>
    <w:p>
      <w:pPr>
        <w:spacing w:after="120"/>
      </w:pPr>
      <w:r>
        <w:t xml:space="preserve">Data Profiling examines structured data in a single pass and computes detailed properties for every column. Along the way it generates intermediate data — a Roaring Bitset, a HyperLogLog cardinality estimate, and data-pattern analysis — that downstream jobs consume. Foreign-key detection depends on it directly, working across tables to infer relationships from that output. Profiling produces a Data Quality Pre-Analysis — an estimated quality percentage in the column's profile results — which is not the same as the licensed Data Quality metric shown in Key Metrics.</w:t>
      </w:r>
    </w:p>
    <w:tbl>
      <w:tblPr>
        <w:tblW w:w="9360" w:type="dxa"/>
        <w:tblBorders>
          <w:top w:val="single" w:sz="4" w:space="0" w:color="C9DEE8"/>
          <w:left w:val="single" w:sz="4" w:space="0" w:color="C9DEE8"/>
          <w:bottom w:val="single" w:sz="4" w:space="0" w:color="C9DEE8"/>
          <w:right w:val="single" w:sz="4" w:space="0" w:color="C9DEE8"/>
          <w:insideH w:val="single" w:sz="4" w:space="0" w:color="C9DEE8"/>
          <w:insideV w:val="single" w:sz="4" w:space="0" w:color="C9DEE8"/>
        </w:tblBorders>
      </w:tblPr>
      <w:tblGrid>
        <w:gridCol w:w="2500"/>
        <w:gridCol w:w="3430"/>
        <w:gridCol w:w="3430"/>
      </w:tblGrid>
      <w:tr>
        <w:tc>
          <w:tcPr>
            <w:tcW w:w="2500" w:type="dxa"/>
            <w:shd w:val="clear" w:color="auto" w:fill="EEF6FA"/>
            <w:tcBorders>
              <w:left w:val="single" w:sz="12" w:space="0" w:color="065A82"/>
            </w:tcBorders>
            <w:tcMar>
              <w:top w:w="120" w:type="dxa"/>
              <w:left w:w="180" w:type="dxa"/>
              <w:bottom w:w="120" w:type="dxa"/>
              <w:right w:w="180" w:type="dxa"/>
            </w:tcMar>
          </w:tcPr>
          <w:p>
            <w:pPr>
              <w:spacing w:after="0"/>
            </w:pPr>
            <w:r>
              <w:rPr>
                <w:b/>
                <w:bCs/>
              </w:rPr>
              <w:t xml:space="preserve">Profiling produces</w:t>
            </w:r>
          </w:p>
        </w:tc>
        <w:tc>
          <w:tcPr>
            <w:tcW w:w="3430" w:type="dxa"/>
            <w:shd w:val="clear" w:color="auto" w:fill="EEF6FA"/>
            <w:tcMar>
              <w:top w:w="120" w:type="dxa"/>
              <w:left w:w="180" w:type="dxa"/>
              <w:bottom w:w="120" w:type="dxa"/>
              <w:right w:w="180" w:type="dxa"/>
            </w:tcMar>
          </w:tcPr>
          <w:p>
            <w:pPr>
              <w:spacing w:after="0"/>
            </w:pPr>
            <w:r>
              <w:rPr>
                <w:b/>
                <w:bCs/>
              </w:rPr>
              <w:t xml:space="preserve">What it is</w:t>
            </w:r>
          </w:p>
        </w:tc>
        <w:tc>
          <w:tcPr>
            <w:tcW w:w="3430" w:type="dxa"/>
            <w:shd w:val="clear" w:color="auto" w:fill="EEF6FA"/>
            <w:tcMar>
              <w:top w:w="120" w:type="dxa"/>
              <w:left w:w="180" w:type="dxa"/>
              <w:bottom w:w="120" w:type="dxa"/>
              <w:right w:w="180" w:type="dxa"/>
            </w:tcMar>
          </w:tcPr>
          <w:p>
            <w:pPr>
              <w:spacing w:after="0"/>
            </w:pPr>
            <w:r>
              <w:rPr>
                <w:b/>
                <w:bCs/>
              </w:rPr>
              <w:t xml:space="preserve">Where you see it</w:t>
            </w:r>
          </w:p>
        </w:tc>
      </w:tr>
      <w:tr>
        <w:tc>
          <w:tcPr>
            <w:tcW w:w="2500" w:type="dxa"/>
            <w:tcMar>
              <w:top w:w="120" w:type="dxa"/>
              <w:left w:w="180" w:type="dxa"/>
              <w:bottom w:w="120" w:type="dxa"/>
              <w:right w:w="180" w:type="dxa"/>
            </w:tcMar>
          </w:tcPr>
          <w:p>
            <w:pPr>
              <w:spacing w:after="0"/>
            </w:pPr>
            <w:r>
              <w:t xml:space="preserve">Statistics</w:t>
            </w:r>
          </w:p>
        </w:tc>
        <w:tc>
          <w:tcPr>
            <w:tcW w:w="3430" w:type="dxa"/>
            <w:tcMar>
              <w:top w:w="120" w:type="dxa"/>
              <w:left w:w="180" w:type="dxa"/>
              <w:bottom w:w="120" w:type="dxa"/>
              <w:right w:w="180" w:type="dxa"/>
            </w:tcMar>
          </w:tcPr>
          <w:p>
            <w:pPr>
              <w:spacing w:after="0"/>
            </w:pPr>
            <w:r>
              <w:t xml:space="preserve">Total row count, null count, min/max, string widths.</w:t>
            </w:r>
          </w:p>
        </w:tc>
        <w:tc>
          <w:tcPr>
            <w:tcW w:w="3430" w:type="dxa"/>
            <w:tcMar>
              <w:top w:w="120" w:type="dxa"/>
              <w:left w:w="180" w:type="dxa"/>
              <w:bottom w:w="120" w:type="dxa"/>
              <w:right w:w="180" w:type="dxa"/>
            </w:tcMar>
          </w:tcPr>
          <w:p>
            <w:pPr>
              <w:spacing w:after="0"/>
            </w:pPr>
            <w:r>
              <w:t xml:space="preserve">Summary → Statistics; column details</w:t>
            </w:r>
          </w:p>
        </w:tc>
      </w:tr>
      <w:tr>
        <w:tc>
          <w:tcPr>
            <w:tcW w:w="2500" w:type="dxa"/>
            <w:tcMar>
              <w:top w:w="120" w:type="dxa"/>
              <w:left w:w="180" w:type="dxa"/>
              <w:bottom w:w="120" w:type="dxa"/>
              <w:right w:w="180" w:type="dxa"/>
            </w:tcMar>
          </w:tcPr>
          <w:p>
            <w:pPr>
              <w:spacing w:after="0"/>
            </w:pPr>
            <w:r>
              <w:t xml:space="preserve">Cardinality &amp; HLL</w:t>
            </w:r>
          </w:p>
        </w:tc>
        <w:tc>
          <w:tcPr>
            <w:tcW w:w="3430" w:type="dxa"/>
            <w:tcMar>
              <w:top w:w="120" w:type="dxa"/>
              <w:left w:w="180" w:type="dxa"/>
              <w:bottom w:w="120" w:type="dxa"/>
              <w:right w:w="180" w:type="dxa"/>
            </w:tcMar>
          </w:tcPr>
          <w:p>
            <w:pPr>
              <w:spacing w:after="0"/>
            </w:pPr>
            <w:r>
              <w:t xml:space="preserve">Unique-value count and a ~2%-margin estimate.</w:t>
            </w:r>
          </w:p>
        </w:tc>
        <w:tc>
          <w:tcPr>
            <w:tcW w:w="3430" w:type="dxa"/>
            <w:tcMar>
              <w:top w:w="120" w:type="dxa"/>
              <w:left w:w="180" w:type="dxa"/>
              <w:bottom w:w="120" w:type="dxa"/>
              <w:right w:w="180" w:type="dxa"/>
            </w:tcMar>
          </w:tcPr>
          <w:p>
            <w:pPr>
              <w:spacing w:after="0"/>
            </w:pPr>
            <w:r>
              <w:t xml:space="preserve">Column details (Cardinality, HLL)</w:t>
            </w:r>
          </w:p>
        </w:tc>
      </w:tr>
      <w:tr>
        <w:tc>
          <w:tcPr>
            <w:tcW w:w="2500" w:type="dxa"/>
            <w:tcMar>
              <w:top w:w="120" w:type="dxa"/>
              <w:left w:w="180" w:type="dxa"/>
              <w:bottom w:w="120" w:type="dxa"/>
              <w:right w:w="180" w:type="dxa"/>
            </w:tcMar>
          </w:tcPr>
          <w:p>
            <w:pPr>
              <w:spacing w:after="0"/>
            </w:pPr>
            <w:r>
              <w:t xml:space="preserve">Data patterns</w:t>
            </w:r>
          </w:p>
        </w:tc>
        <w:tc>
          <w:tcPr>
            <w:tcW w:w="3430" w:type="dxa"/>
            <w:tcMar>
              <w:top w:w="120" w:type="dxa"/>
              <w:left w:w="180" w:type="dxa"/>
              <w:bottom w:w="120" w:type="dxa"/>
              <w:right w:w="180" w:type="dxa"/>
            </w:tcMar>
          </w:tcPr>
          <w:p>
            <w:pPr>
              <w:spacing w:after="0"/>
            </w:pPr>
            <w:r>
              <w:t xml:space="preserve">The most frequent value patterns, with RegEx suggestions.</w:t>
            </w:r>
          </w:p>
        </w:tc>
        <w:tc>
          <w:tcPr>
            <w:tcW w:w="3430" w:type="dxa"/>
            <w:tcMar>
              <w:top w:w="120" w:type="dxa"/>
              <w:left w:w="180" w:type="dxa"/>
              <w:bottom w:w="120" w:type="dxa"/>
              <w:right w:w="180" w:type="dxa"/>
            </w:tcMar>
          </w:tcPr>
          <w:p>
            <w:pPr>
              <w:spacing w:after="0"/>
            </w:pPr>
            <w:r>
              <w:t xml:space="preserve">Summary → Data Patterns</w:t>
            </w:r>
          </w:p>
        </w:tc>
      </w:tr>
      <w:tr>
        <w:tc>
          <w:tcPr>
            <w:tcW w:w="2500" w:type="dxa"/>
            <w:tcMar>
              <w:top w:w="120" w:type="dxa"/>
              <w:left w:w="180" w:type="dxa"/>
              <w:bottom w:w="120" w:type="dxa"/>
              <w:right w:w="180" w:type="dxa"/>
            </w:tcMar>
          </w:tcPr>
          <w:p>
            <w:pPr>
              <w:spacing w:after="0"/>
            </w:pPr>
            <w:r>
              <w:t xml:space="preserve">Sample values</w:t>
            </w:r>
          </w:p>
        </w:tc>
        <w:tc>
          <w:tcPr>
            <w:tcW w:w="3430" w:type="dxa"/>
            <w:tcMar>
              <w:top w:w="120" w:type="dxa"/>
              <w:left w:w="180" w:type="dxa"/>
              <w:bottom w:w="120" w:type="dxa"/>
              <w:right w:w="180" w:type="dxa"/>
            </w:tcMar>
          </w:tcPr>
          <w:p>
            <w:pPr>
              <w:spacing w:after="0"/>
            </w:pPr>
            <w:r>
              <w:t xml:space="preserve">A controlled sample of values per column.</w:t>
            </w:r>
          </w:p>
        </w:tc>
        <w:tc>
          <w:tcPr>
            <w:tcW w:w="3430" w:type="dxa"/>
            <w:tcMar>
              <w:top w:w="120" w:type="dxa"/>
              <w:left w:w="180" w:type="dxa"/>
              <w:bottom w:w="120" w:type="dxa"/>
              <w:right w:w="180" w:type="dxa"/>
            </w:tcMar>
          </w:tcPr>
          <w:p>
            <w:pPr>
              <w:spacing w:after="0"/>
            </w:pPr>
            <w:r>
              <w:t xml:space="preserve">Details → Sample Data (Raw / Aggregated)</w:t>
            </w:r>
          </w:p>
        </w:tc>
      </w:tr>
      <w:tr>
        <w:tc>
          <w:tcPr>
            <w:tcW w:w="2500" w:type="dxa"/>
            <w:tcMar>
              <w:top w:w="120" w:type="dxa"/>
              <w:left w:w="180" w:type="dxa"/>
              <w:bottom w:w="120" w:type="dxa"/>
              <w:right w:w="180" w:type="dxa"/>
            </w:tcMar>
          </w:tcPr>
          <w:p>
            <w:pPr>
              <w:spacing w:after="0"/>
            </w:pPr>
            <w:r>
              <w:t xml:space="preserve">Intermediate data</w:t>
            </w:r>
          </w:p>
        </w:tc>
        <w:tc>
          <w:tcPr>
            <w:tcW w:w="3430" w:type="dxa"/>
            <w:tcMar>
              <w:top w:w="120" w:type="dxa"/>
              <w:left w:w="180" w:type="dxa"/>
              <w:bottom w:w="120" w:type="dxa"/>
              <w:right w:w="180" w:type="dxa"/>
            </w:tcMar>
          </w:tcPr>
          <w:p>
            <w:pPr>
              <w:spacing w:after="0"/>
            </w:pPr>
            <w:r>
              <w:t xml:space="preserve">Bitset, HLL, and pattern analysis that foreign-key detection consumes.</w:t>
            </w:r>
          </w:p>
        </w:tc>
        <w:tc>
          <w:tcPr>
            <w:tcW w:w="3430" w:type="dxa"/>
            <w:tcMar>
              <w:top w:w="120" w:type="dxa"/>
              <w:left w:w="180" w:type="dxa"/>
              <w:bottom w:w="120" w:type="dxa"/>
              <w:right w:w="180" w:type="dxa"/>
            </w:tcMar>
          </w:tcPr>
          <w:p>
            <w:pPr>
              <w:spacing w:after="0"/>
            </w:pPr>
            <w:r>
              <w:t xml:space="preserve">Not shown directly; enables PK/FK</w:t>
            </w:r>
          </w:p>
        </w:tc>
      </w:tr>
    </w:tbl>
    <w:p>
      <w:pPr>
        <w:spacing w:after="120"/>
      </w:pPr>
    </w:p>
    <w:p>
      <w:pPr>
        <w:pBdr>
          <w:top w:val="dashed" w:sz="8" w:space="6" w:color="C8A028"/>
          <w:left w:val="dashed" w:sz="8" w:space="6" w:color="C8A028"/>
          <w:bottom w:val="dashed" w:sz="8" w:space="6" w:color="C8A028"/>
          <w:right w:val="dashed" w:sz="8" w:space="6" w:color="C8A028"/>
        </w:pBdr>
        <w:shd w:val="clear" w:color="auto" w:fill="FFF7E0"/>
        <w:jc w:val="center"/>
        <w:spacing w:before="120" w:after="200"/>
        <w:ind w:left="240" w:right="240"/>
      </w:pPr>
      <w:r>
        <w:rPr>
          <w:b/>
          <w:bCs/>
          <w:color w:val="8A6D1A"/>
        </w:rPr>
        <w:t xml:space="preserve">📷  SCREENSHOT — One profiling pass — statistics, cardinality, patterns, samples</w:t>
      </w:r>
    </w:p>
    <w:p>
      <w:pPr>
        <w:pStyle w:val="Heading2"/>
      </w:pPr>
      <w:r>
        <w:t xml:space="preserve">The Trust Score, now with evidence</w:t>
      </w:r>
    </w:p>
    <w:p>
      <w:pPr>
        <w:spacing w:after="120"/>
      </w:pPr>
      <w:r>
        <w:t xml:space="preserve">Trust Score is still the roll-up of four inputs you met in Workshops 2 and 3 — Data Quality, User Ratings, Data Lineage, and whether a Glossary Term is assigned. Workshop 3 satisfied the glossary-term input. Profiling now makes the rest meaningful, and once the Pentaho Data Quality add-on and its Data Quality Loader are in place, the Data Quality component reports across completeness, accuracy, validity, uniqueness, and consistency.</w:t>
      </w:r>
    </w:p>
    <w:tbl>
      <w:tblPr>
        <w:tblW w:w="9360" w:type="dxa"/>
        <w:tblBorders>
          <w:top w:val="single" w:sz="4" w:space="0" w:color="C9DEE8"/>
          <w:left w:val="single" w:sz="4" w:space="0" w:color="C9DEE8"/>
          <w:bottom w:val="single" w:sz="4" w:space="0" w:color="C9DEE8"/>
          <w:right w:val="single" w:sz="4" w:space="0" w:color="C9DEE8"/>
          <w:insideH w:val="single" w:sz="4" w:space="0" w:color="C9DEE8"/>
          <w:insideV w:val="single" w:sz="4" w:space="0" w:color="C9DEE8"/>
        </w:tblBorders>
      </w:tblPr>
      <w:tblGrid>
        <w:gridCol w:w="2500"/>
        <w:gridCol w:w="3430"/>
        <w:gridCol w:w="3430"/>
      </w:tblGrid>
      <w:tr>
        <w:tc>
          <w:tcPr>
            <w:tcW w:w="2500" w:type="dxa"/>
            <w:shd w:val="clear" w:color="auto" w:fill="EEF6FA"/>
            <w:tcBorders>
              <w:left w:val="single" w:sz="12" w:space="0" w:color="065A82"/>
            </w:tcBorders>
            <w:tcMar>
              <w:top w:w="120" w:type="dxa"/>
              <w:left w:w="180" w:type="dxa"/>
              <w:bottom w:w="120" w:type="dxa"/>
              <w:right w:w="180" w:type="dxa"/>
            </w:tcMar>
          </w:tcPr>
          <w:p>
            <w:pPr>
              <w:spacing w:after="0"/>
            </w:pPr>
            <w:r>
              <w:rPr>
                <w:b/>
                <w:bCs/>
              </w:rPr>
              <w:t xml:space="preserve">Trust Score input</w:t>
            </w:r>
          </w:p>
        </w:tc>
        <w:tc>
          <w:tcPr>
            <w:tcW w:w="3430" w:type="dxa"/>
            <w:shd w:val="clear" w:color="auto" w:fill="EEF6FA"/>
            <w:tcMar>
              <w:top w:w="120" w:type="dxa"/>
              <w:left w:w="180" w:type="dxa"/>
              <w:bottom w:w="120" w:type="dxa"/>
              <w:right w:w="180" w:type="dxa"/>
            </w:tcMar>
          </w:tcPr>
          <w:p>
            <w:pPr>
              <w:spacing w:after="0"/>
            </w:pPr>
            <w:r>
              <w:rPr>
                <w:b/>
                <w:bCs/>
              </w:rPr>
              <w:t xml:space="preserve">Filled by</w:t>
            </w:r>
          </w:p>
        </w:tc>
        <w:tc>
          <w:tcPr>
            <w:tcW w:w="3430" w:type="dxa"/>
            <w:shd w:val="clear" w:color="auto" w:fill="EEF6FA"/>
            <w:tcMar>
              <w:top w:w="120" w:type="dxa"/>
              <w:left w:w="180" w:type="dxa"/>
              <w:bottom w:w="120" w:type="dxa"/>
              <w:right w:w="180" w:type="dxa"/>
            </w:tcMar>
          </w:tcPr>
          <w:p>
            <w:pPr>
              <w:spacing w:after="0"/>
            </w:pPr>
            <w:r>
              <w:rPr>
                <w:b/>
                <w:bCs/>
              </w:rPr>
              <w:t xml:space="preserve">In this course</w:t>
            </w:r>
          </w:p>
        </w:tc>
      </w:tr>
      <w:tr>
        <w:tc>
          <w:tcPr>
            <w:tcW w:w="2500" w:type="dxa"/>
            <w:tcMar>
              <w:top w:w="120" w:type="dxa"/>
              <w:left w:w="180" w:type="dxa"/>
              <w:bottom w:w="120" w:type="dxa"/>
              <w:right w:w="180" w:type="dxa"/>
            </w:tcMar>
          </w:tcPr>
          <w:p>
            <w:pPr>
              <w:spacing w:after="0"/>
            </w:pPr>
            <w:r>
              <w:t xml:space="preserve">Data Quality</w:t>
            </w:r>
          </w:p>
        </w:tc>
        <w:tc>
          <w:tcPr>
            <w:tcW w:w="3430" w:type="dxa"/>
            <w:tcMar>
              <w:top w:w="120" w:type="dxa"/>
              <w:left w:w="180" w:type="dxa"/>
              <w:bottom w:w="120" w:type="dxa"/>
              <w:right w:w="180" w:type="dxa"/>
            </w:tcMar>
          </w:tcPr>
          <w:p>
            <w:pPr>
              <w:spacing w:after="0"/>
            </w:pPr>
            <w:r>
              <w:t xml:space="preserve">Pentaho Data Quality add-on + Data Quality Loader, over profiled data.</w:t>
            </w:r>
          </w:p>
        </w:tc>
        <w:tc>
          <w:tcPr>
            <w:tcW w:w="3430" w:type="dxa"/>
            <w:tcMar>
              <w:top w:w="120" w:type="dxa"/>
              <w:left w:w="180" w:type="dxa"/>
              <w:bottom w:w="120" w:type="dxa"/>
              <w:right w:w="180" w:type="dxa"/>
            </w:tcMar>
          </w:tcPr>
          <w:p>
            <w:pPr>
              <w:spacing w:after="0"/>
            </w:pPr>
            <w:r>
              <w:t xml:space="preserve">Workshop 4 (licensed)</w:t>
            </w:r>
          </w:p>
        </w:tc>
      </w:tr>
      <w:tr>
        <w:tc>
          <w:tcPr>
            <w:tcW w:w="2500" w:type="dxa"/>
            <w:tcMar>
              <w:top w:w="120" w:type="dxa"/>
              <w:left w:w="180" w:type="dxa"/>
              <w:bottom w:w="120" w:type="dxa"/>
              <w:right w:w="180" w:type="dxa"/>
            </w:tcMar>
          </w:tcPr>
          <w:p>
            <w:pPr>
              <w:spacing w:after="0"/>
            </w:pPr>
            <w:r>
              <w:t xml:space="preserve">User Ratings</w:t>
            </w:r>
          </w:p>
        </w:tc>
        <w:tc>
          <w:tcPr>
            <w:tcW w:w="3430" w:type="dxa"/>
            <w:tcMar>
              <w:top w:w="120" w:type="dxa"/>
              <w:left w:w="180" w:type="dxa"/>
              <w:bottom w:w="120" w:type="dxa"/>
              <w:right w:w="180" w:type="dxa"/>
            </w:tcMar>
          </w:tcPr>
          <w:p>
            <w:pPr>
              <w:spacing w:after="0"/>
            </w:pPr>
            <w:r>
              <w:t xml:space="preserve">Analysts rating the asset 1–5 stars.</w:t>
            </w:r>
          </w:p>
        </w:tc>
        <w:tc>
          <w:tcPr>
            <w:tcW w:w="3430" w:type="dxa"/>
            <w:tcMar>
              <w:top w:w="120" w:type="dxa"/>
              <w:left w:w="180" w:type="dxa"/>
              <w:bottom w:w="120" w:type="dxa"/>
              <w:right w:w="180" w:type="dxa"/>
            </w:tcMar>
          </w:tcPr>
          <w:p>
            <w:pPr>
              <w:spacing w:after="0"/>
            </w:pPr>
            <w:r>
              <w:t xml:space="preserve">Any time</w:t>
            </w:r>
          </w:p>
        </w:tc>
      </w:tr>
      <w:tr>
        <w:tc>
          <w:tcPr>
            <w:tcW w:w="2500" w:type="dxa"/>
            <w:tcMar>
              <w:top w:w="120" w:type="dxa"/>
              <w:left w:w="180" w:type="dxa"/>
              <w:bottom w:w="120" w:type="dxa"/>
              <w:right w:w="180" w:type="dxa"/>
            </w:tcMar>
          </w:tcPr>
          <w:p>
            <w:pPr>
              <w:spacing w:after="0"/>
            </w:pPr>
            <w:r>
              <w:t xml:space="preserve">Data Lineage</w:t>
            </w:r>
          </w:p>
        </w:tc>
        <w:tc>
          <w:tcPr>
            <w:tcW w:w="3430" w:type="dxa"/>
            <w:tcMar>
              <w:top w:w="120" w:type="dxa"/>
              <w:left w:w="180" w:type="dxa"/>
              <w:bottom w:w="120" w:type="dxa"/>
              <w:right w:w="180" w:type="dxa"/>
            </w:tcMar>
          </w:tcPr>
          <w:p>
            <w:pPr>
              <w:spacing w:after="0"/>
            </w:pPr>
            <w:r>
              <w:t xml:space="preserve">Reviewing and verifying the asset's lineage.</w:t>
            </w:r>
          </w:p>
        </w:tc>
        <w:tc>
          <w:tcPr>
            <w:tcW w:w="3430" w:type="dxa"/>
            <w:tcMar>
              <w:top w:w="120" w:type="dxa"/>
              <w:left w:w="180" w:type="dxa"/>
              <w:bottom w:w="120" w:type="dxa"/>
              <w:right w:w="180" w:type="dxa"/>
            </w:tcMar>
          </w:tcPr>
          <w:p>
            <w:pPr>
              <w:spacing w:after="0"/>
            </w:pPr>
            <w:r>
              <w:t xml:space="preserve">Set Verified manually in Part C</w:t>
            </w:r>
          </w:p>
        </w:tc>
      </w:tr>
      <w:tr>
        <w:tc>
          <w:tcPr>
            <w:tcW w:w="2500" w:type="dxa"/>
            <w:tcMar>
              <w:top w:w="120" w:type="dxa"/>
              <w:left w:w="180" w:type="dxa"/>
              <w:bottom w:w="120" w:type="dxa"/>
              <w:right w:w="180" w:type="dxa"/>
            </w:tcMar>
          </w:tcPr>
          <w:p>
            <w:pPr>
              <w:spacing w:after="0"/>
            </w:pPr>
            <w:r>
              <w:t xml:space="preserve">Glossary Term</w:t>
            </w:r>
          </w:p>
        </w:tc>
        <w:tc>
          <w:tcPr>
            <w:tcW w:w="3430" w:type="dxa"/>
            <w:tcMar>
              <w:top w:w="120" w:type="dxa"/>
              <w:left w:w="180" w:type="dxa"/>
              <w:bottom w:w="120" w:type="dxa"/>
              <w:right w:w="180" w:type="dxa"/>
            </w:tcMar>
          </w:tcPr>
          <w:p>
            <w:pPr>
              <w:spacing w:after="0"/>
            </w:pPr>
            <w:r>
              <w:t xml:space="preserve">Linking a business term to the asset.</w:t>
            </w:r>
          </w:p>
        </w:tc>
        <w:tc>
          <w:tcPr>
            <w:tcW w:w="3430" w:type="dxa"/>
            <w:tcMar>
              <w:top w:w="120" w:type="dxa"/>
              <w:left w:w="180" w:type="dxa"/>
              <w:bottom w:w="120" w:type="dxa"/>
              <w:right w:w="180" w:type="dxa"/>
            </w:tcMar>
          </w:tcPr>
          <w:p>
            <w:pPr>
              <w:spacing w:after="0"/>
            </w:pPr>
            <w:r>
              <w:t xml:space="preserve">Workshop 3 (done)</w:t>
            </w:r>
          </w:p>
        </w:tc>
      </w:tr>
    </w:tbl>
    <w:p>
      <w:pPr>
        <w:spacing w:after="120"/>
      </w:pPr>
    </w:p>
    <w:p>
      <w:pPr>
        <w:pBdr>
          <w:top w:val="dashed" w:sz="8" w:space="6" w:color="C8A028"/>
          <w:left w:val="dashed" w:sz="8" w:space="6" w:color="C8A028"/>
          <w:bottom w:val="dashed" w:sz="8" w:space="6" w:color="C8A028"/>
          <w:right w:val="dashed" w:sz="8" w:space="6" w:color="C8A028"/>
        </w:pBdr>
        <w:shd w:val="clear" w:color="auto" w:fill="FFF7E0"/>
        <w:jc w:val="center"/>
        <w:spacing w:before="120" w:after="200"/>
        <w:ind w:left="240" w:right="240"/>
      </w:pPr>
      <w:r>
        <w:rPr>
          <w:b/>
          <w:bCs/>
          <w:color w:val="8A6D1A"/>
        </w:rPr>
        <w:t xml:space="preserve">📷  SCREENSHOT — Key Metrics — four inputs rolled up on a table</w:t>
      </w:r>
    </w:p>
    <w:p>
      <w:pPr>
        <w:pStyle w:val="Heading1"/>
      </w:pPr>
      <w:r>
        <w:t xml:space="preserve">Before you begin</w:t>
      </w:r>
    </w:p>
    <w:p>
      <w:pPr>
        <w:pStyle w:val="Heading2"/>
      </w:pPr>
      <w:r>
        <w:t xml:space="preserve">Prerequisites</w:t>
      </w:r>
    </w:p>
    <w:p>
      <w:pPr>
        <w:pStyle w:val="ListParagraph"/>
        <w:numPr>
          <w:ilvl w:val="0"/>
          <w:numId w:val="2"/>
        </w:numPr>
        <w:spacing w:after="60"/>
      </w:pPr>
      <w:r>
        <w:t xml:space="preserve">Workshops 1–3 complete — sources connected, metadata read, and the glossary linked.</w:t>
      </w:r>
    </w:p>
    <w:p>
      <w:pPr>
        <w:pStyle w:val="ListParagraph"/>
        <w:numPr>
          <w:ilvl w:val="0"/>
          <w:numId w:val="2"/>
        </w:numPr>
        <w:spacing w:after="60"/>
      </w:pPr>
      <w:r>
        <w:t xml:space="preserve">Two logins from the CTO cast: </w:t>
      </w:r>
      <w:r>
        <w:rPr>
          <w:rFonts w:ascii="Consolas" w:hAnsi="Consolas"/>
          <w:color w:val="0A5560"/>
          <w:sz w:val="20"/>
          <w:szCs w:val="20"/>
        </w:rPr>
        <w:t xml:space="preserve">sofia.marin</w:t>
      </w:r>
      <w:r>
        <w:t xml:space="preserve"> (Data Steward) runs the profiling and Trust Score parts, and </w:t>
      </w:r>
      <w:r>
        <w:rPr>
          <w:rFonts w:ascii="Consolas" w:hAnsi="Consolas"/>
          <w:color w:val="0A5560"/>
          <w:sz w:val="20"/>
          <w:szCs w:val="20"/>
        </w:rPr>
        <w:t xml:space="preserve">tessa.nguyen</w:t>
      </w:r>
      <w:r>
        <w:t xml:space="preserve"> (</w:t>
      </w:r>
      <w:r>
        <w:rPr>
          <w:b/>
          <w:bCs/>
        </w:rPr>
        <w:t xml:space="preserve">Data Developer</w:t>
      </w:r>
      <w:r>
        <w:t xml:space="preserve">) authors the business rules in Part E — in PDC v11 that role owns Business Rules, and notably the Admin role can view but not create them.</w:t>
      </w:r>
    </w:p>
    <w:p>
      <w:pPr>
        <w:pStyle w:val="Heading2"/>
      </w:pPr>
      <w:r>
        <w:t xml:space="preserve">Assets used in this workshop</w:t>
      </w:r>
    </w:p>
    <w:p>
      <w:pPr>
        <w:pStyle w:val="ListParagraph"/>
        <w:numPr>
          <w:ilvl w:val="0"/>
          <w:numId w:val="2"/>
        </w:numPr>
        <w:spacing w:after="60"/>
      </w:pPr>
      <w:r>
        <w:t xml:space="preserve">The </w:t>
      </w:r>
      <w:r>
        <w:rPr>
          <w:rFonts w:ascii="Consolas" w:hAnsi="Consolas"/>
          <w:color w:val="0A5560"/>
          <w:sz w:val="20"/>
          <w:szCs w:val="20"/>
        </w:rPr>
        <w:t xml:space="preserve">customers</w:t>
      </w:r>
      <w:r>
        <w:t xml:space="preserve">, </w:t>
      </w:r>
      <w:r>
        <w:rPr>
          <w:rFonts w:ascii="Consolas" w:hAnsi="Consolas"/>
          <w:color w:val="0A5560"/>
          <w:sz w:val="20"/>
          <w:szCs w:val="20"/>
        </w:rPr>
        <w:t xml:space="preserve">orders</w:t>
      </w:r>
      <w:r>
        <w:t xml:space="preserve">, and </w:t>
      </w:r>
      <w:r>
        <w:rPr>
          <w:rFonts w:ascii="Consolas" w:hAnsi="Consolas"/>
          <w:color w:val="0A5560"/>
          <w:sz w:val="20"/>
          <w:szCs w:val="20"/>
        </w:rPr>
        <w:t xml:space="preserve">payments</w:t>
      </w:r>
      <w:r>
        <w:t xml:space="preserve"> tables in </w:t>
      </w:r>
      <w:r>
        <w:rPr>
          <w:rFonts w:ascii="Consolas" w:hAnsi="Consolas"/>
          <w:color w:val="0A5560"/>
          <w:sz w:val="20"/>
          <w:szCs w:val="20"/>
        </w:rPr>
        <w:t xml:space="preserve">cto_retail</w:t>
      </w:r>
      <w:r>
        <w:t xml:space="preserve"> — the worked examples (you then profile all eleven tables).</w:t>
      </w:r>
    </w:p>
    <w:p>
      <w:pPr>
        <w:pStyle w:val="ListParagraph"/>
        <w:numPr>
          <w:ilvl w:val="0"/>
          <w:numId w:val="2"/>
        </w:numPr>
        <w:spacing w:after="60"/>
      </w:pPr>
      <w:r>
        <w:t xml:space="preserve">The compliance PDFs in the </w:t>
      </w:r>
      <w:r>
        <w:rPr>
          <w:rFonts w:ascii="Consolas" w:hAnsi="Consolas"/>
          <w:color w:val="0A5560"/>
          <w:sz w:val="20"/>
          <w:szCs w:val="20"/>
        </w:rPr>
        <w:t xml:space="preserve">cto-documents</w:t>
      </w:r>
      <w:r>
        <w:t xml:space="preserve"> store — the PCI DSS attestation, the CCPA privacy request log, the LP quarterly loss report, and the returns-policy audit — profiled in Part D via Data Discovery.</w:t>
      </w:r>
    </w:p>
    <w:p>
      <w:pPr>
        <w:pStyle w:val="ListParagraph"/>
        <w:numPr>
          <w:ilvl w:val="0"/>
          <w:numId w:val="2"/>
        </w:numPr>
        <w:spacing w:after="60"/>
      </w:pPr>
      <w:r>
        <w:rPr>
          <w:rFonts w:ascii="Consolas" w:hAnsi="Consolas"/>
          <w:color w:val="0A5560"/>
          <w:sz w:val="20"/>
          <w:szCs w:val="20"/>
        </w:rPr>
        <w:t xml:space="preserve">assets/Canyon-Trail-Outfitters-Business-Rules.sql</w:t>
      </w:r>
      <w:r>
        <w:t xml:space="preserve"> — six ready conditions in PDC's three-column shape for Part E.</w:t>
      </w:r>
    </w:p>
    <w:p>
      <w:pPr>
        <w:pStyle w:val="ListParagraph"/>
        <w:numPr>
          <w:ilvl w:val="0"/>
          <w:numId w:val="2"/>
        </w:numPr>
        <w:spacing w:after="60"/>
      </w:pPr>
      <w:r>
        <w:t xml:space="preserve">The Workshop 3 glossary terms already linked to </w:t>
      </w:r>
      <w:r>
        <w:rPr>
          <w:rFonts w:ascii="Consolas" w:hAnsi="Consolas"/>
          <w:color w:val="0A5560"/>
          <w:sz w:val="20"/>
          <w:szCs w:val="20"/>
        </w:rPr>
        <w:t xml:space="preserve">customers</w:t>
      </w:r>
      <w:r>
        <w:t xml:space="preserve"> (so the glossary-term Trust Score input is satisfied).</w:t>
      </w:r>
    </w:p>
    <w:p>
      <w:pPr>
        <w:pStyle w:val="Heading1"/>
      </w:pPr>
      <w:r>
        <w:t xml:space="preserve">Step-by-step</w:t>
      </w:r>
    </w:p>
    <w:p>
      <w:pPr>
        <w:pStyle w:val="Heading2"/>
      </w:pPr>
      <w:r>
        <w:t xml:space="preserve">Part A — Run Data Profiling</w:t>
      </w:r>
    </w:p>
    <w:p>
      <w:pPr>
        <w:spacing w:after="120"/>
      </w:pPr>
      <w:r>
        <w:t xml:space="preserve">CTO has two kinds of assets, and each is scanned its own way. Database tables — like </w:t>
      </w:r>
      <w:r>
        <w:rPr>
          <w:rFonts w:ascii="Consolas" w:hAnsi="Consolas"/>
          <w:color w:val="0A5560"/>
          <w:sz w:val="20"/>
          <w:szCs w:val="20"/>
        </w:rPr>
        <w:t xml:space="preserve">customers</w:t>
      </w:r>
      <w:r>
        <w:t xml:space="preserve"> — are profiled with </w:t>
      </w:r>
      <w:r>
        <w:rPr>
          <w:b/>
          <w:bCs/>
        </w:rPr>
        <w:t xml:space="preserve">Data Profiling</w:t>
      </w:r>
      <w:r>
        <w:t xml:space="preserve">, the structured-data scan you run in this Part. The compliance PDFs in the </w:t>
      </w:r>
      <w:r>
        <w:rPr>
          <w:rFonts w:ascii="Consolas" w:hAnsi="Consolas"/>
          <w:color w:val="0A5560"/>
          <w:sz w:val="20"/>
          <w:szCs w:val="20"/>
        </w:rPr>
        <w:t xml:space="preserve">cto-documents</w:t>
      </w:r>
      <w:r>
        <w:t xml:space="preserve"> store are scanned with </w:t>
      </w:r>
      <w:r>
        <w:rPr>
          <w:b/>
          <w:bCs/>
        </w:rPr>
        <w:t xml:space="preserve">Data Discovery</w:t>
      </w:r>
      <w:r>
        <w:t xml:space="preserve">, its unstructured counterpart, in Part D.</w:t>
      </w:r>
    </w:p>
    <w:p>
      <w:pPr>
        <w:pStyle w:val="ListParagraph"/>
        <w:numPr>
          <w:ilvl w:val="0"/>
          <w:numId w:val="100"/>
        </w:numPr>
        <w:spacing w:after="80" w:line="264" w:lineRule="auto"/>
      </w:pPr>
      <w:r>
        <w:t xml:space="preserve">In the Data Canvas, open </w:t>
      </w:r>
      <w:r>
        <w:rPr>
          <w:rFonts w:ascii="Consolas" w:hAnsi="Consolas"/>
          <w:color w:val="0A5560"/>
          <w:sz w:val="20"/>
          <w:szCs w:val="20"/>
        </w:rPr>
        <w:t xml:space="preserve">CanyonTrail_Retail_Ops</w:t>
      </w:r>
      <w:r>
        <w:t xml:space="preserve"> and select the </w:t>
      </w:r>
      <w:r>
        <w:rPr>
          <w:rFonts w:ascii="Consolas" w:hAnsi="Consolas"/>
          <w:color w:val="0A5560"/>
          <w:sz w:val="20"/>
          <w:szCs w:val="20"/>
        </w:rPr>
        <w:t xml:space="preserve">customers</w:t>
      </w:r>
      <w:r>
        <w:t xml:space="preserve"> table.</w:t>
      </w:r>
    </w:p>
    <w:p>
      <w:pPr>
        <w:pStyle w:val="ListParagraph"/>
        <w:numPr>
          <w:ilvl w:val="0"/>
          <w:numId w:val="100"/>
        </w:numPr>
        <w:spacing w:after="80" w:line="264" w:lineRule="auto"/>
      </w:pPr>
      <w:r>
        <w:t xml:space="preserve">Open </w:t>
      </w:r>
      <w:r>
        <w:rPr>
          <w:b/>
          <w:bCs/>
        </w:rPr>
        <w:t xml:space="preserve">Actions</w:t>
      </w:r>
      <w:r>
        <w:t xml:space="preserve">, then </w:t>
      </w:r>
      <w:r>
        <w:rPr>
          <w:b/>
          <w:bCs/>
        </w:rPr>
        <w:t xml:space="preserve">Process</w:t>
      </w:r>
      <w:r>
        <w:t xml:space="preserve">, then click </w:t>
      </w:r>
      <w:r>
        <w:rPr>
          <w:b/>
          <w:bCs/>
        </w:rPr>
        <w:t xml:space="preserve">Start</w:t>
      </w:r>
      <w:r>
        <w:t xml:space="preserve"> on the Data Profiling card — the scan for a structured table. (The other cards on this page belong to other steps; the table below maps each one.)</w:t>
      </w:r>
    </w:p>
    <w:p>
      <w:pPr>
        <w:pBdr>
          <w:top w:val="dashed" w:sz="8" w:space="6" w:color="C8A028"/>
          <w:left w:val="dashed" w:sz="8" w:space="6" w:color="C8A028"/>
          <w:bottom w:val="dashed" w:sz="8" w:space="6" w:color="C8A028"/>
          <w:right w:val="dashed" w:sz="8" w:space="6" w:color="C8A028"/>
        </w:pBdr>
        <w:shd w:val="clear" w:color="auto" w:fill="FFF7E0"/>
        <w:jc w:val="center"/>
        <w:spacing w:before="120" w:after="200"/>
        <w:ind w:left="240" w:right="240"/>
      </w:pPr>
      <w:r>
        <w:rPr>
          <w:b/>
          <w:bCs/>
          <w:color w:val="8A6D1A"/>
        </w:rPr>
        <w:t xml:space="preserve">📷  SCREENSHOT — customers — Data Profiling card</w:t>
      </w:r>
    </w:p>
    <w:p>
      <w:pPr>
        <w:pStyle w:val="ListParagraph"/>
        <w:numPr>
          <w:ilvl w:val="0"/>
          <w:numId w:val="100"/>
        </w:numPr>
        <w:spacing w:after="80" w:line="264" w:lineRule="auto"/>
      </w:pPr>
      <w:r>
        <w:t xml:space="preserve">Keep the default settings. Profiling samples up to 500,000 rows, which suits CTO's tables, and Extract Samples is on by default so you get preview values.</w:t>
      </w:r>
    </w:p>
    <w:p>
      <w:pPr>
        <w:pBdr>
          <w:top w:val="dashed" w:sz="8" w:space="6" w:color="C8A028"/>
          <w:left w:val="dashed" w:sz="8" w:space="6" w:color="C8A028"/>
          <w:bottom w:val="dashed" w:sz="8" w:space="6" w:color="C8A028"/>
          <w:right w:val="dashed" w:sz="8" w:space="6" w:color="C8A028"/>
        </w:pBdr>
        <w:shd w:val="clear" w:color="auto" w:fill="FFF7E0"/>
        <w:jc w:val="center"/>
        <w:spacing w:before="120" w:after="200"/>
        <w:ind w:left="240" w:right="240"/>
      </w:pPr>
      <w:r>
        <w:rPr>
          <w:b/>
          <w:bCs/>
          <w:color w:val="8A6D1A"/>
        </w:rPr>
        <w:t xml:space="preserve">📷  SCREENSHOT — Data Profiling — default settings</w:t>
      </w:r>
    </w:p>
    <w:p>
      <w:pPr>
        <w:pStyle w:val="ListParagraph"/>
        <w:numPr>
          <w:ilvl w:val="0"/>
          <w:numId w:val="100"/>
        </w:numPr>
        <w:spacing w:after="80" w:line="264" w:lineRule="auto"/>
      </w:pPr>
      <w:r>
        <w:t xml:space="preserve">Watch the job on the Workers page until it completes, then repeat for the other ten tables — </w:t>
      </w:r>
      <w:r>
        <w:rPr>
          <w:rFonts w:ascii="Consolas" w:hAnsi="Consolas"/>
          <w:color w:val="0A5560"/>
          <w:sz w:val="20"/>
          <w:szCs w:val="20"/>
        </w:rPr>
        <w:t xml:space="preserve">stores</w:t>
      </w:r>
      <w:r>
        <w:t xml:space="preserve">, </w:t>
      </w:r>
      <w:r>
        <w:rPr>
          <w:rFonts w:ascii="Consolas" w:hAnsi="Consolas"/>
          <w:color w:val="0A5560"/>
          <w:sz w:val="20"/>
          <w:szCs w:val="20"/>
        </w:rPr>
        <w:t xml:space="preserve">employees</w:t>
      </w:r>
      <w:r>
        <w:t xml:space="preserve">, </w:t>
      </w:r>
      <w:r>
        <w:rPr>
          <w:rFonts w:ascii="Consolas" w:hAnsi="Consolas"/>
          <w:color w:val="0A5560"/>
          <w:sz w:val="20"/>
          <w:szCs w:val="20"/>
        </w:rPr>
        <w:t xml:space="preserve">suppliers</w:t>
      </w:r>
      <w:r>
        <w:t xml:space="preserve">, </w:t>
      </w:r>
      <w:r>
        <w:rPr>
          <w:rFonts w:ascii="Consolas" w:hAnsi="Consolas"/>
          <w:color w:val="0A5560"/>
          <w:sz w:val="20"/>
          <w:szCs w:val="20"/>
        </w:rPr>
        <w:t xml:space="preserve">products</w:t>
      </w:r>
      <w:r>
        <w:t xml:space="preserve">, </w:t>
      </w:r>
      <w:r>
        <w:rPr>
          <w:rFonts w:ascii="Consolas" w:hAnsi="Consolas"/>
          <w:color w:val="0A5560"/>
          <w:sz w:val="20"/>
          <w:szCs w:val="20"/>
        </w:rPr>
        <w:t xml:space="preserve">inventory</w:t>
      </w:r>
      <w:r>
        <w:t xml:space="preserve">, </w:t>
      </w:r>
      <w:r>
        <w:rPr>
          <w:rFonts w:ascii="Consolas" w:hAnsi="Consolas"/>
          <w:color w:val="0A5560"/>
          <w:sz w:val="20"/>
          <w:szCs w:val="20"/>
        </w:rPr>
        <w:t xml:space="preserve">orders</w:t>
      </w:r>
      <w:r>
        <w:t xml:space="preserve">, </w:t>
      </w:r>
      <w:r>
        <w:rPr>
          <w:rFonts w:ascii="Consolas" w:hAnsi="Consolas"/>
          <w:color w:val="0A5560"/>
          <w:sz w:val="20"/>
          <w:szCs w:val="20"/>
        </w:rPr>
        <w:t xml:space="preserve">order_items</w:t>
      </w:r>
      <w:r>
        <w:t xml:space="preserve">, </w:t>
      </w:r>
      <w:r>
        <w:rPr>
          <w:rFonts w:ascii="Consolas" w:hAnsi="Consolas"/>
          <w:color w:val="0A5560"/>
          <w:sz w:val="20"/>
          <w:szCs w:val="20"/>
        </w:rPr>
        <w:t xml:space="preserve">payments</w:t>
      </w:r>
      <w:r>
        <w:t xml:space="preserve">, </w:t>
      </w:r>
      <w:r>
        <w:rPr>
          <w:rFonts w:ascii="Consolas" w:hAnsi="Consolas"/>
          <w:color w:val="0A5560"/>
          <w:sz w:val="20"/>
          <w:szCs w:val="20"/>
        </w:rPr>
        <w:t xml:space="preserve">returns</w:t>
      </w:r>
      <w:r>
        <w:t xml:space="preserve">, and </w:t>
      </w:r>
      <w:r>
        <w:rPr>
          <w:rFonts w:ascii="Consolas" w:hAnsi="Consolas"/>
          <w:color w:val="0A5560"/>
          <w:sz w:val="20"/>
          <w:szCs w:val="20"/>
        </w:rPr>
        <w:t xml:space="preserve">loss_prevention_cases</w:t>
      </w:r>
      <w:r>
        <w:t xml:space="preserve">. (You can select several tables at once and start one profiling job for the set.)</w:t>
      </w:r>
    </w:p>
    <w:p>
      <w:pPr>
        <w:spacing w:after="120"/>
      </w:pPr>
      <w:r>
        <w:rPr>
          <w:b/>
          <w:bCs/>
        </w:rPr>
        <w:t xml:space="preserve">Which card, which asset:</w:t>
      </w:r>
      <w:r>
        <w:t xml:space="preserve"> the Choose Process page lists every processing step as a card, but each belongs to a particular job. A structured table is scanned with Data Profiling; an unstructured document is scanned with Data Discovery — so a table has no Data Discovery card to run, and a document has no Data Profiling card.</w:t>
      </w:r>
    </w:p>
    <w:tbl>
      <w:tblPr>
        <w:tblW w:w="9360" w:type="dxa"/>
        <w:tblBorders>
          <w:top w:val="single" w:sz="4" w:space="0" w:color="C9DEE8"/>
          <w:left w:val="single" w:sz="4" w:space="0" w:color="C9DEE8"/>
          <w:bottom w:val="single" w:sz="4" w:space="0" w:color="C9DEE8"/>
          <w:right w:val="single" w:sz="4" w:space="0" w:color="C9DEE8"/>
          <w:insideH w:val="single" w:sz="4" w:space="0" w:color="C9DEE8"/>
          <w:insideV w:val="single" w:sz="4" w:space="0" w:color="C9DEE8"/>
        </w:tblBorders>
      </w:tblPr>
      <w:tblGrid>
        <w:gridCol w:w="2900"/>
        <w:gridCol w:w="6460"/>
      </w:tblGrid>
      <w:tr>
        <w:tc>
          <w:tcPr>
            <w:tcW w:w="2900" w:type="dxa"/>
            <w:shd w:val="clear" w:color="auto" w:fill="EEF6FA"/>
            <w:tcBorders>
              <w:left w:val="single" w:sz="12" w:space="0" w:color="065A82"/>
            </w:tcBorders>
            <w:tcMar>
              <w:top w:w="120" w:type="dxa"/>
              <w:left w:w="180" w:type="dxa"/>
              <w:bottom w:w="120" w:type="dxa"/>
              <w:right w:w="180" w:type="dxa"/>
            </w:tcMar>
          </w:tcPr>
          <w:p>
            <w:pPr>
              <w:spacing w:after="0"/>
            </w:pPr>
            <w:r>
              <w:rPr>
                <w:b/>
                <w:bCs/>
              </w:rPr>
              <w:t xml:space="preserve">Process card</w:t>
            </w:r>
          </w:p>
        </w:tc>
        <w:tc>
          <w:tcPr>
            <w:tcW w:w="6460" w:type="dxa"/>
            <w:shd w:val="clear" w:color="auto" w:fill="EEF6FA"/>
            <w:tcMar>
              <w:top w:w="120" w:type="dxa"/>
              <w:left w:w="180" w:type="dxa"/>
              <w:bottom w:w="120" w:type="dxa"/>
              <w:right w:w="180" w:type="dxa"/>
            </w:tcMar>
          </w:tcPr>
          <w:p>
            <w:pPr>
              <w:spacing w:after="0"/>
            </w:pPr>
            <w:r>
              <w:rPr>
                <w:b/>
                <w:bCs/>
              </w:rPr>
              <w:t xml:space="preserve">When you use it</w:t>
            </w:r>
          </w:p>
        </w:tc>
      </w:tr>
      <w:tr>
        <w:tc>
          <w:tcPr>
            <w:tcW w:w="2900" w:type="dxa"/>
            <w:tcMar>
              <w:top w:w="120" w:type="dxa"/>
              <w:left w:w="180" w:type="dxa"/>
              <w:bottom w:w="120" w:type="dxa"/>
              <w:right w:w="180" w:type="dxa"/>
            </w:tcMar>
          </w:tcPr>
          <w:p>
            <w:pPr>
              <w:spacing w:after="0"/>
            </w:pPr>
            <w:r>
              <w:t xml:space="preserve">Metadata Ingest</w:t>
            </w:r>
          </w:p>
        </w:tc>
        <w:tc>
          <w:tcPr>
            <w:tcW w:w="6460" w:type="dxa"/>
            <w:tcMar>
              <w:top w:w="120" w:type="dxa"/>
              <w:left w:w="180" w:type="dxa"/>
              <w:bottom w:w="120" w:type="dxa"/>
              <w:right w:w="180" w:type="dxa"/>
            </w:tcMar>
          </w:tcPr>
          <w:p>
            <w:pPr>
              <w:spacing w:after="0"/>
            </w:pPr>
            <w:r>
              <w:t xml:space="preserve">Workshops 1–2 — capture structure &amp; metadata</w:t>
            </w:r>
          </w:p>
        </w:tc>
      </w:tr>
      <w:tr>
        <w:tc>
          <w:tcPr>
            <w:tcW w:w="2900" w:type="dxa"/>
            <w:tcMar>
              <w:top w:w="120" w:type="dxa"/>
              <w:left w:w="180" w:type="dxa"/>
              <w:bottom w:w="120" w:type="dxa"/>
              <w:right w:w="180" w:type="dxa"/>
            </w:tcMar>
          </w:tcPr>
          <w:p>
            <w:pPr>
              <w:spacing w:after="0"/>
            </w:pPr>
            <w:r>
              <w:t xml:space="preserve">Data Profiling</w:t>
            </w:r>
          </w:p>
        </w:tc>
        <w:tc>
          <w:tcPr>
            <w:tcW w:w="6460" w:type="dxa"/>
            <w:tcMar>
              <w:top w:w="120" w:type="dxa"/>
              <w:left w:w="180" w:type="dxa"/>
              <w:bottom w:w="120" w:type="dxa"/>
              <w:right w:w="180" w:type="dxa"/>
            </w:tcMar>
          </w:tcPr>
          <w:p>
            <w:pPr>
              <w:spacing w:after="0"/>
            </w:pPr>
            <w:r>
              <w:t xml:space="preserve">This Part (A) — scan a structured table</w:t>
            </w:r>
          </w:p>
        </w:tc>
      </w:tr>
      <w:tr>
        <w:tc>
          <w:tcPr>
            <w:tcW w:w="2900" w:type="dxa"/>
            <w:tcMar>
              <w:top w:w="120" w:type="dxa"/>
              <w:left w:w="180" w:type="dxa"/>
              <w:bottom w:w="120" w:type="dxa"/>
              <w:right w:w="180" w:type="dxa"/>
            </w:tcMar>
          </w:tcPr>
          <w:p>
            <w:pPr>
              <w:spacing w:after="0"/>
            </w:pPr>
            <w:r>
              <w:t xml:space="preserve">Data Discovery</w:t>
            </w:r>
          </w:p>
        </w:tc>
        <w:tc>
          <w:tcPr>
            <w:tcW w:w="6460" w:type="dxa"/>
            <w:tcMar>
              <w:top w:w="120" w:type="dxa"/>
              <w:left w:w="180" w:type="dxa"/>
              <w:bottom w:w="120" w:type="dxa"/>
              <w:right w:w="180" w:type="dxa"/>
            </w:tcMar>
          </w:tcPr>
          <w:p>
            <w:pPr>
              <w:spacing w:after="0"/>
            </w:pPr>
            <w:r>
              <w:t xml:space="preserve">Part D — scan unstructured documents</w:t>
            </w:r>
          </w:p>
        </w:tc>
      </w:tr>
      <w:tr>
        <w:tc>
          <w:tcPr>
            <w:tcW w:w="2900" w:type="dxa"/>
            <w:tcMar>
              <w:top w:w="120" w:type="dxa"/>
              <w:left w:w="180" w:type="dxa"/>
              <w:bottom w:w="120" w:type="dxa"/>
              <w:right w:w="180" w:type="dxa"/>
            </w:tcMar>
          </w:tcPr>
          <w:p>
            <w:pPr>
              <w:spacing w:after="0"/>
            </w:pPr>
            <w:r>
              <w:t xml:space="preserve">Data Identification</w:t>
            </w:r>
          </w:p>
        </w:tc>
        <w:tc>
          <w:tcPr>
            <w:tcW w:w="6460" w:type="dxa"/>
            <w:tcMar>
              <w:top w:w="120" w:type="dxa"/>
              <w:left w:w="180" w:type="dxa"/>
              <w:bottom w:w="120" w:type="dxa"/>
              <w:right w:w="180" w:type="dxa"/>
            </w:tcMar>
          </w:tcPr>
          <w:p>
            <w:pPr>
              <w:spacing w:after="0"/>
            </w:pPr>
            <w:r>
              <w:t xml:space="preserve">Workshop 5 — tag PII &amp; sensitivity</w:t>
            </w:r>
          </w:p>
        </w:tc>
      </w:tr>
      <w:tr>
        <w:tc>
          <w:tcPr>
            <w:tcW w:w="2900" w:type="dxa"/>
            <w:tcMar>
              <w:top w:w="120" w:type="dxa"/>
              <w:left w:w="180" w:type="dxa"/>
              <w:bottom w:w="120" w:type="dxa"/>
              <w:right w:w="180" w:type="dxa"/>
            </w:tcMar>
          </w:tcPr>
          <w:p>
            <w:pPr>
              <w:spacing w:after="0"/>
            </w:pPr>
            <w:r>
              <w:t xml:space="preserve">Calculate Trust Score</w:t>
            </w:r>
          </w:p>
        </w:tc>
        <w:tc>
          <w:tcPr>
            <w:tcW w:w="6460" w:type="dxa"/>
            <w:tcMar>
              <w:top w:w="120" w:type="dxa"/>
              <w:left w:w="180" w:type="dxa"/>
              <w:bottom w:w="120" w:type="dxa"/>
              <w:right w:w="180" w:type="dxa"/>
            </w:tcMar>
          </w:tcPr>
          <w:p>
            <w:pPr>
              <w:spacing w:after="0"/>
            </w:pPr>
            <w:r>
              <w:t xml:space="preserve">Part C — roll up the Trust Score inputs</w:t>
            </w:r>
          </w:p>
        </w:tc>
      </w:tr>
    </w:tbl>
    <w:p>
      <w:pPr>
        <w:spacing w:after="120"/>
      </w:pPr>
    </w:p>
    <w:p>
      <w:pPr>
        <w:pStyle w:val="Heading2"/>
      </w:pPr>
      <w:r>
        <w:t xml:space="preserve">The Profiling options</w:t>
      </w:r>
    </w:p>
    <w:p>
      <w:pPr>
        <w:spacing w:after="120"/>
      </w:pPr>
      <w:r>
        <w:t xml:space="preserve">The Profiling page exposes sampling and performance controls. CTO's tables are small, so you leave these at their defaults and profiling reads each table in full — but here is what each control does.</w:t>
      </w:r>
    </w:p>
    <w:tbl>
      <w:tblPr>
        <w:tblW w:w="9360" w:type="dxa"/>
        <w:tblBorders>
          <w:top w:val="single" w:sz="4" w:space="0" w:color="C9DEE8"/>
          <w:left w:val="single" w:sz="4" w:space="0" w:color="C9DEE8"/>
          <w:bottom w:val="single" w:sz="4" w:space="0" w:color="C9DEE8"/>
          <w:right w:val="single" w:sz="4" w:space="0" w:color="C9DEE8"/>
          <w:insideH w:val="single" w:sz="4" w:space="0" w:color="C9DEE8"/>
          <w:insideV w:val="single" w:sz="4" w:space="0" w:color="C9DEE8"/>
        </w:tblBorders>
      </w:tblPr>
      <w:tblGrid>
        <w:gridCol w:w="2900"/>
        <w:gridCol w:w="6460"/>
      </w:tblGrid>
      <w:tr>
        <w:tc>
          <w:tcPr>
            <w:tcW w:w="2900" w:type="dxa"/>
            <w:shd w:val="clear" w:color="auto" w:fill="EEF6FA"/>
            <w:tcBorders>
              <w:left w:val="single" w:sz="12" w:space="0" w:color="065A82"/>
            </w:tcBorders>
            <w:tcMar>
              <w:top w:w="120" w:type="dxa"/>
              <w:left w:w="180" w:type="dxa"/>
              <w:bottom w:w="120" w:type="dxa"/>
              <w:right w:w="180" w:type="dxa"/>
            </w:tcMar>
          </w:tcPr>
          <w:p>
            <w:pPr>
              <w:spacing w:after="0"/>
            </w:pPr>
            <w:r>
              <w:rPr>
                <w:b/>
                <w:bCs/>
              </w:rPr>
              <w:t xml:space="preserve">Option</w:t>
            </w:r>
          </w:p>
        </w:tc>
        <w:tc>
          <w:tcPr>
            <w:tcW w:w="6460" w:type="dxa"/>
            <w:shd w:val="clear" w:color="auto" w:fill="EEF6FA"/>
            <w:tcMar>
              <w:top w:w="120" w:type="dxa"/>
              <w:left w:w="180" w:type="dxa"/>
              <w:bottom w:w="120" w:type="dxa"/>
              <w:right w:w="180" w:type="dxa"/>
            </w:tcMar>
          </w:tcPr>
          <w:p>
            <w:pPr>
              <w:spacing w:after="0"/>
            </w:pPr>
            <w:r>
              <w:rPr>
                <w:b/>
                <w:bCs/>
              </w:rPr>
              <w:t xml:space="preserve">What it does</w:t>
            </w:r>
          </w:p>
        </w:tc>
      </w:tr>
      <w:tr>
        <w:tc>
          <w:tcPr>
            <w:tcW w:w="2900" w:type="dxa"/>
            <w:tcMar>
              <w:top w:w="120" w:type="dxa"/>
              <w:left w:w="180" w:type="dxa"/>
              <w:bottom w:w="120" w:type="dxa"/>
              <w:right w:w="180" w:type="dxa"/>
            </w:tcMar>
          </w:tcPr>
          <w:p>
            <w:pPr>
              <w:spacing w:after="0"/>
            </w:pPr>
            <w:r>
              <w:t xml:space="preserve">Extract samples</w:t>
            </w:r>
          </w:p>
        </w:tc>
        <w:tc>
          <w:tcPr>
            <w:tcW w:w="6460" w:type="dxa"/>
            <w:tcMar>
              <w:top w:w="120" w:type="dxa"/>
              <w:left w:w="180" w:type="dxa"/>
              <w:bottom w:w="120" w:type="dxa"/>
              <w:right w:w="180" w:type="dxa"/>
            </w:tcMar>
          </w:tcPr>
          <w:p>
            <w:pPr>
              <w:spacing w:after="0"/>
            </w:pPr>
            <w:r>
              <w:t xml:space="preserve">Captures sample values during profiling and shows them on the Summary tab. On by default.</w:t>
            </w:r>
          </w:p>
        </w:tc>
      </w:tr>
      <w:tr>
        <w:tc>
          <w:tcPr>
            <w:tcW w:w="2900" w:type="dxa"/>
            <w:tcMar>
              <w:top w:w="120" w:type="dxa"/>
              <w:left w:w="180" w:type="dxa"/>
              <w:bottom w:w="120" w:type="dxa"/>
              <w:right w:w="180" w:type="dxa"/>
            </w:tcMar>
          </w:tcPr>
          <w:p>
            <w:pPr>
              <w:spacing w:after="0"/>
            </w:pPr>
            <w:r>
              <w:t xml:space="preserve">Skip Recent (days)</w:t>
            </w:r>
          </w:p>
        </w:tc>
        <w:tc>
          <w:tcPr>
            <w:tcW w:w="6460" w:type="dxa"/>
            <w:tcMar>
              <w:top w:w="120" w:type="dxa"/>
              <w:left w:w="180" w:type="dxa"/>
              <w:bottom w:w="120" w:type="dxa"/>
              <w:right w:w="180" w:type="dxa"/>
            </w:tcMar>
          </w:tcPr>
          <w:p>
            <w:pPr>
              <w:spacing w:after="0"/>
            </w:pPr>
            <w:r>
              <w:t xml:space="preserve">Skips any table already profiled within this many days; 0 means profile every time.</w:t>
            </w:r>
          </w:p>
        </w:tc>
      </w:tr>
      <w:tr>
        <w:tc>
          <w:tcPr>
            <w:tcW w:w="2900" w:type="dxa"/>
            <w:tcMar>
              <w:top w:w="120" w:type="dxa"/>
              <w:left w:w="180" w:type="dxa"/>
              <w:bottom w:w="120" w:type="dxa"/>
              <w:right w:w="180" w:type="dxa"/>
            </w:tcMar>
          </w:tcPr>
          <w:p>
            <w:pPr>
              <w:spacing w:after="0"/>
            </w:pPr>
            <w:r>
              <w:t xml:space="preserve">Sample Type</w:t>
            </w:r>
          </w:p>
        </w:tc>
        <w:tc>
          <w:tcPr>
            <w:tcW w:w="6460" w:type="dxa"/>
            <w:tcMar>
              <w:top w:w="120" w:type="dxa"/>
              <w:left w:w="180" w:type="dxa"/>
              <w:bottom w:w="120" w:type="dxa"/>
              <w:right w:w="180" w:type="dxa"/>
            </w:tcMar>
          </w:tcPr>
          <w:p>
            <w:pPr>
              <w:spacing w:after="0"/>
            </w:pPr>
            <w:r>
              <w:t xml:space="preserve">How much data to read: Sample Clause (a percentage, or a row count on Microsoft SQL / Snowflake only), First N Rows, Every Nth Row, or Filter (a custom SQL WHERE clause, e.g. </w:t>
            </w:r>
            <w:r>
              <w:rPr>
                <w:rFonts w:ascii="Consolas" w:hAnsi="Consolas"/>
                <w:color w:val="0A5560"/>
                <w:sz w:val="20"/>
                <w:szCs w:val="20"/>
              </w:rPr>
              <w:t xml:space="preserve">st = 'AZ'</w:t>
            </w:r>
            <w:r>
              <w:t xml:space="preserve">). Clear resets these.</w:t>
            </w:r>
          </w:p>
        </w:tc>
      </w:tr>
      <w:tr>
        <w:tc>
          <w:tcPr>
            <w:tcW w:w="2900" w:type="dxa"/>
            <w:tcMar>
              <w:top w:w="120" w:type="dxa"/>
              <w:left w:w="180" w:type="dxa"/>
              <w:bottom w:w="120" w:type="dxa"/>
              <w:right w:w="180" w:type="dxa"/>
            </w:tcMar>
          </w:tcPr>
          <w:p>
            <w:pPr>
              <w:spacing w:after="0"/>
            </w:pPr>
            <w:r>
              <w:t xml:space="preserve">Split Job by Columns</w:t>
            </w:r>
          </w:p>
        </w:tc>
        <w:tc>
          <w:tcPr>
            <w:tcW w:w="6460" w:type="dxa"/>
            <w:tcMar>
              <w:top w:w="120" w:type="dxa"/>
              <w:left w:w="180" w:type="dxa"/>
              <w:bottom w:w="120" w:type="dxa"/>
              <w:right w:w="180" w:type="dxa"/>
            </w:tcMar>
          </w:tcPr>
          <w:p>
            <w:pPr>
              <w:spacing w:after="0"/>
            </w:pPr>
            <w:r>
              <w:t xml:space="preserve">Splits a wide table into parallel jobs by column, for performance.</w:t>
            </w:r>
          </w:p>
        </w:tc>
      </w:tr>
      <w:tr>
        <w:tc>
          <w:tcPr>
            <w:tcW w:w="2900" w:type="dxa"/>
            <w:tcMar>
              <w:top w:w="120" w:type="dxa"/>
              <w:left w:w="180" w:type="dxa"/>
              <w:bottom w:w="120" w:type="dxa"/>
              <w:right w:w="180" w:type="dxa"/>
            </w:tcMar>
          </w:tcPr>
          <w:p>
            <w:pPr>
              <w:spacing w:after="0"/>
            </w:pPr>
            <w:r>
              <w:t xml:space="preserve">Columns Per Job</w:t>
            </w:r>
          </w:p>
        </w:tc>
        <w:tc>
          <w:tcPr>
            <w:tcW w:w="6460" w:type="dxa"/>
            <w:tcMar>
              <w:top w:w="120" w:type="dxa"/>
              <w:left w:w="180" w:type="dxa"/>
              <w:bottom w:w="120" w:type="dxa"/>
              <w:right w:w="180" w:type="dxa"/>
            </w:tcMar>
          </w:tcPr>
          <w:p>
            <w:pPr>
              <w:spacing w:after="0"/>
            </w:pPr>
            <w:r>
              <w:t xml:space="preserve">How many columns each job handles when splitting by columns (25 by default).</w:t>
            </w:r>
          </w:p>
        </w:tc>
      </w:tr>
      <w:tr>
        <w:tc>
          <w:tcPr>
            <w:tcW w:w="2900" w:type="dxa"/>
            <w:tcMar>
              <w:top w:w="120" w:type="dxa"/>
              <w:left w:w="180" w:type="dxa"/>
              <w:bottom w:w="120" w:type="dxa"/>
              <w:right w:w="180" w:type="dxa"/>
            </w:tcMar>
          </w:tcPr>
          <w:p>
            <w:pPr>
              <w:spacing w:after="0"/>
            </w:pPr>
            <w:r>
              <w:t xml:space="preserve">Number of Tables Per Job</w:t>
            </w:r>
          </w:p>
        </w:tc>
        <w:tc>
          <w:tcPr>
            <w:tcW w:w="6460" w:type="dxa"/>
            <w:tcMar>
              <w:top w:w="120" w:type="dxa"/>
              <w:left w:w="180" w:type="dxa"/>
              <w:bottom w:w="120" w:type="dxa"/>
              <w:right w:w="180" w:type="dxa"/>
            </w:tcMar>
          </w:tcPr>
          <w:p>
            <w:pPr>
              <w:spacing w:after="0"/>
            </w:pPr>
            <w:r>
              <w:t xml:space="preserve">How many tables go into a single profiling job (10 by default).</w:t>
            </w:r>
          </w:p>
        </w:tc>
      </w:tr>
      <w:tr>
        <w:tc>
          <w:tcPr>
            <w:tcW w:w="2900" w:type="dxa"/>
            <w:tcMar>
              <w:top w:w="120" w:type="dxa"/>
              <w:left w:w="180" w:type="dxa"/>
              <w:bottom w:w="120" w:type="dxa"/>
              <w:right w:w="180" w:type="dxa"/>
            </w:tcMar>
          </w:tcPr>
          <w:p>
            <w:pPr>
              <w:spacing w:after="0"/>
            </w:pPr>
            <w:r>
              <w:t xml:space="preserve">Persist Threads</w:t>
            </w:r>
          </w:p>
        </w:tc>
        <w:tc>
          <w:tcPr>
            <w:tcW w:w="6460" w:type="dxa"/>
            <w:tcMar>
              <w:top w:w="120" w:type="dxa"/>
              <w:left w:w="180" w:type="dxa"/>
              <w:bottom w:w="120" w:type="dxa"/>
              <w:right w:w="180" w:type="dxa"/>
            </w:tcMar>
          </w:tcPr>
          <w:p>
            <w:pPr>
              <w:spacing w:after="0"/>
            </w:pPr>
            <w:r>
              <w:t xml:space="preserve">Threads used to write profiling results.</w:t>
            </w:r>
          </w:p>
        </w:tc>
      </w:tr>
      <w:tr>
        <w:tc>
          <w:tcPr>
            <w:tcW w:w="2900" w:type="dxa"/>
            <w:tcMar>
              <w:top w:w="120" w:type="dxa"/>
              <w:left w:w="180" w:type="dxa"/>
              <w:bottom w:w="120" w:type="dxa"/>
              <w:right w:w="180" w:type="dxa"/>
            </w:tcMar>
          </w:tcPr>
          <w:p>
            <w:pPr>
              <w:spacing w:after="0"/>
            </w:pPr>
            <w:r>
              <w:t xml:space="preserve">Persist File Threads</w:t>
            </w:r>
          </w:p>
        </w:tc>
        <w:tc>
          <w:tcPr>
            <w:tcW w:w="6460" w:type="dxa"/>
            <w:tcMar>
              <w:top w:w="120" w:type="dxa"/>
              <w:left w:w="180" w:type="dxa"/>
              <w:bottom w:w="120" w:type="dxa"/>
              <w:right w:w="180" w:type="dxa"/>
            </w:tcMar>
          </w:tcPr>
          <w:p>
            <w:pPr>
              <w:spacing w:after="0"/>
            </w:pPr>
            <w:r>
              <w:t xml:space="preserve">Threads used to persist profiling data to files for large datasets.</w:t>
            </w:r>
          </w:p>
        </w:tc>
      </w:tr>
      <w:tr>
        <w:tc>
          <w:tcPr>
            <w:tcW w:w="2900" w:type="dxa"/>
            <w:tcMar>
              <w:top w:w="120" w:type="dxa"/>
              <w:left w:w="180" w:type="dxa"/>
              <w:bottom w:w="120" w:type="dxa"/>
              <w:right w:w="180" w:type="dxa"/>
            </w:tcMar>
          </w:tcPr>
          <w:p>
            <w:pPr>
              <w:spacing w:after="0"/>
            </w:pPr>
            <w:r>
              <w:t xml:space="preserve">Profile Threads</w:t>
            </w:r>
          </w:p>
        </w:tc>
        <w:tc>
          <w:tcPr>
            <w:tcW w:w="6460" w:type="dxa"/>
            <w:tcMar>
              <w:top w:w="120" w:type="dxa"/>
              <w:left w:w="180" w:type="dxa"/>
              <w:bottom w:w="120" w:type="dxa"/>
              <w:right w:w="180" w:type="dxa"/>
            </w:tcMar>
          </w:tcPr>
          <w:p>
            <w:pPr>
              <w:spacing w:after="0"/>
            </w:pPr>
            <w:r>
              <w:t xml:space="preserve">Threads allocated to the profiling work itself, enabling parallel execution.</w:t>
            </w:r>
          </w:p>
        </w:tc>
      </w:tr>
    </w:tbl>
    <w:p>
      <w:pPr>
        <w:spacing w:after="120"/>
      </w:pPr>
    </w:p>
    <w:p>
      <w:pPr>
        <w:spacing w:after="120"/>
      </w:pPr>
      <w:r>
        <w:t xml:space="preserve">For CTO: leave every option at its default. The tables are far smaller than the 500,000-row sample cap, so profiling reads them in full, and the parallelism controls only matter for very large tables.</w:t>
      </w:r>
    </w:p>
    <w:p>
      <w:pPr>
        <w:spacing w:after="120"/>
      </w:pPr>
      <w:r>
        <w:rPr>
          <w:b/>
          <w:bCs/>
        </w:rPr>
        <w:t xml:space="preserve">On sampling:</w:t>
      </w:r>
      <w:r>
        <w:t xml:space="preserve"> when you choose a percentage, profiling uses Reservoir Sampling — for example 30% draws a representative 30% of the rows in a single pass. (Sample Clause by row count is supported only on Microsoft SQL and Snowflake.)</w:t>
      </w:r>
    </w:p>
    <w:p>
      <w:pPr>
        <w:pBdr>
          <w:top w:val="dashed" w:sz="8" w:space="6" w:color="C8A028"/>
          <w:left w:val="dashed" w:sz="8" w:space="6" w:color="C8A028"/>
          <w:bottom w:val="dashed" w:sz="8" w:space="6" w:color="C8A028"/>
          <w:right w:val="dashed" w:sz="8" w:space="6" w:color="C8A028"/>
        </w:pBdr>
        <w:shd w:val="clear" w:color="auto" w:fill="FFF7E0"/>
        <w:jc w:val="center"/>
        <w:spacing w:before="120" w:after="200"/>
        <w:ind w:left="240" w:right="240"/>
      </w:pPr>
      <w:r>
        <w:rPr>
          <w:b/>
          <w:bCs/>
          <w:color w:val="8A6D1A"/>
        </w:rPr>
        <w:t xml:space="preserve">📷  SCREENSHOT — Profiling Options page</w:t>
      </w:r>
    </w:p>
    <w:p>
      <w:pPr>
        <w:pStyle w:val="Heading2"/>
      </w:pPr>
      <w:r>
        <w:t xml:space="preserve">Part B — Read the profile</w:t>
      </w:r>
    </w:p>
    <w:p>
      <w:pPr>
        <w:pStyle w:val="ListParagraph"/>
        <w:numPr>
          <w:ilvl w:val="0"/>
          <w:numId w:val="101"/>
        </w:numPr>
        <w:spacing w:after="80" w:line="264" w:lineRule="auto"/>
      </w:pPr>
      <w:r>
        <w:t xml:space="preserve">On the </w:t>
      </w:r>
      <w:r>
        <w:rPr>
          <w:rFonts w:ascii="Consolas" w:hAnsi="Consolas"/>
          <w:color w:val="0A5560"/>
          <w:sz w:val="20"/>
          <w:szCs w:val="20"/>
        </w:rPr>
        <w:t xml:space="preserve">customers</w:t>
      </w:r>
      <w:r>
        <w:t xml:space="preserve"> Summary tab, the Statistics pane now shows a Row Count alongside the Column count, and the Last Successful Scanned date is set.</w:t>
      </w:r>
    </w:p>
    <w:p>
      <w:pPr>
        <w:pBdr>
          <w:top w:val="dashed" w:sz="8" w:space="6" w:color="C8A028"/>
          <w:left w:val="dashed" w:sz="8" w:space="6" w:color="C8A028"/>
          <w:bottom w:val="dashed" w:sz="8" w:space="6" w:color="C8A028"/>
          <w:right w:val="dashed" w:sz="8" w:space="6" w:color="C8A028"/>
        </w:pBdr>
        <w:shd w:val="clear" w:color="auto" w:fill="FFF7E0"/>
        <w:jc w:val="center"/>
        <w:spacing w:before="120" w:after="200"/>
        <w:ind w:left="240" w:right="240"/>
      </w:pPr>
      <w:r>
        <w:rPr>
          <w:b/>
          <w:bCs/>
          <w:color w:val="8A6D1A"/>
        </w:rPr>
        <w:t xml:space="preserve">📷  SCREENSHOT — customers Summary — Statistics pane with Row Count</w:t>
      </w:r>
    </w:p>
    <w:p>
      <w:pPr>
        <w:pStyle w:val="ListParagraph"/>
        <w:numPr>
          <w:ilvl w:val="0"/>
          <w:numId w:val="101"/>
        </w:numPr>
        <w:spacing w:after="80" w:line="264" w:lineRule="auto"/>
      </w:pPr>
      <w:r>
        <w:t xml:space="preserve">Click a column (for example, </w:t>
      </w:r>
      <w:r>
        <w:rPr>
          <w:rFonts w:ascii="Consolas" w:hAnsi="Consolas"/>
          <w:color w:val="0A5560"/>
          <w:sz w:val="20"/>
          <w:szCs w:val="20"/>
        </w:rPr>
        <w:t xml:space="preserve">email</w:t>
      </w:r>
      <w:r>
        <w:t xml:space="preserve">) to see column-level statistics — Null Count, Cardinality, HLL, Uniqueness, and Density — and a Data Patterns pane with RegEx suggestions. Try </w:t>
      </w:r>
      <w:r>
        <w:rPr>
          <w:rFonts w:ascii="Consolas" w:hAnsi="Consolas"/>
          <w:color w:val="0A5560"/>
          <w:sz w:val="20"/>
          <w:szCs w:val="20"/>
        </w:rPr>
        <w:t xml:space="preserve">loyalty_no</w:t>
      </w:r>
      <w:r>
        <w:t xml:space="preserve"> too: its pattern comes back as a crisp </w:t>
      </w:r>
      <w:r>
        <w:rPr>
          <w:rFonts w:ascii="Consolas" w:hAnsi="Consolas"/>
          <w:color w:val="0A5560"/>
          <w:sz w:val="20"/>
          <w:szCs w:val="20"/>
        </w:rPr>
        <w:t xml:space="preserve">AAA-nnnnnn</w:t>
      </w:r>
      <w:r>
        <w:t xml:space="preserve">, which Workshop 5's identification engine will put to work.</w:t>
      </w:r>
    </w:p>
    <w:p>
      <w:pPr>
        <w:pBdr>
          <w:top w:val="dashed" w:sz="8" w:space="6" w:color="C8A028"/>
          <w:left w:val="dashed" w:sz="8" w:space="6" w:color="C8A028"/>
          <w:bottom w:val="dashed" w:sz="8" w:space="6" w:color="C8A028"/>
          <w:right w:val="dashed" w:sz="8" w:space="6" w:color="C8A028"/>
        </w:pBdr>
        <w:shd w:val="clear" w:color="auto" w:fill="FFF7E0"/>
        <w:jc w:val="center"/>
        <w:spacing w:before="120" w:after="200"/>
        <w:ind w:left="240" w:right="240"/>
      </w:pPr>
      <w:r>
        <w:rPr>
          <w:b/>
          <w:bCs/>
          <w:color w:val="8A6D1A"/>
        </w:rPr>
        <w:t xml:space="preserve">📷  SCREENSHOT — email column — statistics and Data Patterns</w:t>
      </w:r>
    </w:p>
    <w:p>
      <w:pPr>
        <w:pStyle w:val="ListParagraph"/>
        <w:numPr>
          <w:ilvl w:val="0"/>
          <w:numId w:val="101"/>
        </w:numPr>
        <w:spacing w:after="80" w:line="264" w:lineRule="auto"/>
      </w:pPr>
      <w:r>
        <w:t xml:space="preserve">Open the </w:t>
      </w:r>
      <w:r>
        <w:rPr>
          <w:b/>
          <w:bCs/>
        </w:rPr>
        <w:t xml:space="preserve">Details</w:t>
      </w:r>
      <w:r>
        <w:t xml:space="preserve"> tab and the Sample Data pane (Raw and Aggregated) to preview real values and how often each occurs. On </w:t>
      </w:r>
      <w:r>
        <w:rPr>
          <w:rFonts w:ascii="Consolas" w:hAnsi="Consolas"/>
          <w:color w:val="0A5560"/>
          <w:sz w:val="20"/>
          <w:szCs w:val="20"/>
        </w:rPr>
        <w:t xml:space="preserve">order_items</w:t>
      </w:r>
      <w:r>
        <w:t xml:space="preserve">, check </w:t>
      </w:r>
      <w:r>
        <w:rPr>
          <w:rFonts w:ascii="Consolas" w:hAnsi="Consolas"/>
          <w:color w:val="0A5560"/>
          <w:sz w:val="20"/>
          <w:szCs w:val="20"/>
        </w:rPr>
        <w:t xml:space="preserve">discount_pct</w:t>
      </w:r>
      <w:r>
        <w:t xml:space="preserve"> min/max — the maximum of 50 is above the 40% policy ceiling, a fact Part E turns into a scored rule. On </w:t>
      </w:r>
      <w:r>
        <w:rPr>
          <w:rFonts w:ascii="Consolas" w:hAnsi="Consolas"/>
          <w:color w:val="0A5560"/>
          <w:sz w:val="20"/>
          <w:szCs w:val="20"/>
        </w:rPr>
        <w:t xml:space="preserve">payments</w:t>
      </w:r>
      <w:r>
        <w:t xml:space="preserve">, </w:t>
      </w:r>
      <w:r>
        <w:rPr>
          <w:rFonts w:ascii="Consolas" w:hAnsi="Consolas"/>
          <w:color w:val="0A5560"/>
          <w:sz w:val="20"/>
          <w:szCs w:val="20"/>
        </w:rPr>
        <w:t xml:space="preserve">pay_method_cd</w:t>
      </w:r>
      <w:r>
        <w:t xml:space="preserve"> has four distinct values — that enum becomes a dictionary in Workshop 5.</w:t>
      </w:r>
    </w:p>
    <w:p>
      <w:pPr>
        <w:pBdr>
          <w:top w:val="dashed" w:sz="8" w:space="6" w:color="C8A028"/>
          <w:left w:val="dashed" w:sz="8" w:space="6" w:color="C8A028"/>
          <w:bottom w:val="dashed" w:sz="8" w:space="6" w:color="C8A028"/>
          <w:right w:val="dashed" w:sz="8" w:space="6" w:color="C8A028"/>
        </w:pBdr>
        <w:shd w:val="clear" w:color="auto" w:fill="FFF7E0"/>
        <w:jc w:val="center"/>
        <w:spacing w:before="120" w:after="200"/>
        <w:ind w:left="240" w:right="240"/>
      </w:pPr>
      <w:r>
        <w:rPr>
          <w:b/>
          <w:bCs/>
          <w:color w:val="8A6D1A"/>
        </w:rPr>
        <w:t xml:space="preserve">📷  SCREENSHOT — Details — Sample Data, Raw and Aggregated</w:t>
      </w:r>
    </w:p>
    <w:p>
      <w:pPr>
        <w:pStyle w:val="ListParagraph"/>
        <w:numPr>
          <w:ilvl w:val="0"/>
          <w:numId w:val="101"/>
        </w:numPr>
        <w:spacing w:after="80" w:line="264" w:lineRule="auto"/>
      </w:pPr>
      <w:r>
        <w:t xml:space="preserve">Still on Details, look at the </w:t>
      </w:r>
      <w:r>
        <w:rPr>
          <w:b/>
          <w:bCs/>
        </w:rPr>
        <w:t xml:space="preserve">PK/FK</w:t>
      </w:r>
      <w:r>
        <w:t xml:space="preserve"> column. It is populated by Data Catalog's cross-table foreign-key detection, which runs on profiling output, so it fills in only once every related table has been profiled, not just this one. The box below explains what to do if it is blank.</w:t>
      </w:r>
    </w:p>
    <w:p>
      <w:pPr>
        <w:pBdr>
          <w:top w:val="dashed" w:sz="8" w:space="6" w:color="C8A028"/>
          <w:left w:val="dashed" w:sz="8" w:space="6" w:color="C8A028"/>
          <w:bottom w:val="dashed" w:sz="8" w:space="6" w:color="C8A028"/>
          <w:right w:val="dashed" w:sz="8" w:space="6" w:color="C8A028"/>
        </w:pBdr>
        <w:shd w:val="clear" w:color="auto" w:fill="FFF7E0"/>
        <w:jc w:val="center"/>
        <w:spacing w:before="120" w:after="200"/>
        <w:ind w:left="240" w:right="240"/>
      </w:pPr>
      <w:r>
        <w:rPr>
          <w:b/>
          <w:bCs/>
          <w:color w:val="8A6D1A"/>
        </w:rPr>
        <w:t xml:space="preserve">📷  SCREENSHOT — Details — PK/FK detection</w:t>
      </w:r>
    </w:p>
    <w:p>
      <w:pPr>
        <w:spacing w:after="120"/>
      </w:pPr>
      <w:r>
        <w:rPr>
          <w:b/>
          <w:bCs/>
        </w:rPr>
        <w:t xml:space="preserve">Why the PK/FK column can be blank:</w:t>
      </w:r>
      <w:r>
        <w:t xml:space="preserve"> the PK/FK column is populated by Data Catalog's foreign-key detection, which runs on profiling output and works across tables. CTO's schema already declares every key — </w:t>
      </w:r>
      <w:r>
        <w:rPr>
          <w:rFonts w:ascii="Consolas" w:hAnsi="Consolas"/>
          <w:color w:val="0A5560"/>
          <w:sz w:val="20"/>
          <w:szCs w:val="20"/>
        </w:rPr>
        <w:t xml:space="preserve">customers.cust_id</w:t>
      </w:r>
      <w:r>
        <w:t xml:space="preserve"> is a primary key, and </w:t>
      </w:r>
      <w:r>
        <w:rPr>
          <w:rFonts w:ascii="Consolas" w:hAnsi="Consolas"/>
          <w:color w:val="0A5560"/>
          <w:sz w:val="20"/>
          <w:szCs w:val="20"/>
        </w:rPr>
        <w:t xml:space="preserve">orders</w:t>
      </w:r>
      <w:r>
        <w:t xml:space="preserve"> and </w:t>
      </w:r>
      <w:r>
        <w:rPr>
          <w:rFonts w:ascii="Consolas" w:hAnsi="Consolas"/>
          <w:color w:val="0A5560"/>
          <w:sz w:val="20"/>
          <w:szCs w:val="20"/>
        </w:rPr>
        <w:t xml:space="preserve">loss_prevention_cases</w:t>
      </w:r>
      <w:r>
        <w:t xml:space="preserve"> declare foreign keys to it — so the database is not the problem. The column stays blank when detection has not had both sides of a relationship to compare, that is, when only some of the related tables have been profiled. To fill it, run Metadata Ingest on the schema, then Data Profiling on every related table, not just </w:t>
      </w:r>
      <w:r>
        <w:rPr>
          <w:rFonts w:ascii="Consolas" w:hAnsi="Consolas"/>
          <w:color w:val="0A5560"/>
          <w:sz w:val="20"/>
          <w:szCs w:val="20"/>
        </w:rPr>
        <w:t xml:space="preserve">customers</w:t>
      </w:r>
      <w:r>
        <w:t xml:space="preserve">:</w:t>
      </w:r>
    </w:p>
    <w:p>
      <w:pPr>
        <w:pBdr>
          <w:left w:val="single" w:sz="12" w:space="8" w:color="1C7293"/>
        </w:pBdr>
        <w:shd w:val="clear" w:color="auto" w:fill="F4F7F9"/>
        <w:spacing w:before="0" w:after="0"/>
        <w:ind w:left="240"/>
      </w:pPr>
      <w:r>
        <w:rPr>
          <w:rFonts w:ascii="Consolas" w:hAnsi="Consolas"/>
          <w:sz w:val="19"/>
          <w:szCs w:val="19"/>
          <w:color w:val="0A3D52"/>
        </w:rPr>
        <w:t xml:space="preserve">-- The schema already declares all keys — nothing to add.</w:t>
      </w:r>
    </w:p>
    <w:p>
      <w:pPr>
        <w:pBdr>
          <w:left w:val="single" w:sz="12" w:space="8" w:color="1C7293"/>
        </w:pBdr>
        <w:shd w:val="clear" w:color="auto" w:fill="F4F7F9"/>
        <w:spacing w:before="0" w:after="0"/>
        <w:ind w:left="240"/>
      </w:pPr>
      <w:r>
        <w:rPr>
          <w:rFonts w:ascii="Consolas" w:hAnsi="Consolas"/>
          <w:sz w:val="19"/>
          <w:szCs w:val="19"/>
          <w:color w:val="0A3D52"/>
        </w:rPr>
        <w:t xml:space="preserve">-- In PDC, process the WHOLE schema so detection has</w:t>
      </w:r>
    </w:p>
    <w:p>
      <w:pPr>
        <w:pBdr>
          <w:left w:val="single" w:sz="12" w:space="8" w:color="1C7293"/>
        </w:pBdr>
        <w:shd w:val="clear" w:color="auto" w:fill="F4F7F9"/>
        <w:spacing w:before="0" w:after="0"/>
        <w:ind w:left="240"/>
      </w:pPr>
      <w:r>
        <w:rPr>
          <w:rFonts w:ascii="Consolas" w:hAnsi="Consolas"/>
          <w:sz w:val="19"/>
          <w:szCs w:val="19"/>
          <w:color w:val="0A3D52"/>
        </w:rPr>
        <w:t xml:space="preserve">-- both sides of every relationship to compare:</w:t>
      </w:r>
    </w:p>
    <w:p>
      <w:pPr>
        <w:pBdr>
          <w:left w:val="single" w:sz="12" w:space="8" w:color="1C7293"/>
        </w:pBdr>
        <w:shd w:val="clear" w:color="auto" w:fill="F4F7F9"/>
        <w:spacing w:before="0" w:after="0"/>
        <w:ind w:left="240"/>
      </w:pPr>
      <w:r>
        <w:rPr>
          <w:rFonts w:ascii="Consolas" w:hAnsi="Consolas"/>
          <w:sz w:val="19"/>
          <w:szCs w:val="19"/>
          <w:color w:val="0A3D52"/>
        </w:rPr>
        <w:t xml:space="preserve">--   Actions &gt; Process &gt; Metadata Ingest   (all tables)</w:t>
      </w:r>
    </w:p>
    <w:p>
      <w:pPr>
        <w:pBdr>
          <w:left w:val="single" w:sz="12" w:space="8" w:color="1C7293"/>
        </w:pBdr>
        <w:shd w:val="clear" w:color="auto" w:fill="F4F7F9"/>
        <w:spacing w:before="0" w:after="0"/>
        <w:ind w:left="240"/>
      </w:pPr>
      <w:r>
        <w:rPr>
          <w:rFonts w:ascii="Consolas" w:hAnsi="Consolas"/>
          <w:sz w:val="19"/>
          <w:szCs w:val="19"/>
          <w:color w:val="0A3D52"/>
        </w:rPr>
        <w:t xml:space="preserve">--   Actions &gt; Process &gt; Data Profiling    (all tables)</w:t>
      </w:r>
    </w:p>
    <w:p>
      <w:pPr>
        <w:pBdr>
          <w:left w:val="single" w:sz="12" w:space="8" w:color="1C7293"/>
        </w:pBdr>
        <w:shd w:val="clear" w:color="auto" w:fill="F4F7F9"/>
        <w:spacing w:before="0" w:after="0"/>
        <w:ind w:left="240"/>
      </w:pPr>
      <w:r>
        <w:rPr>
          <w:rFonts w:ascii="Consolas" w:hAnsi="Consolas"/>
          <w:sz w:val="19"/>
          <w:szCs w:val="19"/>
          <w:color w:val="0A3D52"/>
        </w:rPr>
        <w:t xml:space="preserve">-- stores, employees, customers, suppliers, products,</w:t>
      </w:r>
    </w:p>
    <w:p>
      <w:pPr>
        <w:pBdr>
          <w:left w:val="single" w:sz="12" w:space="8" w:color="1C7293"/>
        </w:pBdr>
        <w:shd w:val="clear" w:color="auto" w:fill="F4F7F9"/>
        <w:spacing w:before="0" w:after="0"/>
        <w:ind w:left="240"/>
      </w:pPr>
      <w:r>
        <w:rPr>
          <w:rFonts w:ascii="Consolas" w:hAnsi="Consolas"/>
          <w:sz w:val="19"/>
          <w:szCs w:val="19"/>
          <w:color w:val="0A3D52"/>
        </w:rPr>
        <w:t xml:space="preserve">-- inventory, orders, order_items, payments, returns,</w:t>
      </w:r>
    </w:p>
    <w:p>
      <w:pPr>
        <w:pBdr>
          <w:left w:val="single" w:sz="12" w:space="8" w:color="1C7293"/>
        </w:pBdr>
        <w:shd w:val="clear" w:color="auto" w:fill="F4F7F9"/>
        <w:spacing w:before="0" w:after="0"/>
        <w:ind w:left="240"/>
      </w:pPr>
      <w:r>
        <w:rPr>
          <w:rFonts w:ascii="Consolas" w:hAnsi="Consolas"/>
          <w:sz w:val="19"/>
          <w:szCs w:val="19"/>
          <w:color w:val="0A3D52"/>
        </w:rPr>
        <w:t xml:space="preserve">-- loss_prevention_cases.</w:t>
      </w:r>
    </w:p>
    <w:p>
      <w:pPr>
        <w:pBdr>
          <w:left w:val="single" w:sz="12" w:space="8" w:color="1C7293"/>
        </w:pBdr>
        <w:shd w:val="clear" w:color="auto" w:fill="F4F7F9"/>
        <w:spacing w:before="0" w:after="0"/>
        <w:ind w:left="240"/>
      </w:pPr>
      <w:r>
        <w:rPr>
          <w:rFonts w:ascii="Consolas" w:hAnsi="Consolas"/>
          <w:sz w:val="19"/>
          <w:szCs w:val="19"/>
          <w:color w:val="0A3D52"/>
        </w:rPr>
        <w:t xml:space="preserve">-- Watch every job finish on the Workers page, then</w:t>
      </w:r>
    </w:p>
    <w:p>
      <w:pPr>
        <w:pBdr>
          <w:left w:val="single" w:sz="12" w:space="8" w:color="1C7293"/>
        </w:pBdr>
        <w:shd w:val="clear" w:color="auto" w:fill="F4F7F9"/>
        <w:spacing w:before="0" w:after="120"/>
        <w:ind w:left="240"/>
      </w:pPr>
      <w:r>
        <w:rPr>
          <w:rFonts w:ascii="Consolas" w:hAnsi="Consolas"/>
          <w:sz w:val="19"/>
          <w:szCs w:val="19"/>
          <w:color w:val="0A3D52"/>
        </w:rPr>
        <w:t xml:space="preserve">-- reopen the Details tab on customers.</w:t>
      </w:r>
    </w:p>
    <w:p>
      <w:pPr>
        <w:pStyle w:val="Heading2"/>
      </w:pPr>
      <w:r>
        <w:t xml:space="preserve">What the column statistics mean</w:t>
      </w:r>
    </w:p>
    <w:p>
      <w:pPr>
        <w:spacing w:after="120"/>
      </w:pPr>
      <w:r>
        <w:t xml:space="preserve">When you open a profiled column, Data Catalog shows a set of statistics. These are the ones you will read most often.</w:t>
      </w:r>
    </w:p>
    <w:tbl>
      <w:tblPr>
        <w:tblW w:w="9360" w:type="dxa"/>
        <w:tblBorders>
          <w:top w:val="single" w:sz="4" w:space="0" w:color="C9DEE8"/>
          <w:left w:val="single" w:sz="4" w:space="0" w:color="C9DEE8"/>
          <w:bottom w:val="single" w:sz="4" w:space="0" w:color="C9DEE8"/>
          <w:right w:val="single" w:sz="4" w:space="0" w:color="C9DEE8"/>
          <w:insideH w:val="single" w:sz="4" w:space="0" w:color="C9DEE8"/>
          <w:insideV w:val="single" w:sz="4" w:space="0" w:color="C9DEE8"/>
        </w:tblBorders>
      </w:tblPr>
      <w:tblGrid>
        <w:gridCol w:w="2900"/>
        <w:gridCol w:w="6460"/>
      </w:tblGrid>
      <w:tr>
        <w:tc>
          <w:tcPr>
            <w:tcW w:w="2900" w:type="dxa"/>
            <w:shd w:val="clear" w:color="auto" w:fill="EEF6FA"/>
            <w:tcBorders>
              <w:left w:val="single" w:sz="12" w:space="0" w:color="065A82"/>
            </w:tcBorders>
            <w:tcMar>
              <w:top w:w="120" w:type="dxa"/>
              <w:left w:w="180" w:type="dxa"/>
              <w:bottom w:w="120" w:type="dxa"/>
              <w:right w:w="180" w:type="dxa"/>
            </w:tcMar>
          </w:tcPr>
          <w:p>
            <w:pPr>
              <w:spacing w:after="0"/>
            </w:pPr>
            <w:r>
              <w:rPr>
                <w:b/>
                <w:bCs/>
              </w:rPr>
              <w:t xml:space="preserve">Statistic</w:t>
            </w:r>
          </w:p>
        </w:tc>
        <w:tc>
          <w:tcPr>
            <w:tcW w:w="6460" w:type="dxa"/>
            <w:shd w:val="clear" w:color="auto" w:fill="EEF6FA"/>
            <w:tcMar>
              <w:top w:w="120" w:type="dxa"/>
              <w:left w:w="180" w:type="dxa"/>
              <w:bottom w:w="120" w:type="dxa"/>
              <w:right w:w="180" w:type="dxa"/>
            </w:tcMar>
          </w:tcPr>
          <w:p>
            <w:pPr>
              <w:spacing w:after="0"/>
            </w:pPr>
            <w:r>
              <w:rPr>
                <w:b/>
                <w:bCs/>
              </w:rPr>
              <w:t xml:space="preserve">What it means</w:t>
            </w:r>
          </w:p>
        </w:tc>
      </w:tr>
      <w:tr>
        <w:tc>
          <w:tcPr>
            <w:tcW w:w="2900" w:type="dxa"/>
            <w:tcMar>
              <w:top w:w="120" w:type="dxa"/>
              <w:left w:w="180" w:type="dxa"/>
              <w:bottom w:w="120" w:type="dxa"/>
              <w:right w:w="180" w:type="dxa"/>
            </w:tcMar>
          </w:tcPr>
          <w:p>
            <w:pPr>
              <w:spacing w:after="0"/>
            </w:pPr>
            <w:r>
              <w:t xml:space="preserve">Rows</w:t>
            </w:r>
          </w:p>
        </w:tc>
        <w:tc>
          <w:tcPr>
            <w:tcW w:w="6460" w:type="dxa"/>
            <w:tcMar>
              <w:top w:w="120" w:type="dxa"/>
              <w:left w:w="180" w:type="dxa"/>
              <w:bottom w:w="120" w:type="dxa"/>
              <w:right w:w="180" w:type="dxa"/>
            </w:tcMar>
          </w:tcPr>
          <w:p>
            <w:pPr>
              <w:spacing w:after="0"/>
            </w:pPr>
            <w:r>
              <w:t xml:space="preserve">Total number of records in the column's table.</w:t>
            </w:r>
          </w:p>
        </w:tc>
      </w:tr>
      <w:tr>
        <w:tc>
          <w:tcPr>
            <w:tcW w:w="2900" w:type="dxa"/>
            <w:tcMar>
              <w:top w:w="120" w:type="dxa"/>
              <w:left w:w="180" w:type="dxa"/>
              <w:bottom w:w="120" w:type="dxa"/>
              <w:right w:w="180" w:type="dxa"/>
            </w:tcMar>
          </w:tcPr>
          <w:p>
            <w:pPr>
              <w:spacing w:after="0"/>
            </w:pPr>
            <w:r>
              <w:t xml:space="preserve">Nulls</w:t>
            </w:r>
          </w:p>
        </w:tc>
        <w:tc>
          <w:tcPr>
            <w:tcW w:w="6460" w:type="dxa"/>
            <w:tcMar>
              <w:top w:w="120" w:type="dxa"/>
              <w:left w:w="180" w:type="dxa"/>
              <w:bottom w:w="120" w:type="dxa"/>
              <w:right w:w="180" w:type="dxa"/>
            </w:tcMar>
          </w:tcPr>
          <w:p>
            <w:pPr>
              <w:spacing w:after="0"/>
            </w:pPr>
            <w:r>
              <w:t xml:space="preserve">Values explicitly marked as no data (database NULL).</w:t>
            </w:r>
          </w:p>
        </w:tc>
      </w:tr>
      <w:tr>
        <w:tc>
          <w:tcPr>
            <w:tcW w:w="2900" w:type="dxa"/>
            <w:tcMar>
              <w:top w:w="120" w:type="dxa"/>
              <w:left w:w="180" w:type="dxa"/>
              <w:bottom w:w="120" w:type="dxa"/>
              <w:right w:w="180" w:type="dxa"/>
            </w:tcMar>
          </w:tcPr>
          <w:p>
            <w:pPr>
              <w:spacing w:after="0"/>
            </w:pPr>
            <w:r>
              <w:t xml:space="preserve">Blanks</w:t>
            </w:r>
          </w:p>
        </w:tc>
        <w:tc>
          <w:tcPr>
            <w:tcW w:w="6460" w:type="dxa"/>
            <w:tcMar>
              <w:top w:w="120" w:type="dxa"/>
              <w:left w:w="180" w:type="dxa"/>
              <w:bottom w:w="120" w:type="dxa"/>
              <w:right w:w="180" w:type="dxa"/>
            </w:tcMar>
          </w:tcPr>
          <w:p>
            <w:pPr>
              <w:spacing w:after="0"/>
            </w:pPr>
            <w:r>
              <w:t xml:space="preserve">Empty cells with no characters at all — distinct from NULLs.</w:t>
            </w:r>
          </w:p>
        </w:tc>
      </w:tr>
      <w:tr>
        <w:tc>
          <w:tcPr>
            <w:tcW w:w="2900" w:type="dxa"/>
            <w:tcMar>
              <w:top w:w="120" w:type="dxa"/>
              <w:left w:w="180" w:type="dxa"/>
              <w:bottom w:w="120" w:type="dxa"/>
              <w:right w:w="180" w:type="dxa"/>
            </w:tcMar>
          </w:tcPr>
          <w:p>
            <w:pPr>
              <w:spacing w:after="0"/>
            </w:pPr>
            <w:r>
              <w:t xml:space="preserve">Cardinality</w:t>
            </w:r>
          </w:p>
        </w:tc>
        <w:tc>
          <w:tcPr>
            <w:tcW w:w="6460" w:type="dxa"/>
            <w:tcMar>
              <w:top w:w="120" w:type="dxa"/>
              <w:left w:w="180" w:type="dxa"/>
              <w:bottom w:w="120" w:type="dxa"/>
              <w:right w:w="180" w:type="dxa"/>
            </w:tcMar>
          </w:tcPr>
          <w:p>
            <w:pPr>
              <w:spacing w:after="0"/>
            </w:pPr>
            <w:r>
              <w:t xml:space="preserve">Count of distinct values; low cardinality means few unique values, which is a strong hint for keys and categories.</w:t>
            </w:r>
          </w:p>
        </w:tc>
      </w:tr>
      <w:tr>
        <w:tc>
          <w:tcPr>
            <w:tcW w:w="2900" w:type="dxa"/>
            <w:tcMar>
              <w:top w:w="120" w:type="dxa"/>
              <w:left w:w="180" w:type="dxa"/>
              <w:bottom w:w="120" w:type="dxa"/>
              <w:right w:w="180" w:type="dxa"/>
            </w:tcMar>
          </w:tcPr>
          <w:p>
            <w:pPr>
              <w:spacing w:after="0"/>
            </w:pPr>
            <w:r>
              <w:t xml:space="preserve">Min / Max Length</w:t>
            </w:r>
          </w:p>
        </w:tc>
        <w:tc>
          <w:tcPr>
            <w:tcW w:w="6460" w:type="dxa"/>
            <w:tcMar>
              <w:top w:w="120" w:type="dxa"/>
              <w:left w:w="180" w:type="dxa"/>
              <w:bottom w:w="120" w:type="dxa"/>
              <w:right w:w="180" w:type="dxa"/>
            </w:tcMar>
          </w:tcPr>
          <w:p>
            <w:pPr>
              <w:spacing w:after="0"/>
            </w:pPr>
            <w:r>
              <w:t xml:space="preserve">Shortest and longest values in the column, by character count.</w:t>
            </w:r>
          </w:p>
        </w:tc>
      </w:tr>
      <w:tr>
        <w:tc>
          <w:tcPr>
            <w:tcW w:w="2900" w:type="dxa"/>
            <w:tcMar>
              <w:top w:w="120" w:type="dxa"/>
              <w:left w:w="180" w:type="dxa"/>
              <w:bottom w:w="120" w:type="dxa"/>
              <w:right w:w="180" w:type="dxa"/>
            </w:tcMar>
          </w:tcPr>
          <w:p>
            <w:pPr>
              <w:spacing w:after="0"/>
            </w:pPr>
            <w:r>
              <w:t xml:space="preserve">Avg Length</w:t>
            </w:r>
          </w:p>
        </w:tc>
        <w:tc>
          <w:tcPr>
            <w:tcW w:w="6460" w:type="dxa"/>
            <w:tcMar>
              <w:top w:w="120" w:type="dxa"/>
              <w:left w:w="180" w:type="dxa"/>
              <w:bottom w:w="120" w:type="dxa"/>
              <w:right w:w="180" w:type="dxa"/>
            </w:tcMar>
          </w:tcPr>
          <w:p>
            <w:pPr>
              <w:spacing w:after="0"/>
            </w:pPr>
            <w:r>
              <w:t xml:space="preserve">Average number of characters across the values.</w:t>
            </w:r>
          </w:p>
        </w:tc>
      </w:tr>
      <w:tr>
        <w:tc>
          <w:tcPr>
            <w:tcW w:w="2900" w:type="dxa"/>
            <w:tcMar>
              <w:top w:w="120" w:type="dxa"/>
              <w:left w:w="180" w:type="dxa"/>
              <w:bottom w:w="120" w:type="dxa"/>
              <w:right w:w="180" w:type="dxa"/>
            </w:tcMar>
          </w:tcPr>
          <w:p>
            <w:pPr>
              <w:spacing w:after="0"/>
            </w:pPr>
            <w:r>
              <w:t xml:space="preserve">Stdev Length</w:t>
            </w:r>
          </w:p>
        </w:tc>
        <w:tc>
          <w:tcPr>
            <w:tcW w:w="6460" w:type="dxa"/>
            <w:tcMar>
              <w:top w:w="120" w:type="dxa"/>
              <w:left w:w="180" w:type="dxa"/>
              <w:bottom w:w="120" w:type="dxa"/>
              <w:right w:w="180" w:type="dxa"/>
            </w:tcMar>
          </w:tcPr>
          <w:p>
            <w:pPr>
              <w:spacing w:after="0"/>
            </w:pPr>
            <w:r>
              <w:t xml:space="preserve">How much the value lengths vary around the average — a wide spread can signal inconsistent or dirty data.</w:t>
            </w:r>
          </w:p>
        </w:tc>
      </w:tr>
      <w:tr>
        <w:tc>
          <w:tcPr>
            <w:tcW w:w="2900" w:type="dxa"/>
            <w:tcMar>
              <w:top w:w="120" w:type="dxa"/>
              <w:left w:w="180" w:type="dxa"/>
              <w:bottom w:w="120" w:type="dxa"/>
              <w:right w:w="180" w:type="dxa"/>
            </w:tcMar>
          </w:tcPr>
          <w:p>
            <w:pPr>
              <w:spacing w:after="0"/>
            </w:pPr>
            <w:r>
              <w:t xml:space="preserve">Bytes</w:t>
            </w:r>
          </w:p>
        </w:tc>
        <w:tc>
          <w:tcPr>
            <w:tcW w:w="6460" w:type="dxa"/>
            <w:tcMar>
              <w:top w:w="120" w:type="dxa"/>
              <w:left w:w="180" w:type="dxa"/>
              <w:bottom w:w="120" w:type="dxa"/>
              <w:right w:w="180" w:type="dxa"/>
            </w:tcMar>
          </w:tcPr>
          <w:p>
            <w:pPr>
              <w:spacing w:after="0"/>
            </w:pPr>
            <w:r>
              <w:t xml:space="preserve">Total storage size of the column's data.</w:t>
            </w:r>
          </w:p>
        </w:tc>
      </w:tr>
    </w:tbl>
    <w:p>
      <w:pPr>
        <w:spacing w:after="120"/>
      </w:pPr>
    </w:p>
    <w:p>
      <w:pPr>
        <w:spacing w:after="120"/>
      </w:pPr>
      <w:r>
        <w:rPr>
          <w:b/>
          <w:bCs/>
        </w:rPr>
        <w:t xml:space="preserve">At the schema level too:</w:t>
      </w:r>
      <w:r>
        <w:t xml:space="preserve"> profiling records a row count and the last-profiled date for each schema and table; the schema-level Sensitivity and a Confidence Score come later, from Data Identification in Workshop 5.</w:t>
      </w:r>
    </w:p>
    <w:p>
      <w:pPr>
        <w:pStyle w:val="Heading2"/>
      </w:pPr>
      <w:r>
        <w:t xml:space="preserve">Part C — Compute the Trust Score</w:t>
      </w:r>
    </w:p>
    <w:p>
      <w:pPr>
        <w:spacing w:after="120"/>
      </w:pPr>
      <w:r>
        <w:t xml:space="preserve">The Trust Score is a roll-up, not a fresh measurement. It combines four inputs — a linked glossary term, Data Lineage marked Verified, a User Rating, and the Data Quality metric — so you set those first, then run the calculation. Sensitivity sits in the same Key Metrics panel, but it is a separate metric, not a Trust Score input.</w:t>
      </w:r>
    </w:p>
    <w:p>
      <w:pPr>
        <w:pStyle w:val="ListParagraph"/>
        <w:numPr>
          <w:ilvl w:val="0"/>
          <w:numId w:val="102"/>
        </w:numPr>
        <w:spacing w:after="80" w:line="264" w:lineRule="auto"/>
      </w:pPr>
      <w:r>
        <w:t xml:space="preserve">Confirm the glossary term you linked in Workshop 3 is still attached to </w:t>
      </w:r>
      <w:r>
        <w:rPr>
          <w:rFonts w:ascii="Consolas" w:hAnsi="Consolas"/>
          <w:color w:val="0A5560"/>
          <w:sz w:val="20"/>
          <w:szCs w:val="20"/>
        </w:rPr>
        <w:t xml:space="preserve">customers</w:t>
      </w:r>
      <w:r>
        <w:t xml:space="preserve"> — the table-level </w:t>
      </w:r>
      <w:r>
        <w:rPr>
          <w:b/>
          <w:bCs/>
        </w:rPr>
        <w:t xml:space="preserve">Customer Record</w:t>
      </w:r>
      <w:r>
        <w:t xml:space="preserve"> term. A linked term is the first of the four Trust Score inputs.</w:t>
      </w:r>
    </w:p>
    <w:p>
      <w:pPr>
        <w:pBdr>
          <w:top w:val="dashed" w:sz="8" w:space="6" w:color="C8A028"/>
          <w:left w:val="dashed" w:sz="8" w:space="6" w:color="C8A028"/>
          <w:bottom w:val="dashed" w:sz="8" w:space="6" w:color="C8A028"/>
          <w:right w:val="dashed" w:sz="8" w:space="6" w:color="C8A028"/>
        </w:pBdr>
        <w:shd w:val="clear" w:color="auto" w:fill="FFF7E0"/>
        <w:jc w:val="center"/>
        <w:spacing w:before="120" w:after="200"/>
        <w:ind w:left="240" w:right="240"/>
      </w:pPr>
      <w:r>
        <w:rPr>
          <w:b/>
          <w:bCs/>
          <w:color w:val="8A6D1A"/>
        </w:rPr>
        <w:t xml:space="preserve">📷  SCREENSHOT — customers table — Glossary tab</w:t>
      </w:r>
    </w:p>
    <w:p>
      <w:pPr>
        <w:pStyle w:val="ListParagraph"/>
        <w:numPr>
          <w:ilvl w:val="0"/>
          <w:numId w:val="102"/>
        </w:numPr>
        <w:spacing w:after="80" w:line="264" w:lineRule="auto"/>
      </w:pPr>
      <w:r>
        <w:t xml:space="preserve">Set </w:t>
      </w:r>
      <w:r>
        <w:rPr>
          <w:b/>
          <w:bCs/>
        </w:rPr>
        <w:t xml:space="preserve">Data Lineage to Verified</w:t>
      </w:r>
      <w:r>
        <w:t xml:space="preserve">. In the Key Metrics panel on the Summary tab, change Data Lineage from Unverified to Verified for the table — the second input.</w:t>
      </w:r>
    </w:p>
    <w:p>
      <w:pPr>
        <w:pStyle w:val="ListParagraph"/>
        <w:numPr>
          <w:ilvl w:val="0"/>
          <w:numId w:val="102"/>
        </w:numPr>
        <w:spacing w:after="80" w:line="264" w:lineRule="auto"/>
      </w:pPr>
      <w:r>
        <w:t xml:space="preserve">Apply a </w:t>
      </w:r>
      <w:r>
        <w:rPr>
          <w:b/>
          <w:bCs/>
        </w:rPr>
        <w:t xml:space="preserve">User Rating</w:t>
      </w:r>
      <w:r>
        <w:t xml:space="preserve">. Give the asset a 1-to-5-star rating in the Key Metrics panel — the third input.</w:t>
      </w:r>
    </w:p>
    <w:p>
      <w:pPr>
        <w:pStyle w:val="ListParagraph"/>
        <w:numPr>
          <w:ilvl w:val="0"/>
          <w:numId w:val="102"/>
        </w:numPr>
        <w:spacing w:after="80" w:line="264" w:lineRule="auto"/>
      </w:pPr>
      <w:r>
        <w:t xml:space="preserve">Handle </w:t>
      </w:r>
      <w:r>
        <w:rPr>
          <w:b/>
          <w:bCs/>
        </w:rPr>
        <w:t xml:space="preserve">Data Quality</w:t>
      </w:r>
      <w:r>
        <w:t xml:space="preserve">, the fourth input. With the Pentaho Data Quality add-on and its Data Quality Loader configured, this metric scores completeness, accuracy, validity, uniqueness, and consistency; without the add-on it stays Not Computed and the Trust Score rolls up the other three.</w:t>
      </w:r>
    </w:p>
    <w:p>
      <w:pPr>
        <w:pStyle w:val="ListParagraph"/>
        <w:numPr>
          <w:ilvl w:val="0"/>
          <w:numId w:val="102"/>
        </w:numPr>
        <w:spacing w:after="80" w:line="264" w:lineRule="auto"/>
      </w:pPr>
      <w:r>
        <w:t xml:space="preserve">Optionally set the </w:t>
      </w:r>
      <w:r>
        <w:rPr>
          <w:b/>
          <w:bCs/>
        </w:rPr>
        <w:t xml:space="preserve">Sensitivity</w:t>
      </w:r>
      <w:r>
        <w:t xml:space="preserve"> to Low, Medium, or High in the same panel. It is good governance and drives the catalog's risk view, but it is not one of the Trust Score inputs.</w:t>
      </w:r>
    </w:p>
    <w:p>
      <w:pPr>
        <w:pStyle w:val="ListParagraph"/>
        <w:numPr>
          <w:ilvl w:val="0"/>
          <w:numId w:val="102"/>
        </w:numPr>
        <w:spacing w:after="80" w:line="264" w:lineRule="auto"/>
      </w:pPr>
      <w:r>
        <w:t xml:space="preserve">Now run the calculation. Open </w:t>
      </w:r>
      <w:r>
        <w:rPr>
          <w:b/>
          <w:bCs/>
        </w:rPr>
        <w:t xml:space="preserve">Actions</w:t>
      </w:r>
      <w:r>
        <w:t xml:space="preserve">, then </w:t>
      </w:r>
      <w:r>
        <w:rPr>
          <w:b/>
          <w:bCs/>
        </w:rPr>
        <w:t xml:space="preserve">Process</w:t>
      </w:r>
      <w:r>
        <w:t xml:space="preserve">, and click </w:t>
      </w:r>
      <w:r>
        <w:rPr>
          <w:b/>
          <w:bCs/>
        </w:rPr>
        <w:t xml:space="preserve">Start</w:t>
      </w:r>
      <w:r>
        <w:t xml:space="preserve"> on the Calculate Trust Score card. Watch the job on the Workers page.</w:t>
      </w:r>
    </w:p>
    <w:p>
      <w:pPr>
        <w:pStyle w:val="ListParagraph"/>
        <w:numPr>
          <w:ilvl w:val="0"/>
          <w:numId w:val="102"/>
        </w:numPr>
        <w:spacing w:after="80" w:line="264" w:lineRule="auto"/>
      </w:pPr>
      <w:r>
        <w:t xml:space="preserve">When the job completes, read the Key Metrics panel. With a glossary term, Verified lineage, and a rating in place, the Trust Score moves off 0 / Untrusted to Trusted or Highly Trusted, depending on the inputs.</w:t>
      </w:r>
    </w:p>
    <w:p>
      <w:pPr>
        <w:pBdr>
          <w:top w:val="dashed" w:sz="8" w:space="6" w:color="C8A028"/>
          <w:left w:val="dashed" w:sz="8" w:space="6" w:color="C8A028"/>
          <w:bottom w:val="dashed" w:sz="8" w:space="6" w:color="C8A028"/>
          <w:right w:val="dashed" w:sz="8" w:space="6" w:color="C8A028"/>
        </w:pBdr>
        <w:shd w:val="clear" w:color="auto" w:fill="FFF7E0"/>
        <w:jc w:val="center"/>
        <w:spacing w:before="120" w:after="200"/>
        <w:ind w:left="240" w:right="240"/>
      </w:pPr>
      <w:r>
        <w:rPr>
          <w:b/>
          <w:bCs/>
          <w:color w:val="8A6D1A"/>
        </w:rPr>
        <w:t xml:space="preserve">📷  SCREENSHOT — customers — Trust Score in Key Metrics</w:t>
      </w:r>
    </w:p>
    <w:p>
      <w:pPr>
        <w:spacing w:after="120"/>
      </w:pPr>
      <w:r>
        <w:rPr>
          <w:b/>
          <w:bCs/>
        </w:rPr>
        <w:t xml:space="preserve">The Trust Score is a sliding scale:</w:t>
      </w:r>
      <w:r>
        <w:t xml:space="preserve"> it does not need all four inputs to compute. Calculate Trust Score rolls up whatever is present and positive right now — each input that is in place raises the number, each one missing holds it down — and the result slides along a band from Untrusted through Trusted to Highly Trusted. A table with only Verified lineage and a 4-star rating still scores (around the low-40s, Untrusted); add the glossary term and it rises; compute Data Quality and it rises further. Data Quality is the heaviest input, so until it is computed the ceiling stays low. Pentaho does not publish the exact weight of each input, so treat the inputs as levers that move the score, not as a fixed formula.</w:t>
      </w:r>
    </w:p>
    <w:p>
      <w:pPr>
        <w:spacing w:after="120"/>
      </w:pPr>
      <w:r>
        <w:rPr>
          <w:b/>
          <w:bCs/>
        </w:rPr>
        <w:t xml:space="preserve">Trust Score on documents.</w:t>
      </w:r>
      <w:r>
        <w:t xml:space="preserve"> Files are the unstructured twin of tables and are scored the same way:</w:t>
      </w:r>
    </w:p>
    <w:p>
      <w:pPr>
        <w:pStyle w:val="ListParagraph"/>
        <w:numPr>
          <w:ilvl w:val="0"/>
          <w:numId w:val="103"/>
        </w:numPr>
        <w:spacing w:after="80" w:line="264" w:lineRule="auto"/>
      </w:pPr>
      <w:r>
        <w:t xml:space="preserve">Confirm a glossary term is attached to the file — for example the Loss Prevention Case term on </w:t>
      </w:r>
      <w:r>
        <w:rPr>
          <w:rFonts w:ascii="Consolas" w:hAnsi="Consolas"/>
          <w:color w:val="0A5560"/>
          <w:sz w:val="20"/>
          <w:szCs w:val="20"/>
        </w:rPr>
        <w:t xml:space="preserve">compliance/lp_quarterly_loss_report_2026Q2.pdf</w:t>
      </w:r>
      <w:r>
        <w:t xml:space="preserve">. A linked term is the first of the four inputs.</w:t>
      </w:r>
    </w:p>
    <w:p>
      <w:pPr>
        <w:pStyle w:val="ListParagraph"/>
        <w:numPr>
          <w:ilvl w:val="0"/>
          <w:numId w:val="103"/>
        </w:numPr>
        <w:spacing w:after="80" w:line="264" w:lineRule="auto"/>
      </w:pPr>
      <w:r>
        <w:t xml:space="preserve">In the file's Key Metrics panel: apply a rating, set Data Lineage to Verified, and set Sensitivity (Medium is reasonable for a loss summary; the Business Term is the check that matters).</w:t>
      </w:r>
    </w:p>
    <w:p>
      <w:pPr>
        <w:pStyle w:val="ListParagraph"/>
        <w:numPr>
          <w:ilvl w:val="0"/>
          <w:numId w:val="103"/>
        </w:numPr>
        <w:spacing w:after="80" w:line="264" w:lineRule="auto"/>
      </w:pPr>
      <w:r>
        <w:t xml:space="preserve">Run the calculation: </w:t>
      </w:r>
      <w:r>
        <w:rPr>
          <w:b/>
          <w:bCs/>
        </w:rPr>
        <w:t xml:space="preserve">Actions → Process → Start Calculate Trust Score</w:t>
      </w:r>
      <w:r>
        <w:t xml:space="preserve">, and watch the Workers page.</w:t>
      </w:r>
    </w:p>
    <w:p>
      <w:pPr>
        <w:pBdr>
          <w:top w:val="dashed" w:sz="8" w:space="6" w:color="C8A028"/>
          <w:left w:val="dashed" w:sz="8" w:space="6" w:color="C8A028"/>
          <w:bottom w:val="dashed" w:sz="8" w:space="6" w:color="C8A028"/>
          <w:right w:val="dashed" w:sz="8" w:space="6" w:color="C8A028"/>
        </w:pBdr>
        <w:shd w:val="clear" w:color="auto" w:fill="FFF7E0"/>
        <w:jc w:val="center"/>
        <w:spacing w:before="120" w:after="200"/>
        <w:ind w:left="240" w:right="240"/>
      </w:pPr>
      <w:r>
        <w:rPr>
          <w:b/>
          <w:bCs/>
          <w:color w:val="8A6D1A"/>
        </w:rPr>
        <w:t xml:space="preserve">📷  SCREENSHOT — Key Metrics — lp_quarterly_loss_report_2026Q2.pdf</w:t>
      </w:r>
    </w:p>
    <w:p>
      <w:pPr>
        <w:pStyle w:val="Heading2"/>
      </w:pPr>
      <w:r>
        <w:t xml:space="preserve">Part D — Profile the documents (Data Discovery)</w:t>
      </w:r>
    </w:p>
    <w:p>
      <w:pPr>
        <w:spacing w:after="120"/>
      </w:pPr>
      <w:r>
        <w:t xml:space="preserve">The </w:t>
      </w:r>
      <w:r>
        <w:rPr>
          <w:rFonts w:ascii="Consolas" w:hAnsi="Consolas"/>
          <w:color w:val="0A5560"/>
          <w:sz w:val="20"/>
          <w:szCs w:val="20"/>
        </w:rPr>
        <w:t xml:space="preserve">cto-documents</w:t>
      </w:r>
      <w:r>
        <w:t xml:space="preserve"> store holds CTO's compliance PDFs, correspondence, invoices and receipts, not table rows — so they are scanned by </w:t>
      </w:r>
      <w:r>
        <w:rPr>
          <w:b/>
          <w:bCs/>
        </w:rPr>
        <w:t xml:space="preserve">Data Discovery</w:t>
      </w:r>
      <w:r>
        <w:t xml:space="preserve">, the unstructured-data counterpart to Data Profiling. The steps mirror Part A:</w:t>
      </w:r>
    </w:p>
    <w:p>
      <w:pPr>
        <w:pStyle w:val="ListParagraph"/>
        <w:numPr>
          <w:ilvl w:val="0"/>
          <w:numId w:val="104"/>
        </w:numPr>
        <w:spacing w:after="80" w:line="264" w:lineRule="auto"/>
      </w:pPr>
      <w:r>
        <w:t xml:space="preserve">In the Data Canvas, open the </w:t>
      </w:r>
      <w:r>
        <w:rPr>
          <w:rFonts w:ascii="Consolas" w:hAnsi="Consolas"/>
          <w:color w:val="0A5560"/>
          <w:sz w:val="20"/>
          <w:szCs w:val="20"/>
        </w:rPr>
        <w:t xml:space="preserve">CanyonTrail_Documents</w:t>
      </w:r>
      <w:r>
        <w:t xml:space="preserve"> store and select the </w:t>
      </w:r>
      <w:r>
        <w:rPr>
          <w:rFonts w:ascii="Consolas" w:hAnsi="Consolas"/>
          <w:color w:val="0A5560"/>
          <w:sz w:val="20"/>
          <w:szCs w:val="20"/>
        </w:rPr>
        <w:t xml:space="preserve">compliance</w:t>
      </w:r>
      <w:r>
        <w:t xml:space="preserve"> folder that holds the regulatory PDFs.</w:t>
      </w:r>
    </w:p>
    <w:p>
      <w:pPr>
        <w:pStyle w:val="ListParagraph"/>
        <w:numPr>
          <w:ilvl w:val="0"/>
          <w:numId w:val="104"/>
        </w:numPr>
        <w:spacing w:after="80" w:line="264" w:lineRule="auto"/>
      </w:pPr>
      <w:r>
        <w:t xml:space="preserve">Open </w:t>
      </w:r>
      <w:r>
        <w:rPr>
          <w:b/>
          <w:bCs/>
        </w:rPr>
        <w:t xml:space="preserve">Actions</w:t>
      </w:r>
      <w:r>
        <w:t xml:space="preserve">, then </w:t>
      </w:r>
      <w:r>
        <w:rPr>
          <w:b/>
          <w:bCs/>
        </w:rPr>
        <w:t xml:space="preserve">Process</w:t>
      </w:r>
      <w:r>
        <w:t xml:space="preserve">. For documents the Choose Process page offers Metadata Ingest, Data Discovery, and Data Identification. Click </w:t>
      </w:r>
      <w:r>
        <w:rPr>
          <w:b/>
          <w:bCs/>
        </w:rPr>
        <w:t xml:space="preserve">Start</w:t>
      </w:r>
      <w:r>
        <w:t xml:space="preserve"> on the Data Discovery card — there is no Data Profiling card for documents.</w:t>
      </w:r>
    </w:p>
    <w:p>
      <w:pPr>
        <w:pBdr>
          <w:top w:val="dashed" w:sz="8" w:space="6" w:color="C8A028"/>
          <w:left w:val="dashed" w:sz="8" w:space="6" w:color="C8A028"/>
          <w:bottom w:val="dashed" w:sz="8" w:space="6" w:color="C8A028"/>
          <w:right w:val="dashed" w:sz="8" w:space="6" w:color="C8A028"/>
        </w:pBdr>
        <w:shd w:val="clear" w:color="auto" w:fill="FFF7E0"/>
        <w:jc w:val="center"/>
        <w:spacing w:before="120" w:after="200"/>
        <w:ind w:left="240" w:right="240"/>
      </w:pPr>
      <w:r>
        <w:rPr>
          <w:b/>
          <w:bCs/>
          <w:color w:val="8A6D1A"/>
        </w:rPr>
        <w:t xml:space="preserve">📷  SCREENSHOT — compliance folder — Data Discovery card</w:t>
      </w:r>
    </w:p>
    <w:p>
      <w:pPr>
        <w:pStyle w:val="ListParagraph"/>
        <w:numPr>
          <w:ilvl w:val="0"/>
          <w:numId w:val="104"/>
        </w:numPr>
        <w:spacing w:after="80" w:line="264" w:lineRule="auto"/>
      </w:pPr>
      <w:r>
        <w:t xml:space="preserve">The Configure Process page opens with three tabs — Data Discovery, Document Processing, and Data Profiling. Keep the defaults, which suit CTO, and click </w:t>
      </w:r>
      <w:r>
        <w:rPr>
          <w:b/>
          <w:bCs/>
        </w:rPr>
        <w:t xml:space="preserve">Start Discovering</w:t>
      </w:r>
      <w:r>
        <w:t xml:space="preserve">.</w:t>
      </w:r>
    </w:p>
    <w:p>
      <w:pPr>
        <w:pStyle w:val="ListParagraph"/>
        <w:numPr>
          <w:ilvl w:val="0"/>
          <w:numId w:val="104"/>
        </w:numPr>
        <w:spacing w:after="80" w:line="264" w:lineRule="auto"/>
      </w:pPr>
      <w:r>
        <w:t xml:space="preserve">Watch the job on the Workers page until it completes, then repeat for the other folders — </w:t>
      </w:r>
      <w:r>
        <w:rPr>
          <w:rFonts w:ascii="Consolas" w:hAnsi="Consolas"/>
          <w:color w:val="0A5560"/>
          <w:sz w:val="20"/>
          <w:szCs w:val="20"/>
        </w:rPr>
        <w:t xml:space="preserve">correspondence</w:t>
      </w:r>
      <w:r>
        <w:t xml:space="preserve">, </w:t>
      </w:r>
      <w:r>
        <w:rPr>
          <w:rFonts w:ascii="Consolas" w:hAnsi="Consolas"/>
          <w:color w:val="0A5560"/>
          <w:sz w:val="20"/>
          <w:szCs w:val="20"/>
        </w:rPr>
        <w:t xml:space="preserve">invoices</w:t>
      </w:r>
      <w:r>
        <w:t xml:space="preserve">, </w:t>
      </w:r>
      <w:r>
        <w:rPr>
          <w:rFonts w:ascii="Consolas" w:hAnsi="Consolas"/>
          <w:color w:val="0A5560"/>
          <w:sz w:val="20"/>
          <w:szCs w:val="20"/>
        </w:rPr>
        <w:t xml:space="preserve">pos-exports</w:t>
      </w:r>
      <w:r>
        <w:t xml:space="preserve">, </w:t>
      </w:r>
      <w:r>
        <w:rPr>
          <w:rFonts w:ascii="Consolas" w:hAnsi="Consolas"/>
          <w:color w:val="0A5560"/>
          <w:sz w:val="20"/>
          <w:szCs w:val="20"/>
        </w:rPr>
        <w:t xml:space="preserve">pricing</w:t>
      </w:r>
      <w:r>
        <w:t xml:space="preserve"> and </w:t>
      </w:r>
      <w:r>
        <w:rPr>
          <w:rFonts w:ascii="Consolas" w:hAnsi="Consolas"/>
          <w:color w:val="0A5560"/>
          <w:sz w:val="20"/>
          <w:szCs w:val="20"/>
        </w:rPr>
        <w:t xml:space="preserve">receipts</w:t>
      </w:r>
      <w:r>
        <w:t xml:space="preserve">.</w:t>
      </w:r>
    </w:p>
    <w:p>
      <w:pPr>
        <w:spacing w:after="120"/>
      </w:pPr>
      <w:r>
        <w:t xml:space="preserve">Where Data Profiling computes column statistics, Data Discovery scans file contents. For CTO's PDFs it:</w:t>
      </w:r>
    </w:p>
    <w:p>
      <w:pPr>
        <w:pStyle w:val="ListParagraph"/>
        <w:numPr>
          <w:ilvl w:val="0"/>
          <w:numId w:val="2"/>
        </w:numPr>
        <w:spacing w:after="60"/>
      </w:pPr>
      <w:r>
        <w:t xml:space="preserve">Extracts document properties and text from each PDF (and Office files), so the content becomes searchable in the catalog.</w:t>
      </w:r>
    </w:p>
    <w:p>
      <w:pPr>
        <w:pStyle w:val="ListParagraph"/>
        <w:numPr>
          <w:ilvl w:val="0"/>
          <w:numId w:val="2"/>
        </w:numPr>
        <w:spacing w:after="60"/>
      </w:pPr>
      <w:r>
        <w:t xml:space="preserve">Computes a checksum of the contents to flag duplicate documents, when </w:t>
      </w:r>
      <w:r>
        <w:rPr>
          <w:i/>
          <w:iCs/>
        </w:rPr>
        <w:t xml:space="preserve">Compute checksum of document contents</w:t>
      </w:r>
      <w:r>
        <w:t xml:space="preserve"> is selected.</w:t>
      </w:r>
    </w:p>
    <w:p>
      <w:pPr>
        <w:pStyle w:val="ListParagraph"/>
        <w:numPr>
          <w:ilvl w:val="0"/>
          <w:numId w:val="2"/>
        </w:numPr>
        <w:spacing w:after="60"/>
      </w:pPr>
      <w:r>
        <w:t xml:space="preserve">Scans the text with dictionaries for keywords and patterns, which can trigger tags and glossary-term assignments.</w:t>
      </w:r>
    </w:p>
    <w:p>
      <w:pPr>
        <w:pStyle w:val="ListParagraph"/>
        <w:numPr>
          <w:ilvl w:val="0"/>
          <w:numId w:val="2"/>
        </w:numPr>
        <w:spacing w:after="60"/>
      </w:pPr>
      <w:r>
        <w:t xml:space="preserve">Runs OCR (Tesseract or EasyOCR) on scanned or image-only PDFs so their text can be read.</w:t>
      </w:r>
    </w:p>
    <w:p>
      <w:pPr>
        <w:spacing w:after="120"/>
      </w:pPr>
      <w:r>
        <w:t xml:space="preserve">Data Catalog can also AI-assist on the documents — summarising each PDF, detecting addresses, and classifying it against business terms (for example, </w:t>
      </w:r>
      <w:r>
        <w:rPr>
          <w:i/>
          <w:iCs/>
        </w:rPr>
        <w:t xml:space="preserve">PCI attestation</w:t>
      </w:r>
      <w:r>
        <w:t xml:space="preserve"> or </w:t>
      </w:r>
      <w:r>
        <w:rPr>
          <w:i/>
          <w:iCs/>
        </w:rPr>
        <w:t xml:space="preserve">Loss Prevention Case</w:t>
      </w:r>
      <w:r>
        <w:t xml:space="preserve">) on the Document Processing tab.</w:t>
      </w:r>
    </w:p>
    <w:p>
      <w:pPr>
        <w:spacing w:after="120"/>
      </w:pPr>
      <w:r>
        <w:rPr>
          <w:b/>
          <w:bCs/>
        </w:rPr>
        <w:t xml:space="preserve">Why it matters for later workshops:</w:t>
      </w:r>
      <w:r>
        <w:t xml:space="preserve"> Data Identification needs either Data Profiling (for tables) or Data Discovery (for documents) to have run first. Discovering the </w:t>
      </w:r>
      <w:r>
        <w:rPr>
          <w:rFonts w:ascii="Consolas" w:hAnsi="Consolas"/>
          <w:color w:val="0A5560"/>
          <w:sz w:val="20"/>
          <w:szCs w:val="20"/>
        </w:rPr>
        <w:t xml:space="preserve">cto-documents</w:t>
      </w:r>
      <w:r>
        <w:t xml:space="preserve"> PDFs here is what lets Workshop 5 flag PII and cardholder data inside them.</w:t>
      </w:r>
    </w:p>
    <w:p>
      <w:pPr>
        <w:pStyle w:val="Heading2"/>
      </w:pPr>
      <w:r>
        <w:t xml:space="preserve">Part E — Business Rules: score the obligations</w:t>
      </w:r>
    </w:p>
    <w:p>
      <w:pPr>
        <w:spacing w:after="120"/>
      </w:pPr>
      <w:r>
        <w:t xml:space="preserve">Profiling measured the data as it is; business rules judge it against what it </w:t>
      </w:r>
      <w:r>
        <w:rPr>
          <w:i/>
          <w:iCs/>
        </w:rPr>
        <w:t xml:space="preserve">must</w:t>
      </w:r>
      <w:r>
        <w:t xml:space="preserve"> be. Switch to </w:t>
      </w:r>
      <w:r>
        <w:rPr>
          <w:rFonts w:ascii="Consolas" w:hAnsi="Consolas"/>
          <w:color w:val="0A5560"/>
          <w:sz w:val="20"/>
          <w:szCs w:val="20"/>
        </w:rPr>
        <w:t xml:space="preserve">tessa.nguyen</w:t>
      </w:r>
      <w:r>
        <w:t xml:space="preserve"> — in PDC v11 the </w:t>
      </w:r>
      <w:r>
        <w:rPr>
          <w:b/>
          <w:bCs/>
        </w:rPr>
        <w:t xml:space="preserve">Data Developer</w:t>
      </w:r>
      <w:r>
        <w:t xml:space="preserve"> role owns Business Rules (the Admin role can view but not create them; this is v11's role-gating in practice).</w:t>
      </w:r>
    </w:p>
    <w:p>
      <w:pPr>
        <w:spacing w:after="120"/>
      </w:pPr>
      <w:r>
        <w:t xml:space="preserve">A PDC Business Rule is a hierarchical layer above one or more SQL data quality conditions. Each condition returns </w:t>
      </w:r>
      <w:r>
        <w:rPr>
          <w:b/>
          <w:bCs/>
        </w:rPr>
        <w:t xml:space="preserve">three aggregate columns</w:t>
      </w:r>
      <w:r>
        <w:t xml:space="preserve">, which the Rules Engine uses to evaluate compliance and set a PASS / WARNING / FAIL status:</w:t>
      </w:r>
    </w:p>
    <w:p>
      <w:pPr>
        <w:pBdr>
          <w:left w:val="single" w:sz="12" w:space="8" w:color="1C7293"/>
        </w:pBdr>
        <w:shd w:val="clear" w:color="auto" w:fill="F4F7F9"/>
        <w:spacing w:before="0" w:after="0"/>
        <w:ind w:left="240"/>
      </w:pPr>
      <w:r>
        <w:rPr>
          <w:rFonts w:ascii="Consolas" w:hAnsi="Consolas"/>
          <w:sz w:val="19"/>
          <w:szCs w:val="19"/>
          <w:color w:val="0A3D52"/>
        </w:rPr>
        <w:t xml:space="preserve">total_count   - the total number of rows examined</w:t>
      </w:r>
    </w:p>
    <w:p>
      <w:pPr>
        <w:pBdr>
          <w:left w:val="single" w:sz="12" w:space="8" w:color="1C7293"/>
        </w:pBdr>
        <w:shd w:val="clear" w:color="auto" w:fill="F4F7F9"/>
        <w:spacing w:before="0" w:after="0"/>
        <w:ind w:left="240"/>
      </w:pPr>
      <w:r>
        <w:rPr>
          <w:rFonts w:ascii="Consolas" w:hAnsi="Consolas"/>
          <w:sz w:val="19"/>
          <w:szCs w:val="19"/>
          <w:color w:val="0A3D52"/>
        </w:rPr>
        <w:t xml:space="preserve">scopeCount    - the number of rows actually IN SCOPE for the rule</w:t>
      </w:r>
    </w:p>
    <w:p>
      <w:pPr>
        <w:pBdr>
          <w:left w:val="single" w:sz="12" w:space="8" w:color="1C7293"/>
        </w:pBdr>
        <w:shd w:val="clear" w:color="auto" w:fill="F4F7F9"/>
        <w:spacing w:before="0" w:after="120"/>
        <w:ind w:left="240"/>
      </w:pPr>
      <w:r>
        <w:rPr>
          <w:rFonts w:ascii="Consolas" w:hAnsi="Consolas"/>
          <w:sz w:val="19"/>
          <w:szCs w:val="19"/>
          <w:color w:val="0A3D52"/>
        </w:rPr>
        <w:t xml:space="preserve">nonCompliant  - the number of in-scope rows that FAIL the rule</w:t>
      </w:r>
    </w:p>
    <w:p>
      <w:pPr>
        <w:spacing w:after="120"/>
      </w:pPr>
      <w:r>
        <w:rPr>
          <w:rFonts w:ascii="Consolas" w:hAnsi="Consolas"/>
          <w:color w:val="0A5560"/>
          <w:sz w:val="20"/>
          <w:szCs w:val="20"/>
        </w:rPr>
        <w:t xml:space="preserve">assets/Canyon-Trail-Outfitters-Business-Rules.sql</w:t>
      </w:r>
      <w:r>
        <w:t xml:space="preserve"> carries six ready conditions in exactly that shape, each tied to a CTO obligation:</w:t>
      </w:r>
    </w:p>
    <w:tbl>
      <w:tblPr>
        <w:tblW w:w="9360" w:type="dxa"/>
        <w:tblBorders>
          <w:top w:val="single" w:sz="4" w:space="0" w:color="C9DEE8"/>
          <w:left w:val="single" w:sz="4" w:space="0" w:color="C9DEE8"/>
          <w:bottom w:val="single" w:sz="4" w:space="0" w:color="C9DEE8"/>
          <w:right w:val="single" w:sz="4" w:space="0" w:color="C9DEE8"/>
          <w:insideH w:val="single" w:sz="4" w:space="0" w:color="C9DEE8"/>
          <w:insideV w:val="single" w:sz="4" w:space="0" w:color="C9DEE8"/>
        </w:tblBorders>
      </w:tblPr>
      <w:tblGrid>
        <w:gridCol w:w="2500"/>
        <w:gridCol w:w="3430"/>
        <w:gridCol w:w="3430"/>
      </w:tblGrid>
      <w:tr>
        <w:tc>
          <w:tcPr>
            <w:tcW w:w="2500" w:type="dxa"/>
            <w:shd w:val="clear" w:color="auto" w:fill="EEF6FA"/>
            <w:tcBorders>
              <w:left w:val="single" w:sz="12" w:space="0" w:color="065A82"/>
            </w:tcBorders>
            <w:tcMar>
              <w:top w:w="120" w:type="dxa"/>
              <w:left w:w="180" w:type="dxa"/>
              <w:bottom w:w="120" w:type="dxa"/>
              <w:right w:w="180" w:type="dxa"/>
            </w:tcMar>
          </w:tcPr>
          <w:p>
            <w:pPr>
              <w:spacing w:after="0"/>
            </w:pPr>
            <w:r>
              <w:rPr>
                <w:b/>
                <w:bCs/>
              </w:rPr>
              <w:t xml:space="preserve">Rule</w:t>
            </w:r>
          </w:p>
        </w:tc>
        <w:tc>
          <w:tcPr>
            <w:tcW w:w="3430" w:type="dxa"/>
            <w:shd w:val="clear" w:color="auto" w:fill="EEF6FA"/>
            <w:tcMar>
              <w:top w:w="120" w:type="dxa"/>
              <w:left w:w="180" w:type="dxa"/>
              <w:bottom w:w="120" w:type="dxa"/>
              <w:right w:w="180" w:type="dxa"/>
            </w:tcMar>
          </w:tcPr>
          <w:p>
            <w:pPr>
              <w:spacing w:after="0"/>
            </w:pPr>
            <w:r>
              <w:rPr>
                <w:b/>
                <w:bCs/>
              </w:rPr>
              <w:t xml:space="preserve">Dimension</w:t>
            </w:r>
          </w:p>
        </w:tc>
        <w:tc>
          <w:tcPr>
            <w:tcW w:w="3430" w:type="dxa"/>
            <w:shd w:val="clear" w:color="auto" w:fill="EEF6FA"/>
            <w:tcMar>
              <w:top w:w="120" w:type="dxa"/>
              <w:left w:w="180" w:type="dxa"/>
              <w:bottom w:w="120" w:type="dxa"/>
              <w:right w:w="180" w:type="dxa"/>
            </w:tcMar>
          </w:tcPr>
          <w:p>
            <w:pPr>
              <w:spacing w:after="0"/>
            </w:pPr>
            <w:r>
              <w:rPr>
                <w:b/>
                <w:bCs/>
              </w:rPr>
              <w:t xml:space="preserve">What it protects</w:t>
            </w:r>
          </w:p>
        </w:tc>
      </w:tr>
      <w:tr>
        <w:tc>
          <w:tcPr>
            <w:tcW w:w="2500" w:type="dxa"/>
            <w:tcMar>
              <w:top w:w="120" w:type="dxa"/>
              <w:left w:w="180" w:type="dxa"/>
              <w:bottom w:w="120" w:type="dxa"/>
              <w:right w:w="180" w:type="dxa"/>
            </w:tcMar>
          </w:tcPr>
          <w:p>
            <w:pPr>
              <w:spacing w:after="0"/>
            </w:pPr>
            <w:r>
              <w:t xml:space="preserve">CTO-Marketing-OptOut-Compliance</w:t>
            </w:r>
          </w:p>
        </w:tc>
        <w:tc>
          <w:tcPr>
            <w:tcW w:w="3430" w:type="dxa"/>
            <w:tcMar>
              <w:top w:w="120" w:type="dxa"/>
              <w:left w:w="180" w:type="dxa"/>
              <w:bottom w:w="120" w:type="dxa"/>
              <w:right w:w="180" w:type="dxa"/>
            </w:tcMar>
          </w:tcPr>
          <w:p>
            <w:pPr>
              <w:spacing w:after="0"/>
            </w:pPr>
            <w:r>
              <w:t xml:space="preserve">Conformity</w:t>
            </w:r>
          </w:p>
        </w:tc>
        <w:tc>
          <w:tcPr>
            <w:tcW w:w="3430" w:type="dxa"/>
            <w:tcMar>
              <w:top w:w="120" w:type="dxa"/>
              <w:left w:w="180" w:type="dxa"/>
              <w:bottom w:w="120" w:type="dxa"/>
              <w:right w:w="180" w:type="dxa"/>
            </w:tcMar>
          </w:tcPr>
          <w:p>
            <w:pPr>
              <w:spacing w:after="0"/>
            </w:pPr>
            <w:r>
              <w:rPr>
                <w:b/>
                <w:bCs/>
              </w:rPr>
              <w:t xml:space="preserve">Flagship:</w:t>
            </w:r>
            <w:r>
              <w:t xml:space="preserve"> opted-out customers must not be contactable on marketing extracts (privacy opt-out)</w:t>
            </w:r>
          </w:p>
        </w:tc>
      </w:tr>
      <w:tr>
        <w:tc>
          <w:tcPr>
            <w:tcW w:w="2500" w:type="dxa"/>
            <w:tcMar>
              <w:top w:w="120" w:type="dxa"/>
              <w:left w:w="180" w:type="dxa"/>
              <w:bottom w:w="120" w:type="dxa"/>
              <w:right w:w="180" w:type="dxa"/>
            </w:tcMar>
          </w:tcPr>
          <w:p>
            <w:pPr>
              <w:spacing w:after="0"/>
            </w:pPr>
            <w:r>
              <w:t xml:space="preserve">CTO-PCI-No-Full-PAN</w:t>
            </w:r>
          </w:p>
        </w:tc>
        <w:tc>
          <w:tcPr>
            <w:tcW w:w="3430" w:type="dxa"/>
            <w:tcMar>
              <w:top w:w="120" w:type="dxa"/>
              <w:left w:w="180" w:type="dxa"/>
              <w:bottom w:w="120" w:type="dxa"/>
              <w:right w:w="180" w:type="dxa"/>
            </w:tcMar>
          </w:tcPr>
          <w:p>
            <w:pPr>
              <w:spacing w:after="0"/>
            </w:pPr>
            <w:r>
              <w:t xml:space="preserve">Validity</w:t>
            </w:r>
          </w:p>
        </w:tc>
        <w:tc>
          <w:tcPr>
            <w:tcW w:w="3430" w:type="dxa"/>
            <w:tcMar>
              <w:top w:w="120" w:type="dxa"/>
              <w:left w:w="180" w:type="dxa"/>
              <w:bottom w:w="120" w:type="dxa"/>
              <w:right w:w="180" w:type="dxa"/>
            </w:tcMar>
          </w:tcPr>
          <w:p>
            <w:pPr>
              <w:spacing w:after="0"/>
            </w:pPr>
            <w:r>
              <w:t xml:space="preserve">PCI DSS 3.2 — no full PAN stored after authorization; fails by design until the tokenization purge runs</w:t>
            </w:r>
          </w:p>
        </w:tc>
      </w:tr>
      <w:tr>
        <w:tc>
          <w:tcPr>
            <w:tcW w:w="2500" w:type="dxa"/>
            <w:tcMar>
              <w:top w:w="120" w:type="dxa"/>
              <w:left w:w="180" w:type="dxa"/>
              <w:bottom w:w="120" w:type="dxa"/>
              <w:right w:w="180" w:type="dxa"/>
            </w:tcMar>
          </w:tcPr>
          <w:p>
            <w:pPr>
              <w:spacing w:after="0"/>
            </w:pPr>
            <w:r>
              <w:t xml:space="preserve">CTO-SKU-Format-Validity</w:t>
            </w:r>
          </w:p>
        </w:tc>
        <w:tc>
          <w:tcPr>
            <w:tcW w:w="3430" w:type="dxa"/>
            <w:tcMar>
              <w:top w:w="120" w:type="dxa"/>
              <w:left w:w="180" w:type="dxa"/>
              <w:bottom w:w="120" w:type="dxa"/>
              <w:right w:w="180" w:type="dxa"/>
            </w:tcMar>
          </w:tcPr>
          <w:p>
            <w:pPr>
              <w:spacing w:after="0"/>
            </w:pPr>
            <w:r>
              <w:t xml:space="preserve">Conformity</w:t>
            </w:r>
          </w:p>
        </w:tc>
        <w:tc>
          <w:tcPr>
            <w:tcW w:w="3430" w:type="dxa"/>
            <w:tcMar>
              <w:top w:w="120" w:type="dxa"/>
              <w:left w:w="180" w:type="dxa"/>
              <w:bottom w:w="120" w:type="dxa"/>
              <w:right w:w="180" w:type="dxa"/>
            </w:tcMar>
          </w:tcPr>
          <w:p>
            <w:pPr>
              <w:spacing w:after="0"/>
            </w:pPr>
            <w:r>
              <w:t xml:space="preserve">Every SKU matches CT-AAA-nnnn</w:t>
            </w:r>
          </w:p>
        </w:tc>
      </w:tr>
      <w:tr>
        <w:tc>
          <w:tcPr>
            <w:tcW w:w="2500" w:type="dxa"/>
            <w:tcMar>
              <w:top w:w="120" w:type="dxa"/>
              <w:left w:w="180" w:type="dxa"/>
              <w:bottom w:w="120" w:type="dxa"/>
              <w:right w:w="180" w:type="dxa"/>
            </w:tcMar>
          </w:tcPr>
          <w:p>
            <w:pPr>
              <w:spacing w:after="0"/>
            </w:pPr>
            <w:r>
              <w:t xml:space="preserve">CTO-Refund-Not-Above-Order</w:t>
            </w:r>
          </w:p>
        </w:tc>
        <w:tc>
          <w:tcPr>
            <w:tcW w:w="3430" w:type="dxa"/>
            <w:tcMar>
              <w:top w:w="120" w:type="dxa"/>
              <w:left w:w="180" w:type="dxa"/>
              <w:bottom w:w="120" w:type="dxa"/>
              <w:right w:w="180" w:type="dxa"/>
            </w:tcMar>
          </w:tcPr>
          <w:p>
            <w:pPr>
              <w:spacing w:after="0"/>
            </w:pPr>
            <w:r>
              <w:t xml:space="preserve">Consistency</w:t>
            </w:r>
          </w:p>
        </w:tc>
        <w:tc>
          <w:tcPr>
            <w:tcW w:w="3430" w:type="dxa"/>
            <w:tcMar>
              <w:top w:w="120" w:type="dxa"/>
              <w:left w:w="180" w:type="dxa"/>
              <w:bottom w:w="120" w:type="dxa"/>
              <w:right w:w="180" w:type="dxa"/>
            </w:tcMar>
          </w:tcPr>
          <w:p>
            <w:pPr>
              <w:spacing w:after="0"/>
            </w:pPr>
            <w:r>
              <w:t xml:space="preserve">A refund can never exceed its order total</w:t>
            </w:r>
          </w:p>
        </w:tc>
      </w:tr>
      <w:tr>
        <w:tc>
          <w:tcPr>
            <w:tcW w:w="2500" w:type="dxa"/>
            <w:tcMar>
              <w:top w:w="120" w:type="dxa"/>
              <w:left w:w="180" w:type="dxa"/>
              <w:bottom w:w="120" w:type="dxa"/>
              <w:right w:w="180" w:type="dxa"/>
            </w:tcMar>
          </w:tcPr>
          <w:p>
            <w:pPr>
              <w:spacing w:after="0"/>
            </w:pPr>
            <w:r>
              <w:t xml:space="preserve">CTO-Discount-Within-Policy</w:t>
            </w:r>
          </w:p>
        </w:tc>
        <w:tc>
          <w:tcPr>
            <w:tcW w:w="3430" w:type="dxa"/>
            <w:tcMar>
              <w:top w:w="120" w:type="dxa"/>
              <w:left w:w="180" w:type="dxa"/>
              <w:bottom w:w="120" w:type="dxa"/>
              <w:right w:w="180" w:type="dxa"/>
            </w:tcMar>
          </w:tcPr>
          <w:p>
            <w:pPr>
              <w:spacing w:after="0"/>
            </w:pPr>
            <w:r>
              <w:t xml:space="preserve">Validity</w:t>
            </w:r>
          </w:p>
        </w:tc>
        <w:tc>
          <w:tcPr>
            <w:tcW w:w="3430" w:type="dxa"/>
            <w:tcMar>
              <w:top w:w="120" w:type="dxa"/>
              <w:left w:w="180" w:type="dxa"/>
              <w:bottom w:w="120" w:type="dxa"/>
              <w:right w:w="180" w:type="dxa"/>
            </w:tcMar>
          </w:tcPr>
          <w:p>
            <w:pPr>
              <w:spacing w:after="0"/>
            </w:pPr>
            <w:r>
              <w:t xml:space="preserve">0 ≤ discount ≤ 40% — the policy ceiling</w:t>
            </w:r>
          </w:p>
        </w:tc>
      </w:tr>
      <w:tr>
        <w:tc>
          <w:tcPr>
            <w:tcW w:w="2500" w:type="dxa"/>
            <w:tcMar>
              <w:top w:w="120" w:type="dxa"/>
              <w:left w:w="180" w:type="dxa"/>
              <w:bottom w:w="120" w:type="dxa"/>
              <w:right w:w="180" w:type="dxa"/>
            </w:tcMar>
          </w:tcPr>
          <w:p>
            <w:pPr>
              <w:spacing w:after="0"/>
            </w:pPr>
            <w:r>
              <w:t xml:space="preserve">CTO-Inventory-Not-Negative</w:t>
            </w:r>
          </w:p>
        </w:tc>
        <w:tc>
          <w:tcPr>
            <w:tcW w:w="3430" w:type="dxa"/>
            <w:tcMar>
              <w:top w:w="120" w:type="dxa"/>
              <w:left w:w="180" w:type="dxa"/>
              <w:bottom w:w="120" w:type="dxa"/>
              <w:right w:w="180" w:type="dxa"/>
            </w:tcMar>
          </w:tcPr>
          <w:p>
            <w:pPr>
              <w:spacing w:after="0"/>
            </w:pPr>
            <w:r>
              <w:t xml:space="preserve">Consistency</w:t>
            </w:r>
          </w:p>
        </w:tc>
        <w:tc>
          <w:tcPr>
            <w:tcW w:w="3430" w:type="dxa"/>
            <w:tcMar>
              <w:top w:w="120" w:type="dxa"/>
              <w:left w:w="180" w:type="dxa"/>
              <w:bottom w:w="120" w:type="dxa"/>
              <w:right w:w="180" w:type="dxa"/>
            </w:tcMar>
          </w:tcPr>
          <w:p>
            <w:pPr>
              <w:spacing w:after="0"/>
            </w:pPr>
            <w:r>
              <w:t xml:space="preserve">On-hand stock can never be negative</w:t>
            </w:r>
          </w:p>
        </w:tc>
      </w:tr>
    </w:tbl>
    <w:p>
      <w:pPr>
        <w:spacing w:after="120"/>
      </w:pPr>
    </w:p>
    <w:p>
      <w:pPr>
        <w:spacing w:after="120"/>
      </w:pPr>
      <w:r>
        <w:t xml:space="preserve">Configure each rule the same way:</w:t>
      </w:r>
    </w:p>
    <w:p>
      <w:pPr>
        <w:pStyle w:val="ListParagraph"/>
        <w:numPr>
          <w:ilvl w:val="0"/>
          <w:numId w:val="105"/>
        </w:numPr>
        <w:spacing w:after="80" w:line="264" w:lineRule="auto"/>
      </w:pPr>
      <w:r>
        <w:t xml:space="preserve">Open </w:t>
      </w:r>
      <w:r>
        <w:rPr>
          <w:b/>
          <w:bCs/>
        </w:rPr>
        <w:t xml:space="preserve">Data Operations → Business Rules card → Business Rules</w:t>
      </w:r>
      <w:r>
        <w:t xml:space="preserve">.</w:t>
      </w:r>
    </w:p>
    <w:p>
      <w:pPr>
        <w:pStyle w:val="ListParagraph"/>
        <w:numPr>
          <w:ilvl w:val="0"/>
          <w:numId w:val="105"/>
        </w:numPr>
        <w:spacing w:after="80" w:line="264" w:lineRule="auto"/>
      </w:pPr>
      <w:r>
        <w:t xml:space="preserve">Click </w:t>
      </w:r>
      <w:r>
        <w:rPr>
          <w:b/>
          <w:bCs/>
        </w:rPr>
        <w:t xml:space="preserve">Add Business Rule</w:t>
      </w:r>
      <w:r>
        <w:t xml:space="preserve"> and enter the rule's name from the table.</w:t>
      </w:r>
    </w:p>
    <w:p>
      <w:pPr>
        <w:pStyle w:val="ListParagraph"/>
        <w:numPr>
          <w:ilvl w:val="0"/>
          <w:numId w:val="105"/>
        </w:numPr>
        <w:spacing w:after="80" w:line="264" w:lineRule="auto"/>
      </w:pPr>
      <w:r>
        <w:t xml:space="preserve">Click </w:t>
      </w:r>
      <w:r>
        <w:rPr>
          <w:b/>
          <w:bCs/>
        </w:rPr>
        <w:t xml:space="preserve">Create Business Rule</w:t>
      </w:r>
      <w:r>
        <w:t xml:space="preserve">, then </w:t>
      </w:r>
      <w:r>
        <w:rPr>
          <w:b/>
          <w:bCs/>
        </w:rPr>
        <w:t xml:space="preserve">Configure</w:t>
      </w:r>
      <w:r>
        <w:t xml:space="preserve">.</w:t>
      </w:r>
    </w:p>
    <w:p>
      <w:pPr>
        <w:pStyle w:val="ListParagraph"/>
        <w:numPr>
          <w:ilvl w:val="0"/>
          <w:numId w:val="105"/>
        </w:numPr>
        <w:spacing w:after="80" w:line="264" w:lineRule="auto"/>
      </w:pPr>
      <w:r>
        <w:t xml:space="preserve">Set the Business Rule Type and the Data Quality </w:t>
      </w:r>
      <w:r>
        <w:rPr>
          <w:b/>
          <w:bCs/>
        </w:rPr>
        <w:t xml:space="preserve">Dimension</w:t>
      </w:r>
      <w:r>
        <w:t xml:space="preserve"> shown in the table (the seven dimensions are Accuracy, Uniqueness, Consistency, Timeliness, Conformity, Completeness, and Validity).</w:t>
      </w:r>
    </w:p>
    <w:p>
      <w:pPr>
        <w:pStyle w:val="ListParagraph"/>
        <w:numPr>
          <w:ilvl w:val="0"/>
          <w:numId w:val="105"/>
        </w:numPr>
        <w:spacing w:after="80" w:line="264" w:lineRule="auto"/>
      </w:pPr>
      <w:r>
        <w:t xml:space="preserve">Set the </w:t>
      </w:r>
      <w:r>
        <w:rPr>
          <w:b/>
          <w:bCs/>
        </w:rPr>
        <w:t xml:space="preserve">Schedule</w:t>
      </w:r>
      <w:r>
        <w:t xml:space="preserve"> (Daily / Weekly / Monthly) — a rule that runs on a schedule is compliance you can trend.</w:t>
      </w:r>
    </w:p>
    <w:p>
      <w:pPr>
        <w:pStyle w:val="ListParagraph"/>
        <w:numPr>
          <w:ilvl w:val="0"/>
          <w:numId w:val="105"/>
        </w:numPr>
        <w:spacing w:after="80" w:line="264" w:lineRule="auto"/>
      </w:pPr>
      <w:r>
        <w:t xml:space="preserve">Set the rule scope (the target table) and paste the rule's SQL from the assets file into the condition box, then run it.</w:t>
      </w:r>
    </w:p>
    <w:p>
      <w:pPr>
        <w:pBdr>
          <w:top w:val="dashed" w:sz="8" w:space="6" w:color="C8A028"/>
          <w:left w:val="dashed" w:sz="8" w:space="6" w:color="C8A028"/>
          <w:bottom w:val="dashed" w:sz="8" w:space="6" w:color="C8A028"/>
          <w:right w:val="dashed" w:sz="8" w:space="6" w:color="C8A028"/>
        </w:pBdr>
        <w:shd w:val="clear" w:color="auto" w:fill="FFF7E0"/>
        <w:jc w:val="center"/>
        <w:spacing w:before="120" w:after="200"/>
        <w:ind w:left="240" w:right="240"/>
      </w:pPr>
      <w:r>
        <w:rPr>
          <w:b/>
          <w:bCs/>
          <w:color w:val="8A6D1A"/>
        </w:rPr>
        <w:t xml:space="preserve">📷  SCREENSHOT — Business Rule configuration — flagship rule SQL</w:t>
      </w:r>
    </w:p>
    <w:p>
      <w:pPr>
        <w:spacing w:after="120"/>
      </w:pPr>
      <w:r>
        <w:rPr>
          <w:b/>
          <w:bCs/>
        </w:rPr>
        <w:t xml:space="preserve">Read the results.</w:t>
      </w:r>
      <w:r>
        <w:t xml:space="preserve"> The flagship rule reports </w:t>
      </w:r>
      <w:r>
        <w:rPr>
          <w:b/>
          <w:bCs/>
        </w:rPr>
        <w:t xml:space="preserve">3 in scope</w:t>
      </w:r>
      <w:r>
        <w:t xml:space="preserve"> (the opted-out customers) and </w:t>
      </w:r>
      <w:r>
        <w:rPr>
          <w:b/>
          <w:bCs/>
        </w:rPr>
        <w:t xml:space="preserve">3 non-compliant</w:t>
      </w:r>
      <w:r>
        <w:t xml:space="preserve"> (all still carry live emails) — exactly the gap a marketing extract must suppress. </w:t>
      </w:r>
      <w:r>
        <w:rPr>
          <w:rFonts w:ascii="Consolas" w:hAnsi="Consolas"/>
          <w:color w:val="0A5560"/>
          <w:sz w:val="20"/>
          <w:szCs w:val="20"/>
        </w:rPr>
        <w:t xml:space="preserve">CTO-PCI-No-Full-PAN</w:t>
      </w:r>
      <w:r>
        <w:t xml:space="preserve"> reports </w:t>
      </w:r>
      <w:r>
        <w:rPr>
          <w:b/>
          <w:bCs/>
        </w:rPr>
        <w:t xml:space="preserve">6/6 non-compliant</w:t>
      </w:r>
      <w:r>
        <w:t xml:space="preserve">: the planted PCI violation from Workshop 2, now measured — and the same finding the SAQ attestation in the document store reports as NON-COMPLIANT. </w:t>
      </w:r>
      <w:r>
        <w:rPr>
          <w:rFonts w:ascii="Consolas" w:hAnsi="Consolas"/>
          <w:color w:val="0A5560"/>
          <w:sz w:val="20"/>
          <w:szCs w:val="20"/>
        </w:rPr>
        <w:t xml:space="preserve">CTO-Discount-Within-Policy</w:t>
      </w:r>
      <w:r>
        <w:t xml:space="preserve"> reports </w:t>
      </w:r>
      <w:r>
        <w:rPr>
          <w:b/>
          <w:bCs/>
        </w:rPr>
        <w:t xml:space="preserve">1 non-compliant of 25</w:t>
      </w:r>
      <w:r>
        <w:t xml:space="preserve">: the 50% clearance line whose VP exception the returns-policy audit could not find. The other three rules pass — which is just as informative, because they will keep passing (or start failing) on their schedule, without anyone remembering to check.</w:t>
      </w:r>
    </w:p>
    <w:p>
      <w:pPr>
        <w:pBdr>
          <w:top w:val="dashed" w:sz="8" w:space="6" w:color="C8A028"/>
          <w:left w:val="dashed" w:sz="8" w:space="6" w:color="C8A028"/>
          <w:bottom w:val="dashed" w:sz="8" w:space="6" w:color="C8A028"/>
          <w:right w:val="dashed" w:sz="8" w:space="6" w:color="C8A028"/>
        </w:pBdr>
        <w:shd w:val="clear" w:color="auto" w:fill="FFF7E0"/>
        <w:jc w:val="center"/>
        <w:spacing w:before="120" w:after="200"/>
        <w:ind w:left="240" w:right="240"/>
      </w:pPr>
      <w:r>
        <w:rPr>
          <w:b/>
          <w:bCs/>
          <w:color w:val="8A6D1A"/>
        </w:rPr>
        <w:t xml:space="preserve">📷  SCREENSHOT — Business Rules dashboard — pass/fail statuses</w:t>
      </w:r>
    </w:p>
    <w:p>
      <w:pPr>
        <w:pStyle w:val="Heading1"/>
      </w:pPr>
      <w:r>
        <w:t xml:space="preserve">Verify your work</w:t>
      </w:r>
    </w:p>
    <w:p>
      <w:pPr>
        <w:pStyle w:val="ListParagraph"/>
        <w:numPr>
          <w:ilvl w:val="0"/>
          <w:numId w:val="2"/>
        </w:numPr>
        <w:spacing w:after="60"/>
      </w:pPr>
      <w:r>
        <w:t xml:space="preserve">☐  All eleven </w:t>
      </w:r>
      <w:r>
        <w:rPr>
          <w:rFonts w:ascii="Consolas" w:hAnsi="Consolas"/>
          <w:color w:val="0A5560"/>
          <w:sz w:val="20"/>
          <w:szCs w:val="20"/>
        </w:rPr>
        <w:t xml:space="preserve">cto_retail</w:t>
      </w:r>
      <w:r>
        <w:t xml:space="preserve"> tables show a Row Count and a profiled date.</w:t>
      </w:r>
    </w:p>
    <w:p>
      <w:pPr>
        <w:pStyle w:val="ListParagraph"/>
        <w:numPr>
          <w:ilvl w:val="0"/>
          <w:numId w:val="2"/>
        </w:numPr>
        <w:spacing w:after="60"/>
      </w:pPr>
      <w:r>
        <w:t xml:space="preserve">☐  Column-level statistics (Null Count, Cardinality, Uniqueness) and Sample Data are visible on </w:t>
      </w:r>
      <w:r>
        <w:rPr>
          <w:rFonts w:ascii="Consolas" w:hAnsi="Consolas"/>
          <w:color w:val="0A5560"/>
          <w:sz w:val="20"/>
          <w:szCs w:val="20"/>
        </w:rPr>
        <w:t xml:space="preserve">customers</w:t>
      </w:r>
      <w:r>
        <w:t xml:space="preserve"> and </w:t>
      </w:r>
      <w:r>
        <w:rPr>
          <w:rFonts w:ascii="Consolas" w:hAnsi="Consolas"/>
          <w:color w:val="0A5560"/>
          <w:sz w:val="20"/>
          <w:szCs w:val="20"/>
        </w:rPr>
        <w:t xml:space="preserve">order_items</w:t>
      </w:r>
      <w:r>
        <w:t xml:space="preserve">.</w:t>
      </w:r>
    </w:p>
    <w:p>
      <w:pPr>
        <w:pStyle w:val="ListParagraph"/>
        <w:numPr>
          <w:ilvl w:val="0"/>
          <w:numId w:val="2"/>
        </w:numPr>
        <w:spacing w:after="60"/>
      </w:pPr>
      <w:r>
        <w:t xml:space="preserve">☐  Once every related table in the schema is profiled, the PK/FK column shows </w:t>
      </w:r>
      <w:r>
        <w:rPr>
          <w:rFonts w:ascii="Consolas" w:hAnsi="Consolas"/>
          <w:color w:val="0A5560"/>
          <w:sz w:val="20"/>
          <w:szCs w:val="20"/>
        </w:rPr>
        <w:t xml:space="preserve">cust_id</w:t>
      </w:r>
      <w:r>
        <w:t xml:space="preserve"> as the primary key on </w:t>
      </w:r>
      <w:r>
        <w:rPr>
          <w:rFonts w:ascii="Consolas" w:hAnsi="Consolas"/>
          <w:color w:val="0A5560"/>
          <w:sz w:val="20"/>
          <w:szCs w:val="20"/>
        </w:rPr>
        <w:t xml:space="preserve">customers</w:t>
      </w:r>
      <w:r>
        <w:t xml:space="preserve">; the CTO schema already declares the keys, so the remaining step is profiling the full related set.</w:t>
      </w:r>
    </w:p>
    <w:p>
      <w:pPr>
        <w:pStyle w:val="ListParagraph"/>
        <w:numPr>
          <w:ilvl w:val="0"/>
          <w:numId w:val="2"/>
        </w:numPr>
        <w:spacing w:after="60"/>
      </w:pPr>
      <w:r>
        <w:t xml:space="preserve">☐  After Calculate Trust Score, the </w:t>
      </w:r>
      <w:r>
        <w:rPr>
          <w:rFonts w:ascii="Consolas" w:hAnsi="Consolas"/>
          <w:color w:val="0A5560"/>
          <w:sz w:val="20"/>
          <w:szCs w:val="20"/>
        </w:rPr>
        <w:t xml:space="preserve">customers</w:t>
      </w:r>
      <w:r>
        <w:t xml:space="preserve"> Trust Score is no longer 0 / Untrusted.</w:t>
      </w:r>
    </w:p>
    <w:p>
      <w:pPr>
        <w:pStyle w:val="ListParagraph"/>
        <w:numPr>
          <w:ilvl w:val="0"/>
          <w:numId w:val="2"/>
        </w:numPr>
        <w:spacing w:after="60"/>
      </w:pPr>
      <w:r>
        <w:t xml:space="preserve">☐  The </w:t>
      </w:r>
      <w:r>
        <w:rPr>
          <w:rFonts w:ascii="Consolas" w:hAnsi="Consolas"/>
          <w:color w:val="0A5560"/>
          <w:sz w:val="20"/>
          <w:szCs w:val="20"/>
        </w:rPr>
        <w:t xml:space="preserve">cto-documents</w:t>
      </w:r>
      <w:r>
        <w:t xml:space="preserve"> folders are discovered and their text is searchable.</w:t>
      </w:r>
    </w:p>
    <w:p>
      <w:pPr>
        <w:pStyle w:val="ListParagraph"/>
        <w:numPr>
          <w:ilvl w:val="0"/>
          <w:numId w:val="2"/>
        </w:numPr>
        <w:spacing w:after="60"/>
      </w:pPr>
      <w:r>
        <w:t xml:space="preserve">☐  Six business rules are configured and evaluated; the flagship, PCI and discount rules show the expected failures — and you can say why.</w:t>
      </w:r>
    </w:p>
    <w:p>
      <w:pPr>
        <w:pStyle w:val="ListParagraph"/>
        <w:numPr>
          <w:ilvl w:val="0"/>
          <w:numId w:val="2"/>
        </w:numPr>
        <w:spacing w:after="60"/>
      </w:pPr>
      <w:r>
        <w:t xml:space="preserve">☐  You can name the four Trust Score inputs and say which one requires the Pentaho Data Quality add-on.</w:t>
      </w:r>
    </w:p>
    <w:p>
      <w:pPr>
        <w:pStyle w:val="Heading1"/>
      </w:pPr>
      <w:r>
        <w:t xml:space="preserve">Troubleshooting</w:t>
      </w:r>
    </w:p>
    <w:tbl>
      <w:tblPr>
        <w:tblW w:w="9360" w:type="dxa"/>
        <w:tblBorders>
          <w:top w:val="single" w:sz="4" w:space="0" w:color="C9DEE8"/>
          <w:left w:val="single" w:sz="4" w:space="0" w:color="C9DEE8"/>
          <w:bottom w:val="single" w:sz="4" w:space="0" w:color="C9DEE8"/>
          <w:right w:val="single" w:sz="4" w:space="0" w:color="C9DEE8"/>
          <w:insideH w:val="single" w:sz="4" w:space="0" w:color="C9DEE8"/>
          <w:insideV w:val="single" w:sz="4" w:space="0" w:color="C9DEE8"/>
        </w:tblBorders>
      </w:tblPr>
      <w:tblGrid>
        <w:gridCol w:w="2900"/>
        <w:gridCol w:w="6460"/>
      </w:tblGrid>
      <w:tr>
        <w:tc>
          <w:tcPr>
            <w:tcW w:w="2900" w:type="dxa"/>
            <w:shd w:val="clear" w:color="auto" w:fill="EEF6FA"/>
            <w:tcBorders>
              <w:left w:val="single" w:sz="12" w:space="0" w:color="065A82"/>
            </w:tcBorders>
            <w:tcMar>
              <w:top w:w="120" w:type="dxa"/>
              <w:left w:w="180" w:type="dxa"/>
              <w:bottom w:w="120" w:type="dxa"/>
              <w:right w:w="180" w:type="dxa"/>
            </w:tcMar>
          </w:tcPr>
          <w:p>
            <w:pPr>
              <w:spacing w:after="0"/>
            </w:pPr>
            <w:r>
              <w:rPr>
                <w:b/>
                <w:bCs/>
              </w:rPr>
              <w:t xml:space="preserve">Symptom</w:t>
            </w:r>
          </w:p>
        </w:tc>
        <w:tc>
          <w:tcPr>
            <w:tcW w:w="6460" w:type="dxa"/>
            <w:shd w:val="clear" w:color="auto" w:fill="EEF6FA"/>
            <w:tcMar>
              <w:top w:w="120" w:type="dxa"/>
              <w:left w:w="180" w:type="dxa"/>
              <w:bottom w:w="120" w:type="dxa"/>
              <w:right w:w="180" w:type="dxa"/>
            </w:tcMar>
          </w:tcPr>
          <w:p>
            <w:pPr>
              <w:spacing w:after="0"/>
            </w:pPr>
            <w:r>
              <w:rPr>
                <w:b/>
                <w:bCs/>
              </w:rPr>
              <w:t xml:space="preserve">Cause and fix</w:t>
            </w:r>
          </w:p>
        </w:tc>
      </w:tr>
      <w:tr>
        <w:tc>
          <w:tcPr>
            <w:tcW w:w="2900" w:type="dxa"/>
            <w:tcMar>
              <w:top w:w="120" w:type="dxa"/>
              <w:left w:w="180" w:type="dxa"/>
              <w:bottom w:w="120" w:type="dxa"/>
              <w:right w:w="180" w:type="dxa"/>
            </w:tcMar>
          </w:tcPr>
          <w:p>
            <w:pPr>
              <w:spacing w:after="0"/>
            </w:pPr>
            <w:r>
              <w:t xml:space="preserve">PK/FK still blank after profiling</w:t>
            </w:r>
          </w:p>
        </w:tc>
        <w:tc>
          <w:tcPr>
            <w:tcW w:w="6460" w:type="dxa"/>
            <w:tcMar>
              <w:top w:w="120" w:type="dxa"/>
              <w:left w:w="180" w:type="dxa"/>
              <w:bottom w:w="120" w:type="dxa"/>
              <w:right w:w="180" w:type="dxa"/>
            </w:tcMar>
          </w:tcPr>
          <w:p>
            <w:pPr>
              <w:spacing w:after="0"/>
            </w:pPr>
            <w:r>
              <w:t xml:space="preserve">Foreign-key detection is cross-table, so it needs every related table profiled, not just this one. Confirm the keys are declared in the source (the CTO schema declares them all), then run Metadata Ingest and Data Profiling across the whole </w:t>
            </w:r>
            <w:r>
              <w:rPr>
                <w:rFonts w:ascii="Consolas" w:hAnsi="Consolas"/>
                <w:color w:val="0A5560"/>
                <w:sz w:val="20"/>
                <w:szCs w:val="20"/>
              </w:rPr>
              <w:t xml:space="preserve">cto_retail</w:t>
            </w:r>
            <w:r>
              <w:t xml:space="preserve"> schema and check the Workers page. If it is still blank after every related table is profiled, the schema is provably correct, so treat it as a Data Catalog scan or version question for Pentaho support.</w:t>
            </w:r>
          </w:p>
        </w:tc>
      </w:tr>
      <w:tr>
        <w:tc>
          <w:tcPr>
            <w:tcW w:w="2900" w:type="dxa"/>
            <w:tcMar>
              <w:top w:w="120" w:type="dxa"/>
              <w:left w:w="180" w:type="dxa"/>
              <w:bottom w:w="120" w:type="dxa"/>
              <w:right w:w="180" w:type="dxa"/>
            </w:tcMar>
          </w:tcPr>
          <w:p>
            <w:pPr>
              <w:spacing w:after="0"/>
            </w:pPr>
            <w:r>
              <w:t xml:space="preserve">Data Quality shows Not Computed</w:t>
            </w:r>
          </w:p>
        </w:tc>
        <w:tc>
          <w:tcPr>
            <w:tcW w:w="6460" w:type="dxa"/>
            <w:tcMar>
              <w:top w:w="120" w:type="dxa"/>
              <w:left w:w="180" w:type="dxa"/>
              <w:bottom w:w="120" w:type="dxa"/>
              <w:right w:w="180" w:type="dxa"/>
            </w:tcMar>
          </w:tcPr>
          <w:p>
            <w:pPr>
              <w:spacing w:after="0"/>
            </w:pPr>
            <w:r>
              <w:t xml:space="preserve">The Data Quality metric requires the Pentaho Data Quality add-on and the Data Quality Loader. Profiling alone does not populate it; the rest of the Trust Score still computes.</w:t>
            </w:r>
          </w:p>
        </w:tc>
      </w:tr>
      <w:tr>
        <w:tc>
          <w:tcPr>
            <w:tcW w:w="2900" w:type="dxa"/>
            <w:tcMar>
              <w:top w:w="120" w:type="dxa"/>
              <w:left w:w="180" w:type="dxa"/>
              <w:bottom w:w="120" w:type="dxa"/>
              <w:right w:w="180" w:type="dxa"/>
            </w:tcMar>
          </w:tcPr>
          <w:p>
            <w:pPr>
              <w:spacing w:after="0"/>
            </w:pPr>
            <w:r>
              <w:t xml:space="preserve">Row count or samples missing</w:t>
            </w:r>
          </w:p>
        </w:tc>
        <w:tc>
          <w:tcPr>
            <w:tcW w:w="6460" w:type="dxa"/>
            <w:tcMar>
              <w:top w:w="120" w:type="dxa"/>
              <w:left w:w="180" w:type="dxa"/>
              <w:bottom w:w="120" w:type="dxa"/>
              <w:right w:w="180" w:type="dxa"/>
            </w:tcMar>
          </w:tcPr>
          <w:p>
            <w:pPr>
              <w:spacing w:after="0"/>
            </w:pPr>
            <w:r>
              <w:t xml:space="preserve">The table was not profiled, or Extract Samples was disabled. Re-run Data Profiling with the default settings.</w:t>
            </w:r>
          </w:p>
        </w:tc>
      </w:tr>
      <w:tr>
        <w:tc>
          <w:tcPr>
            <w:tcW w:w="2900" w:type="dxa"/>
            <w:tcMar>
              <w:top w:w="120" w:type="dxa"/>
              <w:left w:w="180" w:type="dxa"/>
              <w:bottom w:w="120" w:type="dxa"/>
              <w:right w:w="180" w:type="dxa"/>
            </w:tcMar>
          </w:tcPr>
          <w:p>
            <w:pPr>
              <w:spacing w:after="0"/>
            </w:pPr>
            <w:r>
              <w:t xml:space="preserve">Profiling skips a table</w:t>
            </w:r>
          </w:p>
        </w:tc>
        <w:tc>
          <w:tcPr>
            <w:tcW w:w="6460" w:type="dxa"/>
            <w:tcMar>
              <w:top w:w="120" w:type="dxa"/>
              <w:left w:w="180" w:type="dxa"/>
              <w:bottom w:w="120" w:type="dxa"/>
              <w:right w:w="180" w:type="dxa"/>
            </w:tcMar>
          </w:tcPr>
          <w:p>
            <w:pPr>
              <w:spacing w:after="0"/>
            </w:pPr>
            <w:r>
              <w:t xml:space="preserve">Skip Recent (days) may be set, so a table profiled within that window is skipped. Clear the value or wait.</w:t>
            </w:r>
          </w:p>
        </w:tc>
      </w:tr>
      <w:tr>
        <w:tc>
          <w:tcPr>
            <w:tcW w:w="2900" w:type="dxa"/>
            <w:tcMar>
              <w:top w:w="120" w:type="dxa"/>
              <w:left w:w="180" w:type="dxa"/>
              <w:bottom w:w="120" w:type="dxa"/>
              <w:right w:w="180" w:type="dxa"/>
            </w:tcMar>
          </w:tcPr>
          <w:p>
            <w:pPr>
              <w:spacing w:after="0"/>
            </w:pPr>
            <w:r>
              <w:t xml:space="preserve">Cannot create a business rule</w:t>
            </w:r>
          </w:p>
        </w:tc>
        <w:tc>
          <w:tcPr>
            <w:tcW w:w="6460" w:type="dxa"/>
            <w:tcMar>
              <w:top w:w="120" w:type="dxa"/>
              <w:left w:w="180" w:type="dxa"/>
              <w:bottom w:w="120" w:type="dxa"/>
              <w:right w:w="180" w:type="dxa"/>
            </w:tcMar>
          </w:tcPr>
          <w:p>
            <w:pPr>
              <w:spacing w:after="0"/>
            </w:pPr>
            <w:r>
              <w:t xml:space="preserve">In PDC v11, Business Rules are authored by the </w:t>
            </w:r>
            <w:r>
              <w:rPr>
                <w:b/>
                <w:bCs/>
              </w:rPr>
              <w:t xml:space="preserve">Data Developer</w:t>
            </w:r>
            <w:r>
              <w:t xml:space="preserve"> role — </w:t>
            </w:r>
            <w:r>
              <w:rPr>
                <w:rFonts w:ascii="Consolas" w:hAnsi="Consolas"/>
                <w:color w:val="0A5560"/>
                <w:sz w:val="20"/>
                <w:szCs w:val="20"/>
              </w:rPr>
              <w:t xml:space="preserve">tessa.nguyen</w:t>
            </w:r>
            <w:r>
              <w:t xml:space="preserve"> in the CTO cast. The Admin role can view but not create them; a Data Steward cannot author them either.</w:t>
            </w:r>
          </w:p>
        </w:tc>
      </w:tr>
      <w:tr>
        <w:tc>
          <w:tcPr>
            <w:tcW w:w="2900" w:type="dxa"/>
            <w:tcMar>
              <w:top w:w="120" w:type="dxa"/>
              <w:left w:w="180" w:type="dxa"/>
              <w:bottom w:w="120" w:type="dxa"/>
              <w:right w:w="180" w:type="dxa"/>
            </w:tcMar>
          </w:tcPr>
          <w:p>
            <w:pPr>
              <w:spacing w:after="0"/>
            </w:pPr>
            <w:r>
              <w:t xml:space="preserve">Rule saves but never evaluates</w:t>
            </w:r>
          </w:p>
        </w:tc>
        <w:tc>
          <w:tcPr>
            <w:tcW w:w="6460" w:type="dxa"/>
            <w:tcMar>
              <w:top w:w="120" w:type="dxa"/>
              <w:left w:w="180" w:type="dxa"/>
              <w:bottom w:w="120" w:type="dxa"/>
              <w:right w:w="180" w:type="dxa"/>
            </w:tcMar>
          </w:tcPr>
          <w:p>
            <w:pPr>
              <w:spacing w:after="0"/>
            </w:pPr>
            <w:r>
              <w:t xml:space="preserve">The SQL must return exactly the three-column contract — </w:t>
            </w:r>
            <w:r>
              <w:rPr>
                <w:rFonts w:ascii="Consolas" w:hAnsi="Consolas"/>
                <w:color w:val="0A5560"/>
                <w:sz w:val="20"/>
                <w:szCs w:val="20"/>
              </w:rPr>
              <w:t xml:space="preserve">total_count</w:t>
            </w:r>
            <w:r>
              <w:t xml:space="preserve">, </w:t>
            </w:r>
            <w:r>
              <w:rPr>
                <w:rFonts w:ascii="Consolas" w:hAnsi="Consolas"/>
                <w:color w:val="0A5560"/>
                <w:sz w:val="20"/>
                <w:szCs w:val="20"/>
              </w:rPr>
              <w:t xml:space="preserve">scopeCount</w:t>
            </w:r>
            <w:r>
              <w:t xml:space="preserve">, </w:t>
            </w:r>
            <w:r>
              <w:rPr>
                <w:rFonts w:ascii="Consolas" w:hAnsi="Consolas"/>
                <w:color w:val="0A5560"/>
                <w:sz w:val="20"/>
                <w:szCs w:val="20"/>
              </w:rPr>
              <w:t xml:space="preserve">nonCompliant</w:t>
            </w:r>
            <w:r>
              <w:t xml:space="preserve"> (the quoted casing matters). Paste the conditions from the assets file unchanged.</w:t>
            </w:r>
          </w:p>
        </w:tc>
      </w:tr>
    </w:tbl>
    <w:p>
      <w:pPr>
        <w:spacing w:after="120"/>
      </w:pPr>
    </w:p>
    <w:p>
      <w:pPr>
        <w:pStyle w:val="Heading1"/>
      </w:pPr>
      <w:r>
        <w:t xml:space="preserve">Why it matters &amp; discussion</w:t>
      </w:r>
    </w:p>
    <w:p>
      <w:pPr>
        <w:spacing w:after="120"/>
      </w:pPr>
      <w:r>
        <w:t xml:space="preserve">Profiling is what turns a catalog entry into trustworthy evidence. Before Workshop 4, the </w:t>
      </w:r>
      <w:r>
        <w:rPr>
          <w:rFonts w:ascii="Consolas" w:hAnsi="Consolas"/>
          <w:color w:val="0A5560"/>
          <w:sz w:val="20"/>
          <w:szCs w:val="20"/>
        </w:rPr>
        <w:t xml:space="preserve">customers</w:t>
      </w:r>
      <w:r>
        <w:t xml:space="preserve"> Trust Score was a placeholder; now it rests on measured statistics, discovered keys, and a linked glossary term — and the business rules put numbers on obligations that used to live in a policy binder. Discuss: which of CTO's tables would you profile first, and what does it change that the PCI violation is now a scheduled, failing rule instead of a secret in a column?</w:t>
      </w:r>
    </w:p>
    <w:p>
      <w:pPr>
        <w:pStyle w:val="Heading1"/>
      </w:pPr>
      <w:r>
        <w:t xml:space="preserve">What's next</w:t>
      </w:r>
    </w:p>
    <w:p>
      <w:pPr>
        <w:spacing w:after="120"/>
      </w:pPr>
      <w:r>
        <w:t xml:space="preserve">With the data profiled and keys discovered, the catalog now knows the shape and quality of CTO's data. Workshop 5 puts that to work for compliance: Data Identification scans the profiled tables with dictionaries and patterns to flag PII and cardholder data automatically, and you set the Sensitivity that protects CTO's customers — including hunting down the stored PANs the failing PCI rule just exposed.</w:t>
      </w:r>
    </w:p>
    <w:p>
      <w:pPr>
        <w:spacing w:after="120"/>
      </w:pPr>
      <w:r>
        <w:t xml:space="preserve">All Canyon Trail Outfitters data is fictional and generated for training.</w:t>
      </w:r>
    </w:p>
    <w:sectPr w:rsidR="008D3CFE">
      <w:headerReference w:type="default" r:id="rId15"/>
      <w:footerReference w:type="default" r:id="rId1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529D4B" w14:textId="77777777" w:rsidR="006857E2" w:rsidRDefault="006857E2">
      <w:r>
        <w:separator/>
      </w:r>
    </w:p>
  </w:endnote>
  <w:endnote w:type="continuationSeparator" w:id="0">
    <w:p w14:paraId="7FA6F3A1" w14:textId="77777777" w:rsidR="006857E2" w:rsidRDefault="006857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74279" w14:textId="77777777" w:rsidR="008D3CFE" w:rsidRDefault="00605B5A">
    <w:pPr>
      <w:jc w:val="center"/>
    </w:pPr>
    <w:r>
      <w:rPr>
        <w:color w:val="5B7782"/>
        <w:sz w:val="16"/>
        <w:szCs w:val="16"/>
      </w:rPr>
      <w:t xml:space="preserve">Copper State Credit Union </w:t>
    </w:r>
    <w:proofErr w:type="gramStart"/>
    <w:r>
      <w:rPr>
        <w:color w:val="5B7782"/>
        <w:sz w:val="16"/>
        <w:szCs w:val="16"/>
      </w:rPr>
      <w:t>·</w:t>
    </w:r>
    <w:proofErr w:type="gramEnd"/>
    <w:r>
      <w:rPr>
        <w:color w:val="5B7782"/>
        <w:sz w:val="16"/>
        <w:szCs w:val="16"/>
      </w:rPr>
      <w:t xml:space="preserve">  Page </w:t>
    </w:r>
    <w:r>
      <w:rPr>
        <w:color w:val="5B7782"/>
        <w:sz w:val="16"/>
        <w:szCs w:val="16"/>
      </w:rPr>
      <w:fldChar w:fldCharType="begin"/>
    </w:r>
    <w:r>
      <w:rPr>
        <w:color w:val="5B7782"/>
        <w:sz w:val="16"/>
        <w:szCs w:val="16"/>
      </w:rPr>
      <w:instrText>PAGE</w:instrText>
    </w:r>
    <w:r>
      <w:rPr>
        <w:color w:val="5B7782"/>
        <w:sz w:val="16"/>
        <w:szCs w:val="16"/>
      </w:rPr>
      <w:fldChar w:fldCharType="separate"/>
    </w:r>
    <w:r w:rsidR="00221817">
      <w:rPr>
        <w:noProof/>
        <w:color w:val="5B7782"/>
        <w:sz w:val="16"/>
        <w:szCs w:val="16"/>
      </w:rPr>
      <w:t>1</w:t>
    </w:r>
    <w:r>
      <w:rPr>
        <w:color w:val="5B7782"/>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5570F8" w14:textId="77777777" w:rsidR="006857E2" w:rsidRDefault="006857E2">
      <w:r>
        <w:separator/>
      </w:r>
    </w:p>
  </w:footnote>
  <w:footnote w:type="continuationSeparator" w:id="0">
    <w:p w14:paraId="333FA445" w14:textId="77777777" w:rsidR="006857E2" w:rsidRDefault="006857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48CD8" w14:textId="77777777" w:rsidR="008D3CFE" w:rsidRDefault="00605B5A">
    <w:pPr>
      <w:pBdr>
        <w:bottom w:val="single" w:sz="4" w:space="4" w:color="C9DEE8"/>
      </w:pBdr>
      <w:jc w:val="right"/>
    </w:pPr>
    <w:r>
      <w:rPr>
        <w:color w:val="5B7782"/>
        <w:sz w:val="16"/>
        <w:szCs w:val="16"/>
      </w:rPr>
      <w:t xml:space="preserve">Pentaho Data </w:t>
    </w:r>
    <w:proofErr w:type="gramStart"/>
    <w:r w:rsidR="00667F6B">
      <w:rPr>
        <w:color w:val="5B7782"/>
        <w:sz w:val="16"/>
        <w:szCs w:val="16"/>
      </w:rPr>
      <w:t>Catalog</w:t>
    </w:r>
    <w:r>
      <w:rPr>
        <w:color w:val="5B7782"/>
        <w:sz w:val="16"/>
        <w:szCs w:val="16"/>
      </w:rPr>
      <w:t xml:space="preserve">  ·</w:t>
    </w:r>
    <w:proofErr w:type="gramEnd"/>
    <w:r>
      <w:rPr>
        <w:color w:val="5B7782"/>
        <w:sz w:val="16"/>
        <w:szCs w:val="16"/>
      </w:rPr>
      <w:t xml:space="preserve">  Workshop 4: Profile Data &amp; Assess Quality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814E2"/>
    <w:multiLevelType w:val="hybridMultilevel"/>
    <w:tmpl w:val="A5FC58DC"/>
    <w:lvl w:ilvl="0" w:tplc="8D1CCBB0">
      <w:start w:val="1"/>
      <w:numFmt w:val="decimal"/>
      <w:lvlText w:val="%1."/>
      <w:lvlJc w:val="left"/>
      <w:pPr>
        <w:ind w:left="600" w:hanging="320"/>
      </w:pPr>
    </w:lvl>
    <w:lvl w:ilvl="1" w:tplc="AD4CB1E8">
      <w:numFmt w:val="decimal"/>
      <w:lvlText w:val=""/>
      <w:lvlJc w:val="left"/>
    </w:lvl>
    <w:lvl w:ilvl="2" w:tplc="B0A409C2">
      <w:numFmt w:val="decimal"/>
      <w:lvlText w:val=""/>
      <w:lvlJc w:val="left"/>
    </w:lvl>
    <w:lvl w:ilvl="3" w:tplc="D87CBDF2">
      <w:numFmt w:val="decimal"/>
      <w:lvlText w:val=""/>
      <w:lvlJc w:val="left"/>
    </w:lvl>
    <w:lvl w:ilvl="4" w:tplc="83781EE6">
      <w:numFmt w:val="decimal"/>
      <w:lvlText w:val=""/>
      <w:lvlJc w:val="left"/>
    </w:lvl>
    <w:lvl w:ilvl="5" w:tplc="BCBAE2AC">
      <w:numFmt w:val="decimal"/>
      <w:lvlText w:val=""/>
      <w:lvlJc w:val="left"/>
    </w:lvl>
    <w:lvl w:ilvl="6" w:tplc="5BE6F98E">
      <w:numFmt w:val="decimal"/>
      <w:lvlText w:val=""/>
      <w:lvlJc w:val="left"/>
    </w:lvl>
    <w:lvl w:ilvl="7" w:tplc="76143B8A">
      <w:numFmt w:val="decimal"/>
      <w:lvlText w:val=""/>
      <w:lvlJc w:val="left"/>
    </w:lvl>
    <w:lvl w:ilvl="8" w:tplc="7D14F306">
      <w:numFmt w:val="decimal"/>
      <w:lvlText w:val=""/>
      <w:lvlJc w:val="left"/>
    </w:lvl>
  </w:abstractNum>
  <w:abstractNum w:abstractNumId="1" w15:restartNumberingAfterBreak="0">
    <w:nsid w:val="0A4A7AD2"/>
    <w:multiLevelType w:val="hybridMultilevel"/>
    <w:tmpl w:val="3468E5A8"/>
    <w:lvl w:ilvl="0" w:tplc="24A08468">
      <w:start w:val="1"/>
      <w:numFmt w:val="decimal"/>
      <w:lvlText w:val="%1."/>
      <w:lvlJc w:val="left"/>
      <w:pPr>
        <w:ind w:left="600" w:hanging="320"/>
      </w:pPr>
    </w:lvl>
    <w:lvl w:ilvl="1" w:tplc="0D76DC92">
      <w:numFmt w:val="decimal"/>
      <w:lvlText w:val=""/>
      <w:lvlJc w:val="left"/>
    </w:lvl>
    <w:lvl w:ilvl="2" w:tplc="85406DCA">
      <w:numFmt w:val="decimal"/>
      <w:lvlText w:val=""/>
      <w:lvlJc w:val="left"/>
    </w:lvl>
    <w:lvl w:ilvl="3" w:tplc="38EABBB8">
      <w:numFmt w:val="decimal"/>
      <w:lvlText w:val=""/>
      <w:lvlJc w:val="left"/>
    </w:lvl>
    <w:lvl w:ilvl="4" w:tplc="F3A00AF0">
      <w:numFmt w:val="decimal"/>
      <w:lvlText w:val=""/>
      <w:lvlJc w:val="left"/>
    </w:lvl>
    <w:lvl w:ilvl="5" w:tplc="E548B594">
      <w:numFmt w:val="decimal"/>
      <w:lvlText w:val=""/>
      <w:lvlJc w:val="left"/>
    </w:lvl>
    <w:lvl w:ilvl="6" w:tplc="94D2C1F6">
      <w:numFmt w:val="decimal"/>
      <w:lvlText w:val=""/>
      <w:lvlJc w:val="left"/>
    </w:lvl>
    <w:lvl w:ilvl="7" w:tplc="94F60E50">
      <w:numFmt w:val="decimal"/>
      <w:lvlText w:val=""/>
      <w:lvlJc w:val="left"/>
    </w:lvl>
    <w:lvl w:ilvl="8" w:tplc="7B201A58">
      <w:numFmt w:val="decimal"/>
      <w:lvlText w:val=""/>
      <w:lvlJc w:val="left"/>
    </w:lvl>
  </w:abstractNum>
  <w:abstractNum w:abstractNumId="2" w15:restartNumberingAfterBreak="0">
    <w:nsid w:val="120A3742"/>
    <w:multiLevelType w:val="hybridMultilevel"/>
    <w:tmpl w:val="3B0E1704"/>
    <w:lvl w:ilvl="0" w:tplc="5BF8B6E0">
      <w:start w:val="1"/>
      <w:numFmt w:val="decimal"/>
      <w:lvlText w:val="%1."/>
      <w:lvlJc w:val="left"/>
      <w:pPr>
        <w:ind w:left="600" w:hanging="320"/>
      </w:pPr>
    </w:lvl>
    <w:lvl w:ilvl="1" w:tplc="68469B40">
      <w:numFmt w:val="decimal"/>
      <w:lvlText w:val=""/>
      <w:lvlJc w:val="left"/>
    </w:lvl>
    <w:lvl w:ilvl="2" w:tplc="4F0A89D8">
      <w:numFmt w:val="decimal"/>
      <w:lvlText w:val=""/>
      <w:lvlJc w:val="left"/>
    </w:lvl>
    <w:lvl w:ilvl="3" w:tplc="91FCE5FA">
      <w:numFmt w:val="decimal"/>
      <w:lvlText w:val=""/>
      <w:lvlJc w:val="left"/>
    </w:lvl>
    <w:lvl w:ilvl="4" w:tplc="5C9410BC">
      <w:numFmt w:val="decimal"/>
      <w:lvlText w:val=""/>
      <w:lvlJc w:val="left"/>
    </w:lvl>
    <w:lvl w:ilvl="5" w:tplc="7AC077BE">
      <w:numFmt w:val="decimal"/>
      <w:lvlText w:val=""/>
      <w:lvlJc w:val="left"/>
    </w:lvl>
    <w:lvl w:ilvl="6" w:tplc="51E8A040">
      <w:numFmt w:val="decimal"/>
      <w:lvlText w:val=""/>
      <w:lvlJc w:val="left"/>
    </w:lvl>
    <w:lvl w:ilvl="7" w:tplc="40B86658">
      <w:numFmt w:val="decimal"/>
      <w:lvlText w:val=""/>
      <w:lvlJc w:val="left"/>
    </w:lvl>
    <w:lvl w:ilvl="8" w:tplc="C3E83490">
      <w:numFmt w:val="decimal"/>
      <w:lvlText w:val=""/>
      <w:lvlJc w:val="left"/>
    </w:lvl>
  </w:abstractNum>
  <w:abstractNum w:abstractNumId="3" w15:restartNumberingAfterBreak="0">
    <w:nsid w:val="148F5DCE"/>
    <w:multiLevelType w:val="hybridMultilevel"/>
    <w:tmpl w:val="A01CE72A"/>
    <w:lvl w:ilvl="0" w:tplc="FFFFFFFF">
      <w:start w:val="1"/>
      <w:numFmt w:val="decimal"/>
      <w:lvlText w:val="%1."/>
      <w:lvlJc w:val="left"/>
      <w:pPr>
        <w:ind w:left="600" w:hanging="32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14B10B4B"/>
    <w:multiLevelType w:val="hybridMultilevel"/>
    <w:tmpl w:val="F8D6D102"/>
    <w:lvl w:ilvl="0" w:tplc="CAA0FDDC">
      <w:start w:val="1"/>
      <w:numFmt w:val="decimal"/>
      <w:lvlText w:val="%1."/>
      <w:lvlJc w:val="left"/>
      <w:pPr>
        <w:ind w:left="600" w:hanging="320"/>
      </w:pPr>
    </w:lvl>
    <w:lvl w:ilvl="1" w:tplc="97703E68">
      <w:numFmt w:val="decimal"/>
      <w:lvlText w:val=""/>
      <w:lvlJc w:val="left"/>
    </w:lvl>
    <w:lvl w:ilvl="2" w:tplc="980C95CE">
      <w:numFmt w:val="decimal"/>
      <w:lvlText w:val=""/>
      <w:lvlJc w:val="left"/>
    </w:lvl>
    <w:lvl w:ilvl="3" w:tplc="974A7B44">
      <w:numFmt w:val="decimal"/>
      <w:lvlText w:val=""/>
      <w:lvlJc w:val="left"/>
    </w:lvl>
    <w:lvl w:ilvl="4" w:tplc="4E52212E">
      <w:numFmt w:val="decimal"/>
      <w:lvlText w:val=""/>
      <w:lvlJc w:val="left"/>
    </w:lvl>
    <w:lvl w:ilvl="5" w:tplc="39E0C3CC">
      <w:numFmt w:val="decimal"/>
      <w:lvlText w:val=""/>
      <w:lvlJc w:val="left"/>
    </w:lvl>
    <w:lvl w:ilvl="6" w:tplc="DC1C97E8">
      <w:numFmt w:val="decimal"/>
      <w:lvlText w:val=""/>
      <w:lvlJc w:val="left"/>
    </w:lvl>
    <w:lvl w:ilvl="7" w:tplc="1548B33A">
      <w:numFmt w:val="decimal"/>
      <w:lvlText w:val=""/>
      <w:lvlJc w:val="left"/>
    </w:lvl>
    <w:lvl w:ilvl="8" w:tplc="2B00019E">
      <w:numFmt w:val="decimal"/>
      <w:lvlText w:val=""/>
      <w:lvlJc w:val="left"/>
    </w:lvl>
  </w:abstractNum>
  <w:abstractNum w:abstractNumId="5" w15:restartNumberingAfterBreak="0">
    <w:nsid w:val="15F87EFA"/>
    <w:multiLevelType w:val="hybridMultilevel"/>
    <w:tmpl w:val="03541022"/>
    <w:lvl w:ilvl="0" w:tplc="5CD4B2F0">
      <w:start w:val="1"/>
      <w:numFmt w:val="decimal"/>
      <w:lvlText w:val="%1."/>
      <w:lvlJc w:val="left"/>
      <w:pPr>
        <w:ind w:left="600" w:hanging="320"/>
      </w:pPr>
    </w:lvl>
    <w:lvl w:ilvl="1" w:tplc="12C6B930">
      <w:numFmt w:val="decimal"/>
      <w:lvlText w:val=""/>
      <w:lvlJc w:val="left"/>
    </w:lvl>
    <w:lvl w:ilvl="2" w:tplc="EFDC5BD4">
      <w:numFmt w:val="decimal"/>
      <w:lvlText w:val=""/>
      <w:lvlJc w:val="left"/>
    </w:lvl>
    <w:lvl w:ilvl="3" w:tplc="7026F3EE">
      <w:numFmt w:val="decimal"/>
      <w:lvlText w:val=""/>
      <w:lvlJc w:val="left"/>
    </w:lvl>
    <w:lvl w:ilvl="4" w:tplc="77A44C9A">
      <w:numFmt w:val="decimal"/>
      <w:lvlText w:val=""/>
      <w:lvlJc w:val="left"/>
    </w:lvl>
    <w:lvl w:ilvl="5" w:tplc="4940A824">
      <w:numFmt w:val="decimal"/>
      <w:lvlText w:val=""/>
      <w:lvlJc w:val="left"/>
    </w:lvl>
    <w:lvl w:ilvl="6" w:tplc="E5E041F6">
      <w:numFmt w:val="decimal"/>
      <w:lvlText w:val=""/>
      <w:lvlJc w:val="left"/>
    </w:lvl>
    <w:lvl w:ilvl="7" w:tplc="EAFA1556">
      <w:numFmt w:val="decimal"/>
      <w:lvlText w:val=""/>
      <w:lvlJc w:val="left"/>
    </w:lvl>
    <w:lvl w:ilvl="8" w:tplc="E6D64258">
      <w:numFmt w:val="decimal"/>
      <w:lvlText w:val=""/>
      <w:lvlJc w:val="left"/>
    </w:lvl>
  </w:abstractNum>
  <w:abstractNum w:abstractNumId="6" w15:restartNumberingAfterBreak="0">
    <w:nsid w:val="161F6451"/>
    <w:multiLevelType w:val="hybridMultilevel"/>
    <w:tmpl w:val="97BEDC5E"/>
    <w:lvl w:ilvl="0" w:tplc="B21C7772">
      <w:start w:val="1"/>
      <w:numFmt w:val="decimal"/>
      <w:lvlText w:val="%1."/>
      <w:lvlJc w:val="left"/>
      <w:pPr>
        <w:ind w:left="600" w:hanging="320"/>
      </w:pPr>
    </w:lvl>
    <w:lvl w:ilvl="1" w:tplc="CA9AF44C">
      <w:numFmt w:val="decimal"/>
      <w:lvlText w:val=""/>
      <w:lvlJc w:val="left"/>
    </w:lvl>
    <w:lvl w:ilvl="2" w:tplc="8F4841C0">
      <w:numFmt w:val="decimal"/>
      <w:lvlText w:val=""/>
      <w:lvlJc w:val="left"/>
    </w:lvl>
    <w:lvl w:ilvl="3" w:tplc="C742D7AE">
      <w:numFmt w:val="decimal"/>
      <w:lvlText w:val=""/>
      <w:lvlJc w:val="left"/>
    </w:lvl>
    <w:lvl w:ilvl="4" w:tplc="C4047D1E">
      <w:numFmt w:val="decimal"/>
      <w:lvlText w:val=""/>
      <w:lvlJc w:val="left"/>
    </w:lvl>
    <w:lvl w:ilvl="5" w:tplc="5C2EE4EE">
      <w:numFmt w:val="decimal"/>
      <w:lvlText w:val=""/>
      <w:lvlJc w:val="left"/>
    </w:lvl>
    <w:lvl w:ilvl="6" w:tplc="21CCDF4A">
      <w:numFmt w:val="decimal"/>
      <w:lvlText w:val=""/>
      <w:lvlJc w:val="left"/>
    </w:lvl>
    <w:lvl w:ilvl="7" w:tplc="9F5AE56A">
      <w:numFmt w:val="decimal"/>
      <w:lvlText w:val=""/>
      <w:lvlJc w:val="left"/>
    </w:lvl>
    <w:lvl w:ilvl="8" w:tplc="B07C2E7E">
      <w:numFmt w:val="decimal"/>
      <w:lvlText w:val=""/>
      <w:lvlJc w:val="left"/>
    </w:lvl>
  </w:abstractNum>
  <w:abstractNum w:abstractNumId="7" w15:restartNumberingAfterBreak="0">
    <w:nsid w:val="2BB278D5"/>
    <w:multiLevelType w:val="hybridMultilevel"/>
    <w:tmpl w:val="A01CE72A"/>
    <w:lvl w:ilvl="0" w:tplc="FFFFFFFF">
      <w:start w:val="1"/>
      <w:numFmt w:val="decimal"/>
      <w:lvlText w:val="%1."/>
      <w:lvlJc w:val="left"/>
      <w:pPr>
        <w:ind w:left="600" w:hanging="32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2E8B36E2"/>
    <w:multiLevelType w:val="hybridMultilevel"/>
    <w:tmpl w:val="6DF84CB2"/>
    <w:lvl w:ilvl="0" w:tplc="ACB04CDE">
      <w:start w:val="1"/>
      <w:numFmt w:val="decimal"/>
      <w:lvlText w:val="%1."/>
      <w:lvlJc w:val="left"/>
      <w:pPr>
        <w:ind w:left="600" w:hanging="320"/>
      </w:pPr>
    </w:lvl>
    <w:lvl w:ilvl="1" w:tplc="47C4B7CA">
      <w:numFmt w:val="decimal"/>
      <w:lvlText w:val=""/>
      <w:lvlJc w:val="left"/>
    </w:lvl>
    <w:lvl w:ilvl="2" w:tplc="5664B44E">
      <w:numFmt w:val="decimal"/>
      <w:lvlText w:val=""/>
      <w:lvlJc w:val="left"/>
    </w:lvl>
    <w:lvl w:ilvl="3" w:tplc="987C65B6">
      <w:numFmt w:val="decimal"/>
      <w:lvlText w:val=""/>
      <w:lvlJc w:val="left"/>
    </w:lvl>
    <w:lvl w:ilvl="4" w:tplc="631A5532">
      <w:numFmt w:val="decimal"/>
      <w:lvlText w:val=""/>
      <w:lvlJc w:val="left"/>
    </w:lvl>
    <w:lvl w:ilvl="5" w:tplc="C8F4D6FE">
      <w:numFmt w:val="decimal"/>
      <w:lvlText w:val=""/>
      <w:lvlJc w:val="left"/>
    </w:lvl>
    <w:lvl w:ilvl="6" w:tplc="7DC8FD6A">
      <w:numFmt w:val="decimal"/>
      <w:lvlText w:val=""/>
      <w:lvlJc w:val="left"/>
    </w:lvl>
    <w:lvl w:ilvl="7" w:tplc="7D0CB32E">
      <w:numFmt w:val="decimal"/>
      <w:lvlText w:val=""/>
      <w:lvlJc w:val="left"/>
    </w:lvl>
    <w:lvl w:ilvl="8" w:tplc="A04603F0">
      <w:numFmt w:val="decimal"/>
      <w:lvlText w:val=""/>
      <w:lvlJc w:val="left"/>
    </w:lvl>
  </w:abstractNum>
  <w:abstractNum w:abstractNumId="9" w15:restartNumberingAfterBreak="0">
    <w:nsid w:val="31525ED0"/>
    <w:multiLevelType w:val="hybridMultilevel"/>
    <w:tmpl w:val="1778C2AA"/>
    <w:lvl w:ilvl="0" w:tplc="94CE0B4C">
      <w:start w:val="1"/>
      <w:numFmt w:val="decimal"/>
      <w:lvlText w:val="%1."/>
      <w:lvlJc w:val="left"/>
      <w:pPr>
        <w:ind w:left="600" w:hanging="320"/>
      </w:pPr>
    </w:lvl>
    <w:lvl w:ilvl="1" w:tplc="9EDA9A72">
      <w:numFmt w:val="decimal"/>
      <w:lvlText w:val=""/>
      <w:lvlJc w:val="left"/>
    </w:lvl>
    <w:lvl w:ilvl="2" w:tplc="6C50B580">
      <w:numFmt w:val="decimal"/>
      <w:lvlText w:val=""/>
      <w:lvlJc w:val="left"/>
    </w:lvl>
    <w:lvl w:ilvl="3" w:tplc="9DF067C4">
      <w:numFmt w:val="decimal"/>
      <w:lvlText w:val=""/>
      <w:lvlJc w:val="left"/>
    </w:lvl>
    <w:lvl w:ilvl="4" w:tplc="4C8E569C">
      <w:numFmt w:val="decimal"/>
      <w:lvlText w:val=""/>
      <w:lvlJc w:val="left"/>
    </w:lvl>
    <w:lvl w:ilvl="5" w:tplc="36D27080">
      <w:numFmt w:val="decimal"/>
      <w:lvlText w:val=""/>
      <w:lvlJc w:val="left"/>
    </w:lvl>
    <w:lvl w:ilvl="6" w:tplc="65DC4752">
      <w:numFmt w:val="decimal"/>
      <w:lvlText w:val=""/>
      <w:lvlJc w:val="left"/>
    </w:lvl>
    <w:lvl w:ilvl="7" w:tplc="6C986E6C">
      <w:numFmt w:val="decimal"/>
      <w:lvlText w:val=""/>
      <w:lvlJc w:val="left"/>
    </w:lvl>
    <w:lvl w:ilvl="8" w:tplc="7FBCC4FA">
      <w:numFmt w:val="decimal"/>
      <w:lvlText w:val=""/>
      <w:lvlJc w:val="left"/>
    </w:lvl>
  </w:abstractNum>
  <w:abstractNum w:abstractNumId="10" w15:restartNumberingAfterBreak="0">
    <w:nsid w:val="33B725A6"/>
    <w:multiLevelType w:val="hybridMultilevel"/>
    <w:tmpl w:val="1A86E846"/>
    <w:lvl w:ilvl="0" w:tplc="89703176">
      <w:start w:val="1"/>
      <w:numFmt w:val="decimal"/>
      <w:lvlText w:val="%1."/>
      <w:lvlJc w:val="left"/>
      <w:pPr>
        <w:ind w:left="600" w:hanging="320"/>
      </w:pPr>
    </w:lvl>
    <w:lvl w:ilvl="1" w:tplc="F850D208">
      <w:numFmt w:val="decimal"/>
      <w:lvlText w:val=""/>
      <w:lvlJc w:val="left"/>
    </w:lvl>
    <w:lvl w:ilvl="2" w:tplc="2D24418C">
      <w:numFmt w:val="decimal"/>
      <w:lvlText w:val=""/>
      <w:lvlJc w:val="left"/>
    </w:lvl>
    <w:lvl w:ilvl="3" w:tplc="120E0CEC">
      <w:numFmt w:val="decimal"/>
      <w:lvlText w:val=""/>
      <w:lvlJc w:val="left"/>
    </w:lvl>
    <w:lvl w:ilvl="4" w:tplc="36B63542">
      <w:numFmt w:val="decimal"/>
      <w:lvlText w:val=""/>
      <w:lvlJc w:val="left"/>
    </w:lvl>
    <w:lvl w:ilvl="5" w:tplc="968873E8">
      <w:numFmt w:val="decimal"/>
      <w:lvlText w:val=""/>
      <w:lvlJc w:val="left"/>
    </w:lvl>
    <w:lvl w:ilvl="6" w:tplc="2DEE5400">
      <w:numFmt w:val="decimal"/>
      <w:lvlText w:val=""/>
      <w:lvlJc w:val="left"/>
    </w:lvl>
    <w:lvl w:ilvl="7" w:tplc="E376ABB0">
      <w:numFmt w:val="decimal"/>
      <w:lvlText w:val=""/>
      <w:lvlJc w:val="left"/>
    </w:lvl>
    <w:lvl w:ilvl="8" w:tplc="33A47D74">
      <w:numFmt w:val="decimal"/>
      <w:lvlText w:val=""/>
      <w:lvlJc w:val="left"/>
    </w:lvl>
  </w:abstractNum>
  <w:abstractNum w:abstractNumId="11" w15:restartNumberingAfterBreak="0">
    <w:nsid w:val="37FD14D4"/>
    <w:multiLevelType w:val="hybridMultilevel"/>
    <w:tmpl w:val="84647266"/>
    <w:lvl w:ilvl="0" w:tplc="304431B0">
      <w:start w:val="1"/>
      <w:numFmt w:val="decimal"/>
      <w:lvlText w:val="%1."/>
      <w:lvlJc w:val="left"/>
      <w:pPr>
        <w:ind w:left="600" w:hanging="320"/>
      </w:pPr>
    </w:lvl>
    <w:lvl w:ilvl="1" w:tplc="AAB0A490">
      <w:numFmt w:val="decimal"/>
      <w:lvlText w:val=""/>
      <w:lvlJc w:val="left"/>
    </w:lvl>
    <w:lvl w:ilvl="2" w:tplc="A47A6B9C">
      <w:numFmt w:val="decimal"/>
      <w:lvlText w:val=""/>
      <w:lvlJc w:val="left"/>
    </w:lvl>
    <w:lvl w:ilvl="3" w:tplc="AFBA0FFA">
      <w:numFmt w:val="decimal"/>
      <w:lvlText w:val=""/>
      <w:lvlJc w:val="left"/>
    </w:lvl>
    <w:lvl w:ilvl="4" w:tplc="44CCB1B2">
      <w:numFmt w:val="decimal"/>
      <w:lvlText w:val=""/>
      <w:lvlJc w:val="left"/>
    </w:lvl>
    <w:lvl w:ilvl="5" w:tplc="832237CE">
      <w:numFmt w:val="decimal"/>
      <w:lvlText w:val=""/>
      <w:lvlJc w:val="left"/>
    </w:lvl>
    <w:lvl w:ilvl="6" w:tplc="4C7CA34E">
      <w:numFmt w:val="decimal"/>
      <w:lvlText w:val=""/>
      <w:lvlJc w:val="left"/>
    </w:lvl>
    <w:lvl w:ilvl="7" w:tplc="50E620B6">
      <w:numFmt w:val="decimal"/>
      <w:lvlText w:val=""/>
      <w:lvlJc w:val="left"/>
    </w:lvl>
    <w:lvl w:ilvl="8" w:tplc="5F9A161C">
      <w:numFmt w:val="decimal"/>
      <w:lvlText w:val=""/>
      <w:lvlJc w:val="left"/>
    </w:lvl>
  </w:abstractNum>
  <w:abstractNum w:abstractNumId="12" w15:restartNumberingAfterBreak="0">
    <w:nsid w:val="4721711A"/>
    <w:multiLevelType w:val="hybridMultilevel"/>
    <w:tmpl w:val="8DC2D1C0"/>
    <w:lvl w:ilvl="0" w:tplc="60CE54DE">
      <w:start w:val="1"/>
      <w:numFmt w:val="decimal"/>
      <w:lvlText w:val="%1."/>
      <w:lvlJc w:val="left"/>
      <w:pPr>
        <w:ind w:left="600" w:hanging="320"/>
      </w:pPr>
    </w:lvl>
    <w:lvl w:ilvl="1" w:tplc="3072CE92">
      <w:numFmt w:val="decimal"/>
      <w:lvlText w:val=""/>
      <w:lvlJc w:val="left"/>
    </w:lvl>
    <w:lvl w:ilvl="2" w:tplc="3A14A1D8">
      <w:numFmt w:val="decimal"/>
      <w:lvlText w:val=""/>
      <w:lvlJc w:val="left"/>
    </w:lvl>
    <w:lvl w:ilvl="3" w:tplc="8C5C1CA4">
      <w:numFmt w:val="decimal"/>
      <w:lvlText w:val=""/>
      <w:lvlJc w:val="left"/>
    </w:lvl>
    <w:lvl w:ilvl="4" w:tplc="469427F0">
      <w:numFmt w:val="decimal"/>
      <w:lvlText w:val=""/>
      <w:lvlJc w:val="left"/>
    </w:lvl>
    <w:lvl w:ilvl="5" w:tplc="AE360180">
      <w:numFmt w:val="decimal"/>
      <w:lvlText w:val=""/>
      <w:lvlJc w:val="left"/>
    </w:lvl>
    <w:lvl w:ilvl="6" w:tplc="CE04E39C">
      <w:numFmt w:val="decimal"/>
      <w:lvlText w:val=""/>
      <w:lvlJc w:val="left"/>
    </w:lvl>
    <w:lvl w:ilvl="7" w:tplc="6C8A558E">
      <w:numFmt w:val="decimal"/>
      <w:lvlText w:val=""/>
      <w:lvlJc w:val="left"/>
    </w:lvl>
    <w:lvl w:ilvl="8" w:tplc="78CEEEB2">
      <w:numFmt w:val="decimal"/>
      <w:lvlText w:val=""/>
      <w:lvlJc w:val="left"/>
    </w:lvl>
  </w:abstractNum>
  <w:abstractNum w:abstractNumId="13" w15:restartNumberingAfterBreak="0">
    <w:nsid w:val="48A071CF"/>
    <w:multiLevelType w:val="hybridMultilevel"/>
    <w:tmpl w:val="D35296D0"/>
    <w:lvl w:ilvl="0" w:tplc="4586A59E">
      <w:start w:val="1"/>
      <w:numFmt w:val="decimal"/>
      <w:lvlText w:val="%1."/>
      <w:lvlJc w:val="left"/>
      <w:pPr>
        <w:ind w:left="600" w:hanging="320"/>
      </w:pPr>
    </w:lvl>
    <w:lvl w:ilvl="1" w:tplc="38383E3A">
      <w:numFmt w:val="decimal"/>
      <w:lvlText w:val=""/>
      <w:lvlJc w:val="left"/>
    </w:lvl>
    <w:lvl w:ilvl="2" w:tplc="B46C447E">
      <w:numFmt w:val="decimal"/>
      <w:lvlText w:val=""/>
      <w:lvlJc w:val="left"/>
    </w:lvl>
    <w:lvl w:ilvl="3" w:tplc="2356FAEE">
      <w:numFmt w:val="decimal"/>
      <w:lvlText w:val=""/>
      <w:lvlJc w:val="left"/>
    </w:lvl>
    <w:lvl w:ilvl="4" w:tplc="13667BF0">
      <w:numFmt w:val="decimal"/>
      <w:lvlText w:val=""/>
      <w:lvlJc w:val="left"/>
    </w:lvl>
    <w:lvl w:ilvl="5" w:tplc="3EF0CBBC">
      <w:numFmt w:val="decimal"/>
      <w:lvlText w:val=""/>
      <w:lvlJc w:val="left"/>
    </w:lvl>
    <w:lvl w:ilvl="6" w:tplc="97ECBFF0">
      <w:numFmt w:val="decimal"/>
      <w:lvlText w:val=""/>
      <w:lvlJc w:val="left"/>
    </w:lvl>
    <w:lvl w:ilvl="7" w:tplc="E3C8266C">
      <w:numFmt w:val="decimal"/>
      <w:lvlText w:val=""/>
      <w:lvlJc w:val="left"/>
    </w:lvl>
    <w:lvl w:ilvl="8" w:tplc="8A22E30A">
      <w:numFmt w:val="decimal"/>
      <w:lvlText w:val=""/>
      <w:lvlJc w:val="left"/>
    </w:lvl>
  </w:abstractNum>
  <w:abstractNum w:abstractNumId="14" w15:restartNumberingAfterBreak="0">
    <w:nsid w:val="4C2312FB"/>
    <w:multiLevelType w:val="hybridMultilevel"/>
    <w:tmpl w:val="DBD40AE4"/>
    <w:lvl w:ilvl="0" w:tplc="50844A6E">
      <w:start w:val="1"/>
      <w:numFmt w:val="decimal"/>
      <w:lvlText w:val="%1."/>
      <w:lvlJc w:val="left"/>
      <w:pPr>
        <w:ind w:left="600" w:hanging="320"/>
      </w:pPr>
    </w:lvl>
    <w:lvl w:ilvl="1" w:tplc="B260949C">
      <w:numFmt w:val="decimal"/>
      <w:lvlText w:val=""/>
      <w:lvlJc w:val="left"/>
    </w:lvl>
    <w:lvl w:ilvl="2" w:tplc="8DC2C7D4">
      <w:numFmt w:val="decimal"/>
      <w:lvlText w:val=""/>
      <w:lvlJc w:val="left"/>
    </w:lvl>
    <w:lvl w:ilvl="3" w:tplc="C7886322">
      <w:numFmt w:val="decimal"/>
      <w:lvlText w:val=""/>
      <w:lvlJc w:val="left"/>
    </w:lvl>
    <w:lvl w:ilvl="4" w:tplc="8730D04C">
      <w:numFmt w:val="decimal"/>
      <w:lvlText w:val=""/>
      <w:lvlJc w:val="left"/>
    </w:lvl>
    <w:lvl w:ilvl="5" w:tplc="74D215C8">
      <w:numFmt w:val="decimal"/>
      <w:lvlText w:val=""/>
      <w:lvlJc w:val="left"/>
    </w:lvl>
    <w:lvl w:ilvl="6" w:tplc="D9900592">
      <w:numFmt w:val="decimal"/>
      <w:lvlText w:val=""/>
      <w:lvlJc w:val="left"/>
    </w:lvl>
    <w:lvl w:ilvl="7" w:tplc="1D20ABD8">
      <w:numFmt w:val="decimal"/>
      <w:lvlText w:val=""/>
      <w:lvlJc w:val="left"/>
    </w:lvl>
    <w:lvl w:ilvl="8" w:tplc="0D2492FA">
      <w:numFmt w:val="decimal"/>
      <w:lvlText w:val=""/>
      <w:lvlJc w:val="left"/>
    </w:lvl>
  </w:abstractNum>
  <w:abstractNum w:abstractNumId="15" w15:restartNumberingAfterBreak="0">
    <w:nsid w:val="51B83A0C"/>
    <w:multiLevelType w:val="hybridMultilevel"/>
    <w:tmpl w:val="3D649E60"/>
    <w:lvl w:ilvl="0" w:tplc="40B00298">
      <w:start w:val="1"/>
      <w:numFmt w:val="decimal"/>
      <w:lvlText w:val="%1."/>
      <w:lvlJc w:val="left"/>
      <w:pPr>
        <w:ind w:left="600" w:hanging="320"/>
      </w:pPr>
    </w:lvl>
    <w:lvl w:ilvl="1" w:tplc="D528D618">
      <w:numFmt w:val="decimal"/>
      <w:lvlText w:val=""/>
      <w:lvlJc w:val="left"/>
    </w:lvl>
    <w:lvl w:ilvl="2" w:tplc="FCF04EBC">
      <w:numFmt w:val="decimal"/>
      <w:lvlText w:val=""/>
      <w:lvlJc w:val="left"/>
    </w:lvl>
    <w:lvl w:ilvl="3" w:tplc="048A7200">
      <w:numFmt w:val="decimal"/>
      <w:lvlText w:val=""/>
      <w:lvlJc w:val="left"/>
    </w:lvl>
    <w:lvl w:ilvl="4" w:tplc="EB7EFA00">
      <w:numFmt w:val="decimal"/>
      <w:lvlText w:val=""/>
      <w:lvlJc w:val="left"/>
    </w:lvl>
    <w:lvl w:ilvl="5" w:tplc="602E498C">
      <w:numFmt w:val="decimal"/>
      <w:lvlText w:val=""/>
      <w:lvlJc w:val="left"/>
    </w:lvl>
    <w:lvl w:ilvl="6" w:tplc="006EF3CA">
      <w:numFmt w:val="decimal"/>
      <w:lvlText w:val=""/>
      <w:lvlJc w:val="left"/>
    </w:lvl>
    <w:lvl w:ilvl="7" w:tplc="14B81D64">
      <w:numFmt w:val="decimal"/>
      <w:lvlText w:val=""/>
      <w:lvlJc w:val="left"/>
    </w:lvl>
    <w:lvl w:ilvl="8" w:tplc="D6123038">
      <w:numFmt w:val="decimal"/>
      <w:lvlText w:val=""/>
      <w:lvlJc w:val="left"/>
    </w:lvl>
  </w:abstractNum>
  <w:abstractNum w:abstractNumId="16" w15:restartNumberingAfterBreak="0">
    <w:nsid w:val="54882037"/>
    <w:multiLevelType w:val="hybridMultilevel"/>
    <w:tmpl w:val="E4C620B4"/>
    <w:lvl w:ilvl="0" w:tplc="0F244CC6">
      <w:start w:val="1"/>
      <w:numFmt w:val="bullet"/>
      <w:lvlText w:val="●"/>
      <w:lvlJc w:val="left"/>
      <w:pPr>
        <w:ind w:left="720" w:hanging="360"/>
      </w:pPr>
    </w:lvl>
    <w:lvl w:ilvl="1" w:tplc="CC58E5EC">
      <w:start w:val="1"/>
      <w:numFmt w:val="bullet"/>
      <w:lvlText w:val="○"/>
      <w:lvlJc w:val="left"/>
      <w:pPr>
        <w:ind w:left="1440" w:hanging="360"/>
      </w:pPr>
    </w:lvl>
    <w:lvl w:ilvl="2" w:tplc="23EEB670">
      <w:start w:val="1"/>
      <w:numFmt w:val="bullet"/>
      <w:lvlText w:val="■"/>
      <w:lvlJc w:val="left"/>
      <w:pPr>
        <w:ind w:left="2160" w:hanging="360"/>
      </w:pPr>
    </w:lvl>
    <w:lvl w:ilvl="3" w:tplc="7172AAFA">
      <w:start w:val="1"/>
      <w:numFmt w:val="bullet"/>
      <w:lvlText w:val="●"/>
      <w:lvlJc w:val="left"/>
      <w:pPr>
        <w:ind w:left="2880" w:hanging="360"/>
      </w:pPr>
    </w:lvl>
    <w:lvl w:ilvl="4" w:tplc="BB729B3C">
      <w:start w:val="1"/>
      <w:numFmt w:val="bullet"/>
      <w:lvlText w:val="○"/>
      <w:lvlJc w:val="left"/>
      <w:pPr>
        <w:ind w:left="3600" w:hanging="360"/>
      </w:pPr>
    </w:lvl>
    <w:lvl w:ilvl="5" w:tplc="DE0647D4">
      <w:start w:val="1"/>
      <w:numFmt w:val="bullet"/>
      <w:lvlText w:val="■"/>
      <w:lvlJc w:val="left"/>
      <w:pPr>
        <w:ind w:left="4320" w:hanging="360"/>
      </w:pPr>
    </w:lvl>
    <w:lvl w:ilvl="6" w:tplc="2408D05A">
      <w:start w:val="1"/>
      <w:numFmt w:val="bullet"/>
      <w:lvlText w:val="●"/>
      <w:lvlJc w:val="left"/>
      <w:pPr>
        <w:ind w:left="5040" w:hanging="360"/>
      </w:pPr>
    </w:lvl>
    <w:lvl w:ilvl="7" w:tplc="CCBE3BA2">
      <w:start w:val="1"/>
      <w:numFmt w:val="bullet"/>
      <w:lvlText w:val="●"/>
      <w:lvlJc w:val="left"/>
      <w:pPr>
        <w:ind w:left="5760" w:hanging="360"/>
      </w:pPr>
    </w:lvl>
    <w:lvl w:ilvl="8" w:tplc="46ACC1EC">
      <w:start w:val="1"/>
      <w:numFmt w:val="bullet"/>
      <w:lvlText w:val="●"/>
      <w:lvlJc w:val="left"/>
      <w:pPr>
        <w:ind w:left="6480" w:hanging="360"/>
      </w:pPr>
    </w:lvl>
  </w:abstractNum>
  <w:abstractNum w:abstractNumId="17" w15:restartNumberingAfterBreak="0">
    <w:nsid w:val="5B307DD0"/>
    <w:multiLevelType w:val="hybridMultilevel"/>
    <w:tmpl w:val="AB102168"/>
    <w:lvl w:ilvl="0" w:tplc="EB129536">
      <w:start w:val="1"/>
      <w:numFmt w:val="decimal"/>
      <w:lvlText w:val="%1."/>
      <w:lvlJc w:val="left"/>
      <w:pPr>
        <w:ind w:left="600" w:hanging="320"/>
      </w:pPr>
    </w:lvl>
    <w:lvl w:ilvl="1" w:tplc="BE4AD2C2">
      <w:numFmt w:val="decimal"/>
      <w:lvlText w:val=""/>
      <w:lvlJc w:val="left"/>
    </w:lvl>
    <w:lvl w:ilvl="2" w:tplc="F0A45726">
      <w:numFmt w:val="decimal"/>
      <w:lvlText w:val=""/>
      <w:lvlJc w:val="left"/>
    </w:lvl>
    <w:lvl w:ilvl="3" w:tplc="D1A8A908">
      <w:numFmt w:val="decimal"/>
      <w:lvlText w:val=""/>
      <w:lvlJc w:val="left"/>
    </w:lvl>
    <w:lvl w:ilvl="4" w:tplc="473C1E5C">
      <w:numFmt w:val="decimal"/>
      <w:lvlText w:val=""/>
      <w:lvlJc w:val="left"/>
    </w:lvl>
    <w:lvl w:ilvl="5" w:tplc="031E04B0">
      <w:numFmt w:val="decimal"/>
      <w:lvlText w:val=""/>
      <w:lvlJc w:val="left"/>
    </w:lvl>
    <w:lvl w:ilvl="6" w:tplc="44E8DBC2">
      <w:numFmt w:val="decimal"/>
      <w:lvlText w:val=""/>
      <w:lvlJc w:val="left"/>
    </w:lvl>
    <w:lvl w:ilvl="7" w:tplc="4B986432">
      <w:numFmt w:val="decimal"/>
      <w:lvlText w:val=""/>
      <w:lvlJc w:val="left"/>
    </w:lvl>
    <w:lvl w:ilvl="8" w:tplc="5E6A8716">
      <w:numFmt w:val="decimal"/>
      <w:lvlText w:val=""/>
      <w:lvlJc w:val="left"/>
    </w:lvl>
  </w:abstractNum>
  <w:abstractNum w:abstractNumId="18" w15:restartNumberingAfterBreak="0">
    <w:nsid w:val="5B5230C7"/>
    <w:multiLevelType w:val="hybridMultilevel"/>
    <w:tmpl w:val="E2906F90"/>
    <w:lvl w:ilvl="0" w:tplc="572481DE">
      <w:start w:val="1"/>
      <w:numFmt w:val="decimal"/>
      <w:lvlText w:val="%1."/>
      <w:lvlJc w:val="left"/>
      <w:pPr>
        <w:ind w:left="600" w:hanging="320"/>
      </w:pPr>
    </w:lvl>
    <w:lvl w:ilvl="1" w:tplc="A6D270BA">
      <w:numFmt w:val="decimal"/>
      <w:lvlText w:val=""/>
      <w:lvlJc w:val="left"/>
    </w:lvl>
    <w:lvl w:ilvl="2" w:tplc="E7FADE7C">
      <w:numFmt w:val="decimal"/>
      <w:lvlText w:val=""/>
      <w:lvlJc w:val="left"/>
    </w:lvl>
    <w:lvl w:ilvl="3" w:tplc="CBAC0940">
      <w:numFmt w:val="decimal"/>
      <w:lvlText w:val=""/>
      <w:lvlJc w:val="left"/>
    </w:lvl>
    <w:lvl w:ilvl="4" w:tplc="262A9FBA">
      <w:numFmt w:val="decimal"/>
      <w:lvlText w:val=""/>
      <w:lvlJc w:val="left"/>
    </w:lvl>
    <w:lvl w:ilvl="5" w:tplc="3CD89D9A">
      <w:numFmt w:val="decimal"/>
      <w:lvlText w:val=""/>
      <w:lvlJc w:val="left"/>
    </w:lvl>
    <w:lvl w:ilvl="6" w:tplc="9850BDF4">
      <w:numFmt w:val="decimal"/>
      <w:lvlText w:val=""/>
      <w:lvlJc w:val="left"/>
    </w:lvl>
    <w:lvl w:ilvl="7" w:tplc="CBDEA688">
      <w:numFmt w:val="decimal"/>
      <w:lvlText w:val=""/>
      <w:lvlJc w:val="left"/>
    </w:lvl>
    <w:lvl w:ilvl="8" w:tplc="3A320F10">
      <w:numFmt w:val="decimal"/>
      <w:lvlText w:val=""/>
      <w:lvlJc w:val="left"/>
    </w:lvl>
  </w:abstractNum>
  <w:abstractNum w:abstractNumId="19" w15:restartNumberingAfterBreak="0">
    <w:nsid w:val="6113686F"/>
    <w:multiLevelType w:val="hybridMultilevel"/>
    <w:tmpl w:val="667AE1CA"/>
    <w:lvl w:ilvl="0" w:tplc="C124153A">
      <w:start w:val="1"/>
      <w:numFmt w:val="bullet"/>
      <w:lvlText w:val="•"/>
      <w:lvlJc w:val="left"/>
      <w:pPr>
        <w:ind w:left="600" w:hanging="280"/>
      </w:pPr>
    </w:lvl>
    <w:lvl w:ilvl="1" w:tplc="94700E2C">
      <w:numFmt w:val="decimal"/>
      <w:lvlText w:val=""/>
      <w:lvlJc w:val="left"/>
    </w:lvl>
    <w:lvl w:ilvl="2" w:tplc="2F38EA58">
      <w:numFmt w:val="decimal"/>
      <w:lvlText w:val=""/>
      <w:lvlJc w:val="left"/>
    </w:lvl>
    <w:lvl w:ilvl="3" w:tplc="B28C522C">
      <w:numFmt w:val="decimal"/>
      <w:lvlText w:val=""/>
      <w:lvlJc w:val="left"/>
    </w:lvl>
    <w:lvl w:ilvl="4" w:tplc="B636DCAE">
      <w:numFmt w:val="decimal"/>
      <w:lvlText w:val=""/>
      <w:lvlJc w:val="left"/>
    </w:lvl>
    <w:lvl w:ilvl="5" w:tplc="BC3AB2A2">
      <w:numFmt w:val="decimal"/>
      <w:lvlText w:val=""/>
      <w:lvlJc w:val="left"/>
    </w:lvl>
    <w:lvl w:ilvl="6" w:tplc="92EAC998">
      <w:numFmt w:val="decimal"/>
      <w:lvlText w:val=""/>
      <w:lvlJc w:val="left"/>
    </w:lvl>
    <w:lvl w:ilvl="7" w:tplc="4EE61DC6">
      <w:numFmt w:val="decimal"/>
      <w:lvlText w:val=""/>
      <w:lvlJc w:val="left"/>
    </w:lvl>
    <w:lvl w:ilvl="8" w:tplc="79EE110A">
      <w:numFmt w:val="decimal"/>
      <w:lvlText w:val=""/>
      <w:lvlJc w:val="left"/>
    </w:lvl>
  </w:abstractNum>
  <w:abstractNum w:abstractNumId="20" w15:restartNumberingAfterBreak="0">
    <w:nsid w:val="64FA13C8"/>
    <w:multiLevelType w:val="hybridMultilevel"/>
    <w:tmpl w:val="2F2ABFC2"/>
    <w:lvl w:ilvl="0" w:tplc="FE5CB66A">
      <w:start w:val="1"/>
      <w:numFmt w:val="decimal"/>
      <w:lvlText w:val="%1."/>
      <w:lvlJc w:val="left"/>
      <w:pPr>
        <w:ind w:left="600" w:hanging="320"/>
      </w:pPr>
    </w:lvl>
    <w:lvl w:ilvl="1" w:tplc="90E4168C">
      <w:numFmt w:val="decimal"/>
      <w:lvlText w:val=""/>
      <w:lvlJc w:val="left"/>
    </w:lvl>
    <w:lvl w:ilvl="2" w:tplc="403A405C">
      <w:numFmt w:val="decimal"/>
      <w:lvlText w:val=""/>
      <w:lvlJc w:val="left"/>
    </w:lvl>
    <w:lvl w:ilvl="3" w:tplc="8076D1C0">
      <w:numFmt w:val="decimal"/>
      <w:lvlText w:val=""/>
      <w:lvlJc w:val="left"/>
    </w:lvl>
    <w:lvl w:ilvl="4" w:tplc="6AB4DC4A">
      <w:numFmt w:val="decimal"/>
      <w:lvlText w:val=""/>
      <w:lvlJc w:val="left"/>
    </w:lvl>
    <w:lvl w:ilvl="5" w:tplc="B62C45CA">
      <w:numFmt w:val="decimal"/>
      <w:lvlText w:val=""/>
      <w:lvlJc w:val="left"/>
    </w:lvl>
    <w:lvl w:ilvl="6" w:tplc="C5BA15AC">
      <w:numFmt w:val="decimal"/>
      <w:lvlText w:val=""/>
      <w:lvlJc w:val="left"/>
    </w:lvl>
    <w:lvl w:ilvl="7" w:tplc="BA361B5C">
      <w:numFmt w:val="decimal"/>
      <w:lvlText w:val=""/>
      <w:lvlJc w:val="left"/>
    </w:lvl>
    <w:lvl w:ilvl="8" w:tplc="FC7E304C">
      <w:numFmt w:val="decimal"/>
      <w:lvlText w:val=""/>
      <w:lvlJc w:val="left"/>
    </w:lvl>
  </w:abstractNum>
  <w:abstractNum w:abstractNumId="21" w15:restartNumberingAfterBreak="0">
    <w:nsid w:val="6D8138D8"/>
    <w:multiLevelType w:val="hybridMultilevel"/>
    <w:tmpl w:val="E3EA363C"/>
    <w:lvl w:ilvl="0" w:tplc="0B16AB20">
      <w:start w:val="1"/>
      <w:numFmt w:val="decimal"/>
      <w:lvlText w:val="%1."/>
      <w:lvlJc w:val="left"/>
      <w:pPr>
        <w:ind w:left="600" w:hanging="320"/>
      </w:pPr>
    </w:lvl>
    <w:lvl w:ilvl="1" w:tplc="8AB6EAD6">
      <w:numFmt w:val="decimal"/>
      <w:lvlText w:val=""/>
      <w:lvlJc w:val="left"/>
    </w:lvl>
    <w:lvl w:ilvl="2" w:tplc="D2EAE30E">
      <w:numFmt w:val="decimal"/>
      <w:lvlText w:val=""/>
      <w:lvlJc w:val="left"/>
    </w:lvl>
    <w:lvl w:ilvl="3" w:tplc="473651E8">
      <w:numFmt w:val="decimal"/>
      <w:lvlText w:val=""/>
      <w:lvlJc w:val="left"/>
    </w:lvl>
    <w:lvl w:ilvl="4" w:tplc="BEC876D0">
      <w:numFmt w:val="decimal"/>
      <w:lvlText w:val=""/>
      <w:lvlJc w:val="left"/>
    </w:lvl>
    <w:lvl w:ilvl="5" w:tplc="6944BCA2">
      <w:numFmt w:val="decimal"/>
      <w:lvlText w:val=""/>
      <w:lvlJc w:val="left"/>
    </w:lvl>
    <w:lvl w:ilvl="6" w:tplc="394A312A">
      <w:numFmt w:val="decimal"/>
      <w:lvlText w:val=""/>
      <w:lvlJc w:val="left"/>
    </w:lvl>
    <w:lvl w:ilvl="7" w:tplc="A1F6EC40">
      <w:numFmt w:val="decimal"/>
      <w:lvlText w:val=""/>
      <w:lvlJc w:val="left"/>
    </w:lvl>
    <w:lvl w:ilvl="8" w:tplc="D9B0CFBC">
      <w:numFmt w:val="decimal"/>
      <w:lvlText w:val=""/>
      <w:lvlJc w:val="left"/>
    </w:lvl>
  </w:abstractNum>
  <w:abstractNum w:abstractNumId="22" w15:restartNumberingAfterBreak="0">
    <w:nsid w:val="79BD0AFD"/>
    <w:multiLevelType w:val="hybridMultilevel"/>
    <w:tmpl w:val="6DB404C6"/>
    <w:lvl w:ilvl="0" w:tplc="75501462">
      <w:start w:val="1"/>
      <w:numFmt w:val="decimal"/>
      <w:lvlText w:val="%1."/>
      <w:lvlJc w:val="left"/>
      <w:pPr>
        <w:ind w:left="600" w:hanging="320"/>
      </w:pPr>
    </w:lvl>
    <w:lvl w:ilvl="1" w:tplc="68143BFC">
      <w:numFmt w:val="decimal"/>
      <w:lvlText w:val=""/>
      <w:lvlJc w:val="left"/>
    </w:lvl>
    <w:lvl w:ilvl="2" w:tplc="8DAC698E">
      <w:numFmt w:val="decimal"/>
      <w:lvlText w:val=""/>
      <w:lvlJc w:val="left"/>
    </w:lvl>
    <w:lvl w:ilvl="3" w:tplc="087CD9A8">
      <w:numFmt w:val="decimal"/>
      <w:lvlText w:val=""/>
      <w:lvlJc w:val="left"/>
    </w:lvl>
    <w:lvl w:ilvl="4" w:tplc="908CEFA6">
      <w:numFmt w:val="decimal"/>
      <w:lvlText w:val=""/>
      <w:lvlJc w:val="left"/>
    </w:lvl>
    <w:lvl w:ilvl="5" w:tplc="7BD66390">
      <w:numFmt w:val="decimal"/>
      <w:lvlText w:val=""/>
      <w:lvlJc w:val="left"/>
    </w:lvl>
    <w:lvl w:ilvl="6" w:tplc="E4E49D90">
      <w:numFmt w:val="decimal"/>
      <w:lvlText w:val=""/>
      <w:lvlJc w:val="left"/>
    </w:lvl>
    <w:lvl w:ilvl="7" w:tplc="04767FAC">
      <w:numFmt w:val="decimal"/>
      <w:lvlText w:val=""/>
      <w:lvlJc w:val="left"/>
    </w:lvl>
    <w:lvl w:ilvl="8" w:tplc="54CA5C52">
      <w:numFmt w:val="decimal"/>
      <w:lvlText w:val=""/>
      <w:lvlJc w:val="left"/>
    </w:lvl>
  </w:abstractNum>
  <w:abstractNum w:abstractNumId="23" w15:restartNumberingAfterBreak="0">
    <w:nsid w:val="7A4B671F"/>
    <w:multiLevelType w:val="hybridMultilevel"/>
    <w:tmpl w:val="A01CE72A"/>
    <w:lvl w:ilvl="0" w:tplc="BA524EE0">
      <w:start w:val="1"/>
      <w:numFmt w:val="decimal"/>
      <w:lvlText w:val="%1."/>
      <w:lvlJc w:val="left"/>
      <w:pPr>
        <w:ind w:left="600" w:hanging="320"/>
      </w:pPr>
    </w:lvl>
    <w:lvl w:ilvl="1" w:tplc="4670BF04">
      <w:numFmt w:val="decimal"/>
      <w:lvlText w:val=""/>
      <w:lvlJc w:val="left"/>
    </w:lvl>
    <w:lvl w:ilvl="2" w:tplc="A5369976">
      <w:numFmt w:val="decimal"/>
      <w:lvlText w:val=""/>
      <w:lvlJc w:val="left"/>
    </w:lvl>
    <w:lvl w:ilvl="3" w:tplc="B2AE3878">
      <w:numFmt w:val="decimal"/>
      <w:lvlText w:val=""/>
      <w:lvlJc w:val="left"/>
    </w:lvl>
    <w:lvl w:ilvl="4" w:tplc="BE045612">
      <w:numFmt w:val="decimal"/>
      <w:lvlText w:val=""/>
      <w:lvlJc w:val="left"/>
    </w:lvl>
    <w:lvl w:ilvl="5" w:tplc="7B80402A">
      <w:numFmt w:val="decimal"/>
      <w:lvlText w:val=""/>
      <w:lvlJc w:val="left"/>
    </w:lvl>
    <w:lvl w:ilvl="6" w:tplc="0C1A7F8A">
      <w:numFmt w:val="decimal"/>
      <w:lvlText w:val=""/>
      <w:lvlJc w:val="left"/>
    </w:lvl>
    <w:lvl w:ilvl="7" w:tplc="3DC4F374">
      <w:numFmt w:val="decimal"/>
      <w:lvlText w:val=""/>
      <w:lvlJc w:val="left"/>
    </w:lvl>
    <w:lvl w:ilvl="8" w:tplc="59988548">
      <w:numFmt w:val="decimal"/>
      <w:lvlText w:val=""/>
      <w:lvlJc w:val="left"/>
    </w:lvl>
  </w:abstractNum>
  <w:abstractNum w:abstractNumId="24" w15:restartNumberingAfterBreak="0">
    <w:nsid w:val="7ADB0679"/>
    <w:multiLevelType w:val="hybridMultilevel"/>
    <w:tmpl w:val="00700A2A"/>
    <w:lvl w:ilvl="0" w:tplc="593EFA2C">
      <w:start w:val="1"/>
      <w:numFmt w:val="decimal"/>
      <w:lvlText w:val="%1."/>
      <w:lvlJc w:val="left"/>
      <w:pPr>
        <w:ind w:left="600" w:hanging="320"/>
      </w:pPr>
    </w:lvl>
    <w:lvl w:ilvl="1" w:tplc="32647F10">
      <w:numFmt w:val="decimal"/>
      <w:lvlText w:val=""/>
      <w:lvlJc w:val="left"/>
    </w:lvl>
    <w:lvl w:ilvl="2" w:tplc="FCD2CAD6">
      <w:numFmt w:val="decimal"/>
      <w:lvlText w:val=""/>
      <w:lvlJc w:val="left"/>
    </w:lvl>
    <w:lvl w:ilvl="3" w:tplc="0606660E">
      <w:numFmt w:val="decimal"/>
      <w:lvlText w:val=""/>
      <w:lvlJc w:val="left"/>
    </w:lvl>
    <w:lvl w:ilvl="4" w:tplc="BAB8CBBE">
      <w:numFmt w:val="decimal"/>
      <w:lvlText w:val=""/>
      <w:lvlJc w:val="left"/>
    </w:lvl>
    <w:lvl w:ilvl="5" w:tplc="E4FAE240">
      <w:numFmt w:val="decimal"/>
      <w:lvlText w:val=""/>
      <w:lvlJc w:val="left"/>
    </w:lvl>
    <w:lvl w:ilvl="6" w:tplc="6C30FDB0">
      <w:numFmt w:val="decimal"/>
      <w:lvlText w:val=""/>
      <w:lvlJc w:val="left"/>
    </w:lvl>
    <w:lvl w:ilvl="7" w:tplc="17743A24">
      <w:numFmt w:val="decimal"/>
      <w:lvlText w:val=""/>
      <w:lvlJc w:val="left"/>
    </w:lvl>
    <w:lvl w:ilvl="8" w:tplc="094E5BFE">
      <w:numFmt w:val="decimal"/>
      <w:lvlText w:val=""/>
      <w:lvlJc w:val="left"/>
    </w:lvl>
  </w:abstractNum>
  <w:num w:numId="1" w16cid:durableId="257257910">
    <w:abstractNumId w:val="16"/>
    <w:lvlOverride w:ilvl="0">
      <w:startOverride w:val="1"/>
    </w:lvlOverride>
  </w:num>
  <w:num w:numId="2" w16cid:durableId="397635788">
    <w:abstractNumId w:val="19"/>
    <w:lvlOverride w:ilvl="0">
      <w:startOverride w:val="1"/>
    </w:lvlOverride>
  </w:num>
  <w:num w:numId="3" w16cid:durableId="857278945">
    <w:abstractNumId w:val="23"/>
    <w:lvlOverride w:ilvl="0">
      <w:startOverride w:val="1"/>
    </w:lvlOverride>
  </w:num>
  <w:num w:numId="4" w16cid:durableId="1928342862">
    <w:abstractNumId w:val="23"/>
  </w:num>
  <w:num w:numId="5" w16cid:durableId="1669407707">
    <w:abstractNumId w:val="7"/>
  </w:num>
  <w:num w:numId="6" w16cid:durableId="1962105193">
    <w:abstractNumId w:val="3"/>
  </w:num>
  <w:num w:numId="100">
    <w:abstractNumId w:val="23"/>
    <w:lvlOverride w:ilvl="0">
      <w:startOverride w:val="1"/>
    </w:lvlOverride>
  </w:num>
  <w:num w:numId="101">
    <w:abstractNumId w:val="23"/>
    <w:lvlOverride w:ilvl="0">
      <w:startOverride w:val="1"/>
    </w:lvlOverride>
  </w:num>
  <w:num w:numId="102">
    <w:abstractNumId w:val="23"/>
    <w:lvlOverride w:ilvl="0">
      <w:startOverride w:val="1"/>
    </w:lvlOverride>
  </w:num>
  <w:num w:numId="103">
    <w:abstractNumId w:val="23"/>
    <w:lvlOverride w:ilvl="0">
      <w:startOverride w:val="1"/>
    </w:lvlOverride>
  </w:num>
  <w:num w:numId="104">
    <w:abstractNumId w:val="23"/>
    <w:lvlOverride w:ilvl="0">
      <w:startOverride w:val="1"/>
    </w:lvlOverride>
  </w:num>
  <w:num w:numId="105">
    <w:abstractNumId w:val="2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3CFE"/>
    <w:rsid w:val="00011554"/>
    <w:rsid w:val="00014772"/>
    <w:rsid w:val="00057988"/>
    <w:rsid w:val="000C68BD"/>
    <w:rsid w:val="000F1774"/>
    <w:rsid w:val="001F0702"/>
    <w:rsid w:val="00221817"/>
    <w:rsid w:val="0024632C"/>
    <w:rsid w:val="002A268E"/>
    <w:rsid w:val="002A7C4E"/>
    <w:rsid w:val="002C6F98"/>
    <w:rsid w:val="00351E31"/>
    <w:rsid w:val="00381CA3"/>
    <w:rsid w:val="003D1606"/>
    <w:rsid w:val="003F1C27"/>
    <w:rsid w:val="003F4A14"/>
    <w:rsid w:val="004E4597"/>
    <w:rsid w:val="005F44D0"/>
    <w:rsid w:val="005F630E"/>
    <w:rsid w:val="00605B5A"/>
    <w:rsid w:val="00667F6B"/>
    <w:rsid w:val="00683A47"/>
    <w:rsid w:val="006857E2"/>
    <w:rsid w:val="006A46F6"/>
    <w:rsid w:val="006A68F2"/>
    <w:rsid w:val="006C3F03"/>
    <w:rsid w:val="006C415B"/>
    <w:rsid w:val="0078380D"/>
    <w:rsid w:val="007A3F8B"/>
    <w:rsid w:val="00821F2B"/>
    <w:rsid w:val="00835BBF"/>
    <w:rsid w:val="008774AA"/>
    <w:rsid w:val="008A5D10"/>
    <w:rsid w:val="008D3CFE"/>
    <w:rsid w:val="00925869"/>
    <w:rsid w:val="00935923"/>
    <w:rsid w:val="009C5516"/>
    <w:rsid w:val="009E5D95"/>
    <w:rsid w:val="009E6195"/>
    <w:rsid w:val="00AD3E84"/>
    <w:rsid w:val="00AE5F54"/>
    <w:rsid w:val="00AF454C"/>
    <w:rsid w:val="00B156BE"/>
    <w:rsid w:val="00B6121B"/>
    <w:rsid w:val="00B65D33"/>
    <w:rsid w:val="00C012FD"/>
    <w:rsid w:val="00C227E9"/>
    <w:rsid w:val="00C77971"/>
    <w:rsid w:val="00D50128"/>
    <w:rsid w:val="00DB397C"/>
    <w:rsid w:val="00DB7674"/>
    <w:rsid w:val="00ED0B56"/>
    <w:rsid w:val="00F558A8"/>
    <w:rsid w:val="00F814CE"/>
    <w:rsid w:val="00FA7A07"/>
    <w:rsid w:val="00FB412F"/>
    <w:rsid w:val="00FE3D8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373D5"/>
  <w15:docId w15:val="{2FF1DF39-886C-43C5-8A06-A06CC0986F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A2E"/>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pBdr>
        <w:bottom w:val="single" w:sz="6" w:space="6" w:color="1C7293"/>
      </w:pBdr>
      <w:spacing w:before="320" w:after="160"/>
      <w:outlineLvl w:val="0"/>
    </w:pPr>
    <w:rPr>
      <w:rFonts w:ascii="Cambria" w:eastAsia="Cambria" w:hAnsi="Cambria" w:cs="Cambria"/>
      <w:b/>
      <w:bCs/>
      <w:color w:val="0A3D52"/>
      <w:sz w:val="32"/>
      <w:szCs w:val="32"/>
    </w:rPr>
  </w:style>
  <w:style w:type="paragraph" w:styleId="Heading2">
    <w:name w:val="heading 2"/>
    <w:uiPriority w:val="9"/>
    <w:unhideWhenUsed/>
    <w:qFormat/>
    <w:pPr>
      <w:spacing w:before="240" w:after="100"/>
      <w:outlineLvl w:val="1"/>
    </w:pPr>
    <w:rPr>
      <w:rFonts w:ascii="Cambria" w:eastAsia="Cambria" w:hAnsi="Cambria" w:cs="Cambria"/>
      <w:b/>
      <w:bCs/>
      <w:color w:val="065A82"/>
      <w:sz w:val="26"/>
      <w:szCs w:val="26"/>
    </w:rPr>
  </w:style>
  <w:style w:type="paragraph" w:styleId="Heading3">
    <w:name w:val="heading 3"/>
    <w:uiPriority w:val="9"/>
    <w:unhideWhenUsed/>
    <w:qFormat/>
    <w:pPr>
      <w:spacing w:before="160" w:after="80"/>
      <w:outlineLvl w:val="2"/>
    </w:pPr>
    <w:rPr>
      <w:rFonts w:ascii="Cambria" w:eastAsia="Cambria" w:hAnsi="Cambria" w:cs="Cambria"/>
      <w:b/>
      <w:bCs/>
      <w:color w:val="1C7293"/>
      <w:sz w:val="23"/>
      <w:szCs w:val="23"/>
    </w:rPr>
  </w:style>
  <w:style w:type="paragraph" w:styleId="Heading4">
    <w:name w:val="heading 4"/>
    <w:uiPriority w:val="9"/>
    <w:semiHidden/>
    <w:unhideWhenUsed/>
    <w:qFormat/>
    <w:pPr>
      <w:outlineLvl w:val="3"/>
    </w:pPr>
    <w:rPr>
      <w:rFonts w:ascii="Cambria" w:eastAsia="Cambria" w:hAnsi="Cambria" w:cs="Cambria"/>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rFonts w:ascii="Cambria" w:eastAsia="Cambria" w:hAnsi="Cambria" w:cs="Cambria"/>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C77971"/>
    <w:rPr>
      <w:b/>
      <w:bCs/>
      <w:color w:val="0A3D52"/>
      <w:sz w:val="32"/>
      <w:szCs w:val="32"/>
    </w:rPr>
  </w:style>
  <w:style w:type="paragraph" w:styleId="Header">
    <w:name w:val="header"/>
    <w:basedOn w:val="Normal"/>
    <w:link w:val="HeaderChar"/>
    <w:uiPriority w:val="99"/>
    <w:unhideWhenUsed/>
    <w:rsid w:val="00B156BE"/>
    <w:pPr>
      <w:tabs>
        <w:tab w:val="center" w:pos="4513"/>
        <w:tab w:val="right" w:pos="9026"/>
      </w:tabs>
    </w:pPr>
  </w:style>
  <w:style w:type="character" w:customStyle="1" w:styleId="HeaderChar">
    <w:name w:val="Header Char"/>
    <w:basedOn w:val="DefaultParagraphFont"/>
    <w:link w:val="Header"/>
    <w:uiPriority w:val="99"/>
    <w:rsid w:val="00B156BE"/>
  </w:style>
  <w:style w:type="paragraph" w:styleId="Footer">
    <w:name w:val="footer"/>
    <w:basedOn w:val="Normal"/>
    <w:link w:val="FooterChar"/>
    <w:uiPriority w:val="99"/>
    <w:unhideWhenUsed/>
    <w:rsid w:val="00B156BE"/>
    <w:pPr>
      <w:tabs>
        <w:tab w:val="center" w:pos="4513"/>
        <w:tab w:val="right" w:pos="9026"/>
      </w:tabs>
    </w:pPr>
  </w:style>
  <w:style w:type="character" w:customStyle="1" w:styleId="FooterChar">
    <w:name w:val="Footer Char"/>
    <w:basedOn w:val="DefaultParagraphFont"/>
    <w:link w:val="Footer"/>
    <w:uiPriority w:val="99"/>
    <w:rsid w:val="00B156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8" Type="http://schemas.openxmlformats.org/officeDocument/2006/relationships/theme" Target="theme/theme1.xml"/><Relationship Id="rId3" Type="http://schemas.openxmlformats.org/officeDocument/2006/relationships/settings" Target="settings.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5" Type="http://schemas.openxmlformats.org/officeDocument/2006/relationships/header" Target="header1.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588</TotalTime>
  <Pages>15</Pages>
  <Words>2435</Words>
  <Characters>13881</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Workshop 1 — Connect the Data Sources</vt:lpstr>
    </vt:vector>
  </TitlesOfParts>
  <Company/>
  <LinksUpToDate>false</LinksUpToDate>
  <CharactersWithSpaces>16284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Profile Data &amp; Assess Quality</dc:title>
  <dc:creator>Copper State Credit Union - PDC BA Course</dc:creator>
  <cp:lastModifiedBy>James O'Reilly</cp:lastModifiedBy>
  <cp:revision>23</cp:revision>
  <dcterms:created xsi:type="dcterms:W3CDTF">2026-06-12T07:37:00Z</dcterms:created>
  <dcterms:modified xsi:type="dcterms:W3CDTF">2026-07-02T19:02:00Z</dcterms:modified>
</cp:coreProperties>
</file>