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0"/>
      </w:pPr>
      <w:r>
        <w:rPr>
          <w:b/>
          <w:bCs/>
          <w:color w:val="1C7293"/>
          <w:spacing w:val="30"/>
        </w:rPr>
        <w:t xml:space="preserve">PENTAHO DATA CATALOG 11.0.0  ·  BUSINESS ANALYST</w:t>
      </w:r>
    </w:p>
    <w:p>
      <w:pPr>
        <w:spacing w:before="80"/>
      </w:pPr>
      <w:r>
        <w:rPr>
          <w:b/>
          <w:bCs/>
          <w:color w:val="5B7886"/>
          <w:spacing w:val="30"/>
        </w:rPr>
        <w:t xml:space="preserve">PDC PROCESS  ·  DATA IDENTIFICATION</w:t>
      </w:r>
    </w:p>
    <w:p>
      <w:pPr>
        <w:spacing w:before="200"/>
      </w:pPr>
      <w:r>
        <w:rPr>
          <w:b/>
          <w:bCs/>
          <w:color w:val="5B7782"/>
          <w:spacing w:val="20"/>
          <w:sz w:val="32"/>
          <w:szCs w:val="32"/>
        </w:rPr>
        <w:t xml:space="preserve">WORKSHOP 5</w:t>
      </w:r>
    </w:p>
    <w:p>
      <w:pPr>
        <w:spacing w:before="320"/>
      </w:pPr>
      <w:r>
        <w:rPr>
          <w:rFonts w:ascii="Cambria" w:eastAsia="Cambria" w:hAnsi="Cambria" w:cs="Cambria"/>
          <w:b/>
          <w:bCs/>
          <w:color w:val="14333F"/>
          <w:sz w:val="56"/>
          <w:szCs w:val="56"/>
        </w:rPr>
        <w:t xml:space="preserve">Data Identification</w:t>
      </w:r>
    </w:p>
    <w:p>
      <w:pPr>
        <w:spacing w:before="200"/>
      </w:pPr>
      <w:r>
        <w:rPr>
          <w:color w:val="065A82"/>
          <w:sz w:val="28"/>
          <w:szCs w:val="28"/>
        </w:rPr>
        <w:t xml:space="preserve">How PDC recognizes what your data is — dictionaries and patterns that classify, tag, and prepare every column and document for governance.</w:t>
      </w:r>
    </w:p>
    <w:p>
      <w:pPr>
        <w:pBdr>
          <w:top w:val="single" w:sz="6" w:space="8" w:color="1C7293"/>
        </w:pBdr>
        <w:spacing w:before="500"/>
      </w:pPr>
    </w:p>
    <w:p>
      <w:pPr>
        <w:spacing w:before="200"/>
      </w:pPr>
      <w:r>
        <w:rPr>
          <w:b/>
          <w:bCs/>
          <w:color w:val="5B7782"/>
          <w:sz w:val="24"/>
          <w:szCs w:val="24"/>
        </w:rPr>
        <w:t xml:space="preserve">Primary role:  </w:t>
      </w:r>
      <w:r>
        <w:rPr>
          <w:color w:val="14333F"/>
          <w:sz w:val="24"/>
          <w:szCs w:val="24"/>
        </w:rPr>
        <w:t xml:space="preserve">Business Analyst</w:t>
      </w:r>
    </w:p>
    <w:p>
      <w:pPr>
        <w:spacing w:before="80"/>
      </w:pPr>
      <w:r>
        <w:rPr>
          <w:b/>
          <w:bCs/>
          <w:color w:val="5B7782"/>
          <w:sz w:val="24"/>
          <w:szCs w:val="24"/>
        </w:rPr>
        <w:t xml:space="preserve">Estimated time:  </w:t>
      </w:r>
      <w:r>
        <w:rPr>
          <w:color w:val="14333F"/>
          <w:sz w:val="24"/>
          <w:szCs w:val="24"/>
        </w:rPr>
        <w:t xml:space="preserve">60 minutes</w:t>
      </w:r>
    </w:p>
    <w:p>
      <w:pPr>
        <w:spacing w:before="80"/>
      </w:pPr>
      <w:r>
        <w:rPr>
          <w:b/>
          <w:bCs/>
          <w:color w:val="5B7782"/>
          <w:sz w:val="24"/>
          <w:szCs w:val="24"/>
        </w:rPr>
        <w:t xml:space="preserve">Dataset:  </w:t>
      </w:r>
      <w:r>
        <w:rPr>
          <w:color w:val="14333F"/>
          <w:sz w:val="24"/>
          <w:szCs w:val="24"/>
        </w:rPr>
        <w:t xml:space="preserve">Canyon Trail Outfitters (cto_retail + cto-documents)</w:t>
      </w:r>
    </w:p>
    <w:p>
      <w:pPr>
        <w:pStyle w:val="Heading1"/>
      </w:pPr>
      <w:r>
        <w:t xml:space="preserve">Why this workshop matters</w:t>
      </w:r>
    </w:p>
    <w:p>
      <w:pPr>
        <w:spacing w:after="120"/>
      </w:pPr>
      <w:r>
        <w:t xml:space="preserve">As a Business Analyst you rely on the catalog knowing </w:t>
      </w:r>
      <w:r>
        <w:rPr>
          <w:i/>
          <w:iCs/>
        </w:rPr>
        <w:t xml:space="preserve">what its data is</w:t>
      </w:r>
      <w:r>
        <w:t xml:space="preserve"> — that classification is what lets you search by business meaning, trust sensitivity labels, and reason about where information lives. </w:t>
      </w:r>
      <w:r>
        <w:rPr>
          <w:b/>
          <w:bCs/>
        </w:rPr>
        <w:t xml:space="preserve">Data Identification</w:t>
      </w:r>
      <w:r>
        <w:t xml:space="preserve"> is the engine that produces it. This workshop builds a complete conceptual picture of how that engine works — and at CTO it has a very concrete job: finding cardholder data wherever it hides.</w:t>
      </w:r>
    </w:p>
    <w:p>
      <w:pPr>
        <w:pBdr>
          <w:left w:val="single" w:sz="12" w:space="8" w:color="065A82"/>
        </w:pBdr>
        <w:shd w:val="clear" w:color="auto" w:fill="EEF6FA"/>
        <w:ind w:left="240" w:right="240"/>
        <w:spacing w:before="120" w:after="160"/>
      </w:pPr>
      <w:r>
        <w:rPr>
          <w:b/>
          <w:bCs/>
        </w:rPr>
        <w:t xml:space="preserve">The big picture.</w:t>
      </w:r>
      <w:r>
        <w:t xml:space="preserve"> Profiling tells you the </w:t>
      </w:r>
      <w:r>
        <w:rPr>
          <w:i/>
          <w:iCs/>
        </w:rPr>
        <w:t xml:space="preserve">shape</w:t>
      </w:r>
      <w:r>
        <w:t xml:space="preserve"> of a column — its statistics, samples, and patterns. Data Identification tells you what the column </w:t>
      </w:r>
      <w:r>
        <w:rPr>
          <w:i/>
          <w:iCs/>
        </w:rPr>
        <w:t xml:space="preserve">means</w:t>
      </w:r>
      <w:r>
        <w:t xml:space="preserve">. It compares your data against two kinds of methods — dictionaries and patterns — and tags whatever matches, turning "we think this column is a card number" into "the catalog knows it is."</w:t>
      </w:r>
    </w:p>
    <w:p>
      <w:pPr>
        <w:pBdr>
          <w:left w:val="single" w:sz="12" w:space="8" w:color="065A82"/>
        </w:pBdr>
        <w:shd w:val="clear" w:color="auto" w:fill="EEF6FA"/>
        <w:ind w:left="240" w:right="240"/>
        <w:spacing w:before="120" w:after="160"/>
      </w:pPr>
      <w:r>
        <w:rPr>
          <w:b/>
          <w:bCs/>
        </w:rPr>
        <w:t xml:space="preserve">Identify once.</w:t>
      </w:r>
      <w:r>
        <w:t xml:space="preserve"> Run Data Identification as a one-time baseline. After the stewards override tags and sensitivity, re-running identification clobbers their work.</w:t>
      </w:r>
    </w:p>
    <w:p>
      <w:pPr>
        <w:pStyle w:val="Heading1"/>
      </w:pPr>
      <w:r>
        <w:t xml:space="preserve">What you will learn</w:t>
      </w:r>
    </w:p>
    <w:p>
      <w:pPr>
        <w:pStyle w:val="ListParagraph"/>
        <w:numPr>
          <w:ilvl w:val="0"/>
          <w:numId w:val="2"/>
        </w:numPr>
        <w:spacing w:after="60"/>
      </w:pPr>
      <w:r>
        <w:t xml:space="preserve">What Data Identification is, and where it sits in the PDC pipeline.</w:t>
      </w:r>
    </w:p>
    <w:p>
      <w:pPr>
        <w:pStyle w:val="ListParagraph"/>
        <w:numPr>
          <w:ilvl w:val="0"/>
          <w:numId w:val="2"/>
        </w:numPr>
        <w:spacing w:after="60"/>
      </w:pPr>
      <w:r>
        <w:t xml:space="preserve">The two identification methods — Data Dictionaries (match by value) and Data Patterns (match by shape) — and when each applies.</w:t>
      </w:r>
    </w:p>
    <w:p>
      <w:pPr>
        <w:pStyle w:val="ListParagraph"/>
        <w:numPr>
          <w:ilvl w:val="0"/>
          <w:numId w:val="2"/>
        </w:numPr>
        <w:spacing w:after="60"/>
      </w:pPr>
      <w:r>
        <w:t xml:space="preserve">How a match becomes a tag — confidence, condition, and action — at a level a BA needs.</w:t>
      </w:r>
    </w:p>
    <w:p>
      <w:pPr>
        <w:pStyle w:val="ListParagraph"/>
        <w:numPr>
          <w:ilvl w:val="0"/>
          <w:numId w:val="2"/>
        </w:numPr>
        <w:spacing w:after="60"/>
      </w:pPr>
      <w:r>
        <w:t xml:space="preserve">How dictionaries and patterns combine into policies, and what a run produces in the catalog.</w:t>
      </w:r>
    </w:p>
    <w:p>
      <w:pPr>
        <w:pStyle w:val="ListParagraph"/>
        <w:numPr>
          <w:ilvl w:val="0"/>
          <w:numId w:val="2"/>
        </w:numPr>
        <w:spacing w:after="60"/>
      </w:pPr>
      <w:r>
        <w:t xml:space="preserve">That identification reaches unstructured documents too — the same methods, applied to file content through Data Discovery.</w:t>
      </w:r>
    </w:p>
    <w:p>
      <w:pPr>
        <w:pStyle w:val="ListParagraph"/>
        <w:numPr>
          <w:ilvl w:val="0"/>
          <w:numId w:val="2"/>
        </w:numPr>
        <w:spacing w:after="60"/>
      </w:pPr>
      <w:r>
        <w:t xml:space="preserve">What the engine </w:t>
      </w:r>
      <w:r>
        <w:rPr>
          <w:i/>
          <w:iCs/>
        </w:rPr>
        <w:t xml:space="preserve">finds</w:t>
      </w:r>
      <w:r>
        <w:t xml:space="preserve"> (</w:t>
      </w:r>
      <w:r>
        <w:rPr>
          <w:rFonts w:ascii="Consolas" w:hAnsi="Consolas"/>
          <w:color w:val="0A5560"/>
          <w:sz w:val="20"/>
          <w:szCs w:val="20"/>
        </w:rPr>
        <w:t xml:space="preserve">card_no</w:t>
      </w:r>
      <w:r>
        <w:t xml:space="preserve"> — the smoking gun) and what it </w:t>
      </w:r>
      <w:r>
        <w:rPr>
          <w:i/>
          <w:iCs/>
        </w:rPr>
        <w:t xml:space="preserve">misses</w:t>
      </w:r>
      <w:r>
        <w:t xml:space="preserve"> (</w:t>
      </w:r>
      <w:r>
        <w:rPr>
          <w:rFonts w:ascii="Consolas" w:hAnsi="Consolas"/>
          <w:color w:val="0A5560"/>
          <w:sz w:val="20"/>
          <w:szCs w:val="20"/>
        </w:rPr>
        <w:t xml:space="preserve">loyalty_no</w:t>
      </w:r>
      <w:r>
        <w:t xml:space="preserve"> — the custom-method case), and why both teach the same lesson.</w:t>
      </w:r>
    </w:p>
    <w:p>
      <w:pPr>
        <w:pStyle w:val="Heading1"/>
      </w:pPr>
      <w:r>
        <w:t xml:space="preserve">Where Data Identification sits</w:t>
      </w:r>
    </w:p>
    <w:p>
      <w:pPr>
        <w:spacing w:after="120"/>
      </w:pPr>
      <w:r>
        <w:t xml:space="preserve">Identification is the second step of the catalog pipeline. Each stage feeds the next: you cannot identify data you have not profiled, and you cannot govern data you have not identified.</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Stage</w:t>
            </w:r>
          </w:p>
        </w:tc>
        <w:tc>
          <w:tcPr>
            <w:tcW w:w="3430" w:type="dxa"/>
            <w:shd w:val="clear" w:color="auto" w:fill="EEF6FA"/>
            <w:tcMar>
              <w:top w:w="120" w:type="dxa"/>
              <w:left w:w="180" w:type="dxa"/>
              <w:bottom w:w="120" w:type="dxa"/>
              <w:right w:w="180" w:type="dxa"/>
            </w:tcMar>
          </w:tcPr>
          <w:p>
            <w:pPr>
              <w:spacing w:after="0"/>
            </w:pPr>
            <w:r>
              <w:rPr>
                <w:b/>
                <w:bCs/>
              </w:rPr>
              <w:t xml:space="preserve">What happens</w:t>
            </w:r>
          </w:p>
        </w:tc>
        <w:tc>
          <w:tcPr>
            <w:tcW w:w="3430" w:type="dxa"/>
            <w:shd w:val="clear" w:color="auto" w:fill="EEF6FA"/>
            <w:tcMar>
              <w:top w:w="120" w:type="dxa"/>
              <w:left w:w="180" w:type="dxa"/>
              <w:bottom w:w="120" w:type="dxa"/>
              <w:right w:w="180" w:type="dxa"/>
            </w:tcMar>
          </w:tcPr>
          <w:p>
            <w:pPr>
              <w:spacing w:after="0"/>
            </w:pPr>
            <w:r>
              <w:rPr>
                <w:b/>
                <w:bCs/>
              </w:rPr>
              <w:t xml:space="preserve">Why it matters</w:t>
            </w:r>
          </w:p>
        </w:tc>
      </w:tr>
      <w:tr>
        <w:tc>
          <w:tcPr>
            <w:tcW w:w="2500" w:type="dxa"/>
            <w:tcMar>
              <w:top w:w="120" w:type="dxa"/>
              <w:left w:w="180" w:type="dxa"/>
              <w:bottom w:w="120" w:type="dxa"/>
              <w:right w:w="180" w:type="dxa"/>
            </w:tcMar>
          </w:tcPr>
          <w:p>
            <w:pPr>
              <w:spacing w:after="0"/>
            </w:pPr>
            <w:r>
              <w:t xml:space="preserve">Profile</w:t>
            </w:r>
          </w:p>
        </w:tc>
        <w:tc>
          <w:tcPr>
            <w:tcW w:w="3430" w:type="dxa"/>
            <w:tcMar>
              <w:top w:w="120" w:type="dxa"/>
              <w:left w:w="180" w:type="dxa"/>
              <w:bottom w:w="120" w:type="dxa"/>
              <w:right w:w="180" w:type="dxa"/>
            </w:tcMar>
          </w:tcPr>
          <w:p>
            <w:pPr>
              <w:spacing w:after="0"/>
            </w:pPr>
            <w:r>
              <w:t xml:space="preserve">Generates statistics, samples, and data patterns for each column.</w:t>
            </w:r>
          </w:p>
        </w:tc>
        <w:tc>
          <w:tcPr>
            <w:tcW w:w="3430" w:type="dxa"/>
            <w:tcMar>
              <w:top w:w="120" w:type="dxa"/>
              <w:left w:w="180" w:type="dxa"/>
              <w:bottom w:w="120" w:type="dxa"/>
              <w:right w:w="180" w:type="dxa"/>
            </w:tcMar>
          </w:tcPr>
          <w:p>
            <w:pPr>
              <w:spacing w:after="0"/>
            </w:pPr>
            <w:r>
              <w:t xml:space="preserve">Produces the raw material identification matches against.</w:t>
            </w:r>
          </w:p>
        </w:tc>
      </w:tr>
      <w:tr>
        <w:tc>
          <w:tcPr>
            <w:tcW w:w="2500" w:type="dxa"/>
            <w:tcMar>
              <w:top w:w="120" w:type="dxa"/>
              <w:left w:w="180" w:type="dxa"/>
              <w:bottom w:w="120" w:type="dxa"/>
              <w:right w:w="180" w:type="dxa"/>
            </w:tcMar>
          </w:tcPr>
          <w:p>
            <w:pPr>
              <w:spacing w:after="0"/>
            </w:pPr>
            <w:r>
              <w:t xml:space="preserve">Identify</w:t>
            </w:r>
          </w:p>
        </w:tc>
        <w:tc>
          <w:tcPr>
            <w:tcW w:w="3430" w:type="dxa"/>
            <w:tcMar>
              <w:top w:w="120" w:type="dxa"/>
              <w:left w:w="180" w:type="dxa"/>
              <w:bottom w:w="120" w:type="dxa"/>
              <w:right w:w="180" w:type="dxa"/>
            </w:tcMar>
          </w:tcPr>
          <w:p>
            <w:pPr>
              <w:spacing w:after="0"/>
            </w:pPr>
            <w:r>
              <w:t xml:space="preserve">Matches columns against dictionaries and patterns; applies tags and terms.</w:t>
            </w:r>
          </w:p>
        </w:tc>
        <w:tc>
          <w:tcPr>
            <w:tcW w:w="3430" w:type="dxa"/>
            <w:tcMar>
              <w:top w:w="120" w:type="dxa"/>
              <w:left w:w="180" w:type="dxa"/>
              <w:bottom w:w="120" w:type="dxa"/>
              <w:right w:w="180" w:type="dxa"/>
            </w:tcMar>
          </w:tcPr>
          <w:p>
            <w:pPr>
              <w:spacing w:after="0"/>
            </w:pPr>
            <w:r>
              <w:t xml:space="preserve">Turns raw columns into classified, meaningful assets.</w:t>
            </w:r>
          </w:p>
        </w:tc>
      </w:tr>
      <w:tr>
        <w:tc>
          <w:tcPr>
            <w:tcW w:w="2500" w:type="dxa"/>
            <w:tcMar>
              <w:top w:w="120" w:type="dxa"/>
              <w:left w:w="180" w:type="dxa"/>
              <w:bottom w:w="120" w:type="dxa"/>
              <w:right w:w="180" w:type="dxa"/>
            </w:tcMar>
          </w:tcPr>
          <w:p>
            <w:pPr>
              <w:spacing w:after="0"/>
            </w:pPr>
            <w:r>
              <w:t xml:space="preserve">Tag &amp; classify</w:t>
            </w:r>
          </w:p>
        </w:tc>
        <w:tc>
          <w:tcPr>
            <w:tcW w:w="3430" w:type="dxa"/>
            <w:tcMar>
              <w:top w:w="120" w:type="dxa"/>
              <w:left w:w="180" w:type="dxa"/>
              <w:bottom w:w="120" w:type="dxa"/>
              <w:right w:w="180" w:type="dxa"/>
            </w:tcMar>
          </w:tcPr>
          <w:p>
            <w:pPr>
              <w:spacing w:after="0"/>
            </w:pPr>
            <w:r>
              <w:t xml:space="preserve">Matched columns carry tags and linked business terms.</w:t>
            </w:r>
          </w:p>
        </w:tc>
        <w:tc>
          <w:tcPr>
            <w:tcW w:w="3430" w:type="dxa"/>
            <w:tcMar>
              <w:top w:w="120" w:type="dxa"/>
              <w:left w:w="180" w:type="dxa"/>
              <w:bottom w:w="120" w:type="dxa"/>
              <w:right w:w="180" w:type="dxa"/>
            </w:tcMar>
          </w:tcPr>
          <w:p>
            <w:pPr>
              <w:spacing w:after="0"/>
            </w:pPr>
            <w:r>
              <w:t xml:space="preserve">Makes meaning, ownership, and sensitivity explicit.</w:t>
            </w:r>
          </w:p>
        </w:tc>
      </w:tr>
      <w:tr>
        <w:tc>
          <w:tcPr>
            <w:tcW w:w="2500" w:type="dxa"/>
            <w:tcMar>
              <w:top w:w="120" w:type="dxa"/>
              <w:left w:w="180" w:type="dxa"/>
              <w:bottom w:w="120" w:type="dxa"/>
              <w:right w:w="180" w:type="dxa"/>
            </w:tcMar>
          </w:tcPr>
          <w:p>
            <w:pPr>
              <w:spacing w:after="0"/>
            </w:pPr>
            <w:r>
              <w:t xml:space="preserve">Discover &amp; govern</w:t>
            </w:r>
          </w:p>
        </w:tc>
        <w:tc>
          <w:tcPr>
            <w:tcW w:w="3430" w:type="dxa"/>
            <w:tcMar>
              <w:top w:w="120" w:type="dxa"/>
              <w:left w:w="180" w:type="dxa"/>
              <w:bottom w:w="120" w:type="dxa"/>
              <w:right w:w="180" w:type="dxa"/>
            </w:tcMar>
          </w:tcPr>
          <w:p>
            <w:pPr>
              <w:spacing w:after="0"/>
            </w:pPr>
            <w:r>
              <w:t xml:space="preserve">Search, sensitivity, lineage, and the Galaxy View draw on the tags.</w:t>
            </w:r>
          </w:p>
        </w:tc>
        <w:tc>
          <w:tcPr>
            <w:tcW w:w="3430" w:type="dxa"/>
            <w:tcMar>
              <w:top w:w="120" w:type="dxa"/>
              <w:left w:w="180" w:type="dxa"/>
              <w:bottom w:w="120" w:type="dxa"/>
              <w:right w:w="180" w:type="dxa"/>
            </w:tcMar>
          </w:tcPr>
          <w:p>
            <w:pPr>
              <w:spacing w:after="0"/>
            </w:pPr>
            <w:r>
              <w:t xml:space="preserve">Everything downstream depends on identification being right.</w:t>
            </w:r>
          </w:p>
        </w:tc>
      </w:tr>
    </w:tbl>
    <w:p>
      <w:pPr>
        <w:spacing w:after="120"/>
      </w:pPr>
    </w:p>
    <w:p>
      <w:pPr>
        <w:spacing w:after="120"/>
      </w:pPr>
      <w:r>
        <w:rPr>
          <w:b/>
          <w:bCs/>
        </w:rPr>
        <w:t xml:space="preserve">Profiling comes first:</w:t>
      </w:r>
      <w:r>
        <w:t xml:space="preserve"> Data Identification runs on profiled data — it needs the patterns and samples that profiling produced in Workshop 4. Profile a table before you identify it, or the job has nothing to match against.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The pipeline — profile, identify, tag, govern</w:t>
      </w:r>
    </w:p>
    <w:p>
      <w:pPr>
        <w:pStyle w:val="Heading1"/>
      </w:pPr>
      <w:r>
        <w:t xml:space="preserve">The two methods</w:t>
      </w:r>
    </w:p>
    <w:p>
      <w:pPr>
        <w:spacing w:after="120"/>
      </w:pPr>
      <w:r>
        <w:t xml:space="preserve">Every identification comes down to one question: "what is this column?" PDC answers it two ways. A </w:t>
      </w:r>
      <w:r>
        <w:rPr>
          <w:b/>
          <w:bCs/>
        </w:rPr>
        <w:t xml:space="preserve">dictionary</w:t>
      </w:r>
      <w:r>
        <w:t xml:space="preserve"> matches by value; a </w:t>
      </w:r>
      <w:r>
        <w:rPr>
          <w:b/>
          <w:bCs/>
        </w:rPr>
        <w:t xml:space="preserve">pattern</w:t>
      </w:r>
      <w:r>
        <w:t xml:space="preserve"> matches by shape. Most real-world identification uses both together.</w:t>
      </w:r>
    </w:p>
    <w:p>
      <w:pPr>
        <w:pStyle w:val="Heading2"/>
      </w:pPr>
      <w:r>
        <w:t xml:space="preserve">Method 1 — Data Dictionary (match by value)</w:t>
      </w:r>
    </w:p>
    <w:p>
      <w:pPr>
        <w:spacing w:after="120"/>
      </w:pPr>
      <w:r>
        <w:t xml:space="preserve">A dictionary is a curated list of terms or values. During identification PDC compares a column's actual contents to that list; a match means the value appears in the list. Dictionaries are the right tool for data that has no fixed shape — where the meaning lives in the values themselves.</w:t>
      </w:r>
    </w:p>
    <w:p>
      <w:pPr>
        <w:pStyle w:val="ListParagraph"/>
        <w:numPr>
          <w:ilvl w:val="0"/>
          <w:numId w:val="2"/>
        </w:numPr>
        <w:spacing w:after="60"/>
      </w:pPr>
      <w:r>
        <w:rPr>
          <w:b/>
          <w:bCs/>
        </w:rPr>
        <w:t xml:space="preserve">System-defined:</w:t>
      </w:r>
      <w:r>
        <w:t xml:space="preserve"> 95 dictionaries ship built-in — ISO country codes, currency, marital status, US states, and more.</w:t>
      </w:r>
    </w:p>
    <w:p>
      <w:pPr>
        <w:pStyle w:val="ListParagraph"/>
        <w:numPr>
          <w:ilvl w:val="0"/>
          <w:numId w:val="2"/>
        </w:numPr>
        <w:spacing w:after="60"/>
      </w:pPr>
      <w:r>
        <w:rPr>
          <w:b/>
          <w:bCs/>
        </w:rPr>
        <w:t xml:space="preserve">User-defined:</w:t>
      </w:r>
      <w:r>
        <w:t xml:space="preserve"> your own lists — upload a single-column CSV, build one in the UI, or extract terms from a profiled column.</w:t>
      </w:r>
    </w:p>
    <w:p>
      <w:pPr>
        <w:spacing w:after="120"/>
      </w:pPr>
      <w:r>
        <w:rPr>
          <w:b/>
          <w:bCs/>
        </w:rPr>
        <w:t xml:space="preserve">Best for:</w:t>
      </w:r>
      <w:r>
        <w:t xml:space="preserve"> state codes, product categories, tender types, status vocabularies, city lists, and custom business terminology.</w:t>
      </w:r>
    </w:p>
    <w:p>
      <w:pPr>
        <w:pBdr>
          <w:left w:val="single" w:sz="12" w:space="8" w:color="065A82"/>
        </w:pBdr>
        <w:shd w:val="clear" w:color="auto" w:fill="EEF6FA"/>
        <w:ind w:left="240" w:right="240"/>
        <w:spacing w:before="120" w:after="160"/>
      </w:pPr>
      <w:r>
        <w:rPr>
          <w:b/>
          <w:bCs/>
        </w:rPr>
        <w:t xml:space="preserve">Example — Marital_Status.</w:t>
      </w:r>
      <w:r>
        <w:t xml:space="preserve"> The column holds values such as Single · Married · Divorced. Identification compares those values to the built-in Marital_Status dictionary. On a match, it applies the tags PII and Sensitive: Marital Status. These low-cardinality values have no regex shape, so a dictionary — not a pattern — is the correct method. (CTO's own enums — </w:t>
      </w:r>
      <w:r>
        <w:rPr>
          <w:rFonts w:ascii="Consolas" w:hAnsi="Consolas"/>
          <w:color w:val="0A5560"/>
          <w:sz w:val="20"/>
          <w:szCs w:val="20"/>
        </w:rPr>
        <w:t xml:space="preserve">category_cd</w:t>
      </w:r>
      <w:r>
        <w:t xml:space="preserve">, </w:t>
      </w:r>
      <w:r>
        <w:rPr>
          <w:rFonts w:ascii="Consolas" w:hAnsi="Consolas"/>
          <w:color w:val="0A5560"/>
          <w:sz w:val="20"/>
          <w:szCs w:val="20"/>
        </w:rPr>
        <w:t xml:space="preserve">pay_method_cd</w:t>
      </w:r>
      <w:r>
        <w:t xml:space="preserve">, </w:t>
      </w:r>
      <w:r>
        <w:rPr>
          <w:rFonts w:ascii="Consolas" w:hAnsi="Consolas"/>
          <w:color w:val="0A5560"/>
          <w:sz w:val="20"/>
          <w:szCs w:val="20"/>
        </w:rPr>
        <w:t xml:space="preserve">ret_reason_cd</w:t>
      </w:r>
      <w:r>
        <w:t xml:space="preserve"> — are exactly this kind of data, which is why Part B uploads CTO dictionaries for them.)</w:t>
      </w:r>
    </w:p>
    <w:p>
      <w:pPr>
        <w:spacing w:after="120"/>
      </w:pPr>
      <w:r>
        <w:t xml:space="preserve">Every dictionary and pattern carries an </w:t>
      </w:r>
      <w:r>
        <w:rPr>
          <w:b/>
          <w:bCs/>
        </w:rPr>
        <w:t xml:space="preserve">identification rule</w:t>
      </w:r>
      <w:r>
        <w:t xml:space="preserve"> — the logic PDC evaluates during Data Identification to decide whether a column matches. (Note: this is the method's own rule, not a PDC "Business Rule," which is the separate data-quality feature you met in Workshop 4.) Take the built-in Marital_Status dictionary: its rule needs a minimum sample of ~200 values, then computes a confidence score as a weighted blend of </w:t>
      </w:r>
      <w:r>
        <w:rPr>
          <w:b/>
          <w:bCs/>
        </w:rPr>
        <w:t xml:space="preserve">similarity</w:t>
      </w:r>
      <w:r>
        <w:t xml:space="preserve"> (how closely the column's actual values match the dictionary's accepted list, weighted 0.9) and </w:t>
      </w:r>
      <w:r>
        <w:rPr>
          <w:b/>
          <w:bCs/>
        </w:rPr>
        <w:t xml:space="preserve">metadata score</w:t>
      </w:r>
      <w:r>
        <w:t xml:space="preserve"> (hints from the column name, weighted 0.1) — so content matters far more than the column's name. The rule only fires when two conditions are both met: confidence ≥ 0.7 </w:t>
      </w:r>
      <w:r>
        <w:rPr>
          <w:b/>
          <w:bCs/>
        </w:rPr>
        <w:t xml:space="preserve">and</w:t>
      </w:r>
      <w:r>
        <w:t xml:space="preserve"> column cardinality ≥ 3 (a guard that stops columns with one or two distinct values being mislabelled). On a match, its action applies the tags. Those categories are also what drive the column's Sensitivity rating (UNKNOWN → LOW/MEDIUM/HIGH), and the dictionary's linked term lets the same match seed a business-term association.</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Data Identification Rule — a built-in dictionary</w:t>
      </w:r>
    </w:p>
    <w:p>
      <w:pPr>
        <w:pStyle w:val="Heading2"/>
      </w:pPr>
      <w:r>
        <w:t xml:space="preserve">Method 2 — Data Patterns (match by shape)</w:t>
      </w:r>
    </w:p>
    <w:p>
      <w:pPr>
        <w:spacing w:after="120"/>
      </w:pPr>
      <w:r>
        <w:t xml:space="preserve">Pattern analysis reduces each value to a simple shape string — one symbol per character position — then matches that shape, and an optional regular expression, against a known format. Patterns suit data with a recognizable structure, regardless of the specific values.</w:t>
      </w:r>
    </w:p>
    <w:p>
      <w:pPr>
        <w:spacing w:after="120"/>
      </w:pPr>
      <w:r>
        <w:t xml:space="preserve">The pattern alphabet:</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Symbol</w:t>
            </w:r>
          </w:p>
        </w:tc>
        <w:tc>
          <w:tcPr>
            <w:tcW w:w="6460" w:type="dxa"/>
            <w:shd w:val="clear" w:color="auto" w:fill="EEF6FA"/>
            <w:tcMar>
              <w:top w:w="120" w:type="dxa"/>
              <w:left w:w="180" w:type="dxa"/>
              <w:bottom w:w="120" w:type="dxa"/>
              <w:right w:w="180" w:type="dxa"/>
            </w:tcMar>
          </w:tcPr>
          <w:p>
            <w:pPr>
              <w:spacing w:after="0"/>
            </w:pPr>
            <w:r>
              <w:rPr>
                <w:b/>
                <w:bCs/>
              </w:rPr>
              <w:t xml:space="preserve">Meaning</w:t>
            </w:r>
          </w:p>
        </w:tc>
      </w:tr>
      <w:tr>
        <w:tc>
          <w:tcPr>
            <w:tcW w:w="2900" w:type="dxa"/>
            <w:tcMar>
              <w:top w:w="120" w:type="dxa"/>
              <w:left w:w="180" w:type="dxa"/>
              <w:bottom w:w="120" w:type="dxa"/>
              <w:right w:w="180" w:type="dxa"/>
            </w:tcMar>
          </w:tcPr>
          <w:p>
            <w:pPr>
              <w:spacing w:after="0"/>
            </w:pPr>
            <w:r>
              <w:t xml:space="preserve">A</w:t>
            </w:r>
          </w:p>
        </w:tc>
        <w:tc>
          <w:tcPr>
            <w:tcW w:w="6460" w:type="dxa"/>
            <w:tcMar>
              <w:top w:w="120" w:type="dxa"/>
              <w:left w:w="180" w:type="dxa"/>
              <w:bottom w:w="120" w:type="dxa"/>
              <w:right w:w="180" w:type="dxa"/>
            </w:tcMar>
          </w:tcPr>
          <w:p>
            <w:pPr>
              <w:spacing w:after="0"/>
            </w:pPr>
            <w:r>
              <w:t xml:space="preserve">Upper-case letter</w:t>
            </w:r>
          </w:p>
        </w:tc>
      </w:tr>
      <w:tr>
        <w:tc>
          <w:tcPr>
            <w:tcW w:w="2900" w:type="dxa"/>
            <w:tcMar>
              <w:top w:w="120" w:type="dxa"/>
              <w:left w:w="180" w:type="dxa"/>
              <w:bottom w:w="120" w:type="dxa"/>
              <w:right w:w="180" w:type="dxa"/>
            </w:tcMar>
          </w:tcPr>
          <w:p>
            <w:pPr>
              <w:spacing w:after="0"/>
            </w:pPr>
            <w:r>
              <w:t xml:space="preserve">a</w:t>
            </w:r>
          </w:p>
        </w:tc>
        <w:tc>
          <w:tcPr>
            <w:tcW w:w="6460" w:type="dxa"/>
            <w:tcMar>
              <w:top w:w="120" w:type="dxa"/>
              <w:left w:w="180" w:type="dxa"/>
              <w:bottom w:w="120" w:type="dxa"/>
              <w:right w:w="180" w:type="dxa"/>
            </w:tcMar>
          </w:tcPr>
          <w:p>
            <w:pPr>
              <w:spacing w:after="0"/>
            </w:pPr>
            <w:r>
              <w:t xml:space="preserve">Lower-case letter</w:t>
            </w:r>
          </w:p>
        </w:tc>
      </w:tr>
      <w:tr>
        <w:tc>
          <w:tcPr>
            <w:tcW w:w="2900" w:type="dxa"/>
            <w:tcMar>
              <w:top w:w="120" w:type="dxa"/>
              <w:left w:w="180" w:type="dxa"/>
              <w:bottom w:w="120" w:type="dxa"/>
              <w:right w:w="180" w:type="dxa"/>
            </w:tcMar>
          </w:tcPr>
          <w:p>
            <w:pPr>
              <w:spacing w:after="0"/>
            </w:pPr>
            <w:r>
              <w:t xml:space="preserve">n</w:t>
            </w:r>
          </w:p>
        </w:tc>
        <w:tc>
          <w:tcPr>
            <w:tcW w:w="6460" w:type="dxa"/>
            <w:tcMar>
              <w:top w:w="120" w:type="dxa"/>
              <w:left w:w="180" w:type="dxa"/>
              <w:bottom w:w="120" w:type="dxa"/>
              <w:right w:w="180" w:type="dxa"/>
            </w:tcMar>
          </w:tcPr>
          <w:p>
            <w:pPr>
              <w:spacing w:after="0"/>
            </w:pPr>
            <w:r>
              <w:t xml:space="preserve">Digit 0–9</w:t>
            </w:r>
          </w:p>
        </w:tc>
      </w:tr>
      <w:tr>
        <w:tc>
          <w:tcPr>
            <w:tcW w:w="2900" w:type="dxa"/>
            <w:tcMar>
              <w:top w:w="120" w:type="dxa"/>
              <w:left w:w="180" w:type="dxa"/>
              <w:bottom w:w="120" w:type="dxa"/>
              <w:right w:w="180" w:type="dxa"/>
            </w:tcMar>
          </w:tcPr>
          <w:p>
            <w:pPr>
              <w:spacing w:after="0"/>
            </w:pPr>
            <w:r>
              <w:t xml:space="preserve">s</w:t>
            </w:r>
          </w:p>
        </w:tc>
        <w:tc>
          <w:tcPr>
            <w:tcW w:w="6460" w:type="dxa"/>
            <w:tcMar>
              <w:top w:w="120" w:type="dxa"/>
              <w:left w:w="180" w:type="dxa"/>
              <w:bottom w:w="120" w:type="dxa"/>
              <w:right w:w="180" w:type="dxa"/>
            </w:tcMar>
          </w:tcPr>
          <w:p>
            <w:pPr>
              <w:spacing w:after="0"/>
            </w:pPr>
            <w:r>
              <w:t xml:space="preserve">Symbol</w:t>
            </w:r>
          </w:p>
        </w:tc>
      </w:tr>
      <w:tr>
        <w:tc>
          <w:tcPr>
            <w:tcW w:w="2900" w:type="dxa"/>
            <w:tcMar>
              <w:top w:w="120" w:type="dxa"/>
              <w:left w:w="180" w:type="dxa"/>
              <w:bottom w:w="120" w:type="dxa"/>
              <w:right w:w="180" w:type="dxa"/>
            </w:tcMar>
          </w:tcPr>
          <w:p>
            <w:pPr>
              <w:spacing w:after="0"/>
            </w:pPr>
            <w:r>
              <w:t xml:space="preserve">w</w:t>
            </w:r>
          </w:p>
        </w:tc>
        <w:tc>
          <w:tcPr>
            <w:tcW w:w="6460" w:type="dxa"/>
            <w:tcMar>
              <w:top w:w="120" w:type="dxa"/>
              <w:left w:w="180" w:type="dxa"/>
              <w:bottom w:w="120" w:type="dxa"/>
              <w:right w:w="180" w:type="dxa"/>
            </w:tcMar>
          </w:tcPr>
          <w:p>
            <w:pPr>
              <w:spacing w:after="0"/>
            </w:pPr>
            <w:r>
              <w:t xml:space="preserve">Whitespace</w:t>
            </w:r>
          </w:p>
        </w:tc>
      </w:tr>
    </w:tbl>
    <w:p>
      <w:pPr>
        <w:spacing w:after="120"/>
      </w:pPr>
    </w:p>
    <w:p>
      <w:pPr>
        <w:pBdr>
          <w:left w:val="single" w:sz="12" w:space="8" w:color="065A82"/>
        </w:pBdr>
        <w:shd w:val="clear" w:color="auto" w:fill="EEF6FA"/>
        <w:ind w:left="240" w:right="240"/>
        <w:spacing w:before="120" w:after="160"/>
      </w:pPr>
      <w:r>
        <w:rPr>
          <w:b/>
          <w:bCs/>
        </w:rPr>
        <w:t xml:space="preserve">Worked example — the loyalty number.</w:t>
      </w:r>
      <w:r>
        <w:t xml:space="preserve"> The value </w:t>
      </w:r>
      <w:r>
        <w:rPr>
          <w:rFonts w:ascii="Consolas" w:hAnsi="Consolas"/>
          <w:color w:val="0A5560"/>
          <w:sz w:val="20"/>
          <w:szCs w:val="20"/>
        </w:rPr>
        <w:t xml:space="preserve">CTO-200101</w:t>
      </w:r>
      <w:r>
        <w:t xml:space="preserve"> reduces to the pattern </w:t>
      </w:r>
      <w:r>
        <w:rPr>
          <w:rFonts w:ascii="Consolas" w:hAnsi="Consolas"/>
          <w:color w:val="0A5560"/>
          <w:sz w:val="20"/>
          <w:szCs w:val="20"/>
        </w:rPr>
        <w:t xml:space="preserve">AAA-nnnnnn</w:t>
      </w:r>
      <w:r>
        <w:t xml:space="preserve"> — three letters, a kept dash, six digits. From the top ~20 patterns it finds, PDC also recommends a tunable RegEx (here </w:t>
      </w:r>
      <w:r>
        <w:rPr>
          <w:rFonts w:ascii="Consolas" w:hAnsi="Consolas"/>
          <w:color w:val="0A5560"/>
          <w:sz w:val="20"/>
          <w:szCs w:val="20"/>
        </w:rPr>
        <w:t xml:space="preserve">^CTO-\d{6}$</w:t>
      </w:r>
      <w:r>
        <w:t xml:space="preserve">), which is reused later for data-quality checks that flag outliers.</w:t>
      </w:r>
    </w:p>
    <w:p>
      <w:pPr>
        <w:spacing w:after="120"/>
      </w:pPr>
      <w:r>
        <w:rPr>
          <w:b/>
          <w:bCs/>
        </w:rPr>
        <w:t xml:space="preserve">Best for:</w:t>
      </w:r>
      <w:r>
        <w:t xml:space="preserve"> email, phone, card numbers, SKUs, order numbers, IP addresses, dates, and structured reference codes.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Data Patterns — email</w:t>
      </w:r>
    </w:p>
    <w:p>
      <w:pPr>
        <w:spacing w:after="120"/>
      </w:pPr>
      <w:r>
        <w:t xml:space="preserve">The </w:t>
      </w:r>
      <w:r>
        <w:rPr>
          <w:b/>
          <w:bCs/>
        </w:rPr>
        <w:t xml:space="preserve">eMail</w:t>
      </w:r>
      <w:r>
        <w:t xml:space="preserve"> method is a Data Pattern — where a dictionary matches values against a list, a pattern matches them against a regular expression plus column-name hints. Its rule computes a confidence score as a weighted blend of two signals: </w:t>
      </w:r>
      <w:r>
        <w:rPr>
          <w:b/>
          <w:bCs/>
        </w:rPr>
        <w:t xml:space="preserve">regexScore</w:t>
      </w:r>
      <w:r>
        <w:t xml:space="preserve"> (how well the column's values match the email regex, weighted 0.6) and </w:t>
      </w:r>
      <w:r>
        <w:rPr>
          <w:b/>
          <w:bCs/>
        </w:rPr>
        <w:t xml:space="preserve">metadataScore</w:t>
      </w:r>
      <w:r>
        <w:t xml:space="preserve"> (how well the column name matches, weighted 0.4). The name hints live in </w:t>
      </w:r>
      <w:r>
        <w:rPr>
          <w:rFonts w:ascii="Consolas" w:hAnsi="Consolas"/>
          <w:color w:val="0A5560"/>
          <w:sz w:val="20"/>
          <w:szCs w:val="20"/>
        </w:rPr>
        <w:t xml:space="preserve">metadataHints.aliases</w:t>
      </w:r>
      <w:r>
        <w:t xml:space="preserve">: a column called </w:t>
      </w:r>
      <w:r>
        <w:rPr>
          <w:rFonts w:ascii="Consolas" w:hAnsi="Consolas"/>
          <w:color w:val="0A5560"/>
          <w:sz w:val="20"/>
          <w:szCs w:val="20"/>
        </w:rPr>
        <w:t xml:space="preserve">email</w:t>
      </w:r>
      <w:r>
        <w:t xml:space="preserve"> scores 0.9, one matching E-MAIL scores 1.0 — so a well-named column gets a strong metadata signal even before the values are examined. The </w:t>
      </w:r>
      <w:r>
        <w:rPr>
          <w:rFonts w:ascii="Consolas" w:hAnsi="Consolas"/>
          <w:color w:val="0A5560"/>
          <w:sz w:val="20"/>
          <w:szCs w:val="20"/>
        </w:rPr>
        <w:t xml:space="preserve">regexMatch</w:t>
      </w:r>
      <w:r>
        <w:t xml:space="preserve"> block holds the actual email regex applied to the content.</w:t>
      </w:r>
    </w:p>
    <w:p>
      <w:pPr>
        <w:spacing w:after="120"/>
      </w:pPr>
      <w:r>
        <w:t xml:space="preserve">What makes this pattern "loose" in a useful way is its condition, which uses </w:t>
      </w:r>
      <w:r>
        <w:rPr>
          <w:b/>
          <w:bCs/>
        </w:rPr>
        <w:t xml:space="preserve">or</w:t>
      </w:r>
      <w:r>
        <w:t xml:space="preserve">, not and: it fires when either the overall confidence is ≥ 0.5 or the regex score alone is ≥ 0.75. So it catches two cases — a column that's </w:t>
      </w:r>
      <w:r>
        <w:rPr>
          <w:i/>
          <w:iCs/>
        </w:rPr>
        <w:t xml:space="preserve">named</w:t>
      </w:r>
      <w:r>
        <w:t xml:space="preserve"> like email and </w:t>
      </w:r>
      <w:r>
        <w:rPr>
          <w:i/>
          <w:iCs/>
        </w:rPr>
        <w:t xml:space="preserve">looks</w:t>
      </w:r>
      <w:r>
        <w:t xml:space="preserve"> like email (combined confidence clears 0.5), or a column whose values are so clearly email addresses that the content alone is decisive (regex ≥ 0.75), even if the column name gives no hint. Like the dictionary, it needs minSamples: 200 before it evaluates.</w:t>
      </w:r>
    </w:p>
    <w:p>
      <w:pPr>
        <w:spacing w:after="120"/>
      </w:pPr>
      <w:r>
        <w:t xml:space="preserve">On a match, the action applies three tags, each with a confidence value of 100: PII, eMail, and Non-sensitive. Those come straight from the pattern's categories. This is also a good teaching moment on why sensitivity can read differently than you'd expect: email is tagged PII (it identifies a person) yet also Non-sensitive (it's routinely public-facing), which is why </w:t>
      </w:r>
      <w:r>
        <w:rPr>
          <w:rFonts w:ascii="Consolas" w:hAnsi="Consolas"/>
          <w:color w:val="0A5560"/>
          <w:sz w:val="20"/>
          <w:szCs w:val="20"/>
        </w:rPr>
        <w:t xml:space="preserve">customers.email</w:t>
      </w:r>
      <w:r>
        <w:t xml:space="preserve"> may not land as HIGH the way </w:t>
      </w:r>
      <w:r>
        <w:rPr>
          <w:rFonts w:ascii="Consolas" w:hAnsi="Consolas"/>
          <w:color w:val="0A5560"/>
          <w:sz w:val="20"/>
          <w:szCs w:val="20"/>
        </w:rPr>
        <w:t xml:space="preserve">card_no</w:t>
      </w:r>
      <w:r>
        <w:t xml:space="preserve"> does — the category tags, not the field itself, decide the sensitivity.</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Data Identification Rule — eMail</w:t>
      </w:r>
    </w:p>
    <w:p>
      <w:pPr>
        <w:pStyle w:val="Heading1"/>
      </w:pPr>
      <w:r>
        <w:t xml:space="preserve">From match to tag: scored, not guessed</w:t>
      </w:r>
    </w:p>
    <w:p>
      <w:pPr>
        <w:spacing w:after="120"/>
      </w:pPr>
      <w:r>
        <w:t xml:space="preserve">Both methods work the same way underneath. Matching is graded, not a yes/no guess — which is why identification is reliable. You don't author these steps as a BA, but knowing their shape explains the results you see.</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Step</w:t>
            </w:r>
          </w:p>
        </w:tc>
        <w:tc>
          <w:tcPr>
            <w:tcW w:w="6460" w:type="dxa"/>
            <w:shd w:val="clear" w:color="auto" w:fill="EEF6FA"/>
            <w:tcMar>
              <w:top w:w="120" w:type="dxa"/>
              <w:left w:w="180" w:type="dxa"/>
              <w:bottom w:w="120" w:type="dxa"/>
              <w:right w:w="180" w:type="dxa"/>
            </w:tcMar>
          </w:tcPr>
          <w:p>
            <w:pPr>
              <w:spacing w:after="0"/>
            </w:pPr>
            <w:r>
              <w:rPr>
                <w:b/>
                <w:bCs/>
              </w:rPr>
              <w:t xml:space="preserve">What happens</w:t>
            </w:r>
          </w:p>
        </w:tc>
      </w:tr>
      <w:tr>
        <w:tc>
          <w:tcPr>
            <w:tcW w:w="2900" w:type="dxa"/>
            <w:tcMar>
              <w:top w:w="120" w:type="dxa"/>
              <w:left w:w="180" w:type="dxa"/>
              <w:bottom w:w="120" w:type="dxa"/>
              <w:right w:w="180" w:type="dxa"/>
            </w:tcMar>
          </w:tcPr>
          <w:p>
            <w:pPr>
              <w:spacing w:after="0"/>
            </w:pPr>
            <w:r>
              <w:t xml:space="preserve">1 · Compare</w:t>
            </w:r>
          </w:p>
        </w:tc>
        <w:tc>
          <w:tcPr>
            <w:tcW w:w="6460" w:type="dxa"/>
            <w:tcMar>
              <w:top w:w="120" w:type="dxa"/>
              <w:left w:w="180" w:type="dxa"/>
              <w:bottom w:w="120" w:type="dxa"/>
              <w:right w:w="180" w:type="dxa"/>
            </w:tcMar>
          </w:tcPr>
          <w:p>
            <w:pPr>
              <w:spacing w:after="0"/>
            </w:pPr>
            <w:r>
              <w:t xml:space="preserve">Profiled values are checked against the dictionary or pattern, plus a hint from the column name.</w:t>
            </w:r>
          </w:p>
        </w:tc>
      </w:tr>
      <w:tr>
        <w:tc>
          <w:tcPr>
            <w:tcW w:w="2900" w:type="dxa"/>
            <w:tcMar>
              <w:top w:w="120" w:type="dxa"/>
              <w:left w:w="180" w:type="dxa"/>
              <w:bottom w:w="120" w:type="dxa"/>
              <w:right w:w="180" w:type="dxa"/>
            </w:tcMar>
          </w:tcPr>
          <w:p>
            <w:pPr>
              <w:spacing w:after="0"/>
            </w:pPr>
            <w:r>
              <w:t xml:space="preserve">2 · Score</w:t>
            </w:r>
          </w:p>
        </w:tc>
        <w:tc>
          <w:tcPr>
            <w:tcW w:w="6460" w:type="dxa"/>
            <w:tcMar>
              <w:top w:w="120" w:type="dxa"/>
              <w:left w:w="180" w:type="dxa"/>
              <w:bottom w:w="120" w:type="dxa"/>
              <w:right w:w="180" w:type="dxa"/>
            </w:tcMar>
          </w:tcPr>
          <w:p>
            <w:pPr>
              <w:spacing w:after="0"/>
            </w:pPr>
            <w:r>
              <w:t xml:space="preserve">A confidence score blends content similarity with the metadata (column-name) hint.</w:t>
            </w:r>
          </w:p>
        </w:tc>
      </w:tr>
      <w:tr>
        <w:tc>
          <w:tcPr>
            <w:tcW w:w="2900" w:type="dxa"/>
            <w:tcMar>
              <w:top w:w="120" w:type="dxa"/>
              <w:left w:w="180" w:type="dxa"/>
              <w:bottom w:w="120" w:type="dxa"/>
              <w:right w:w="180" w:type="dxa"/>
            </w:tcMar>
          </w:tcPr>
          <w:p>
            <w:pPr>
              <w:spacing w:after="0"/>
            </w:pPr>
            <w:r>
              <w:t xml:space="preserve">3 · Condition</w:t>
            </w:r>
          </w:p>
        </w:tc>
        <w:tc>
          <w:tcPr>
            <w:tcW w:w="6460" w:type="dxa"/>
            <w:tcMar>
              <w:top w:w="120" w:type="dxa"/>
              <w:left w:w="180" w:type="dxa"/>
              <w:bottom w:w="120" w:type="dxa"/>
              <w:right w:w="180" w:type="dxa"/>
            </w:tcMar>
          </w:tcPr>
          <w:p>
            <w:pPr>
              <w:spacing w:after="0"/>
            </w:pPr>
            <w:r>
              <w:t xml:space="preserve">If the score clears the threshold — for example ≥ 0.7 — the match is accepted.</w:t>
            </w:r>
          </w:p>
        </w:tc>
      </w:tr>
      <w:tr>
        <w:tc>
          <w:tcPr>
            <w:tcW w:w="2900" w:type="dxa"/>
            <w:tcMar>
              <w:top w:w="120" w:type="dxa"/>
              <w:left w:w="180" w:type="dxa"/>
              <w:bottom w:w="120" w:type="dxa"/>
              <w:right w:w="180" w:type="dxa"/>
            </w:tcMar>
          </w:tcPr>
          <w:p>
            <w:pPr>
              <w:spacing w:after="0"/>
            </w:pPr>
            <w:r>
              <w:t xml:space="preserve">4 · Action</w:t>
            </w:r>
          </w:p>
        </w:tc>
        <w:tc>
          <w:tcPr>
            <w:tcW w:w="6460" w:type="dxa"/>
            <w:tcMar>
              <w:top w:w="120" w:type="dxa"/>
              <w:left w:w="180" w:type="dxa"/>
              <w:bottom w:w="120" w:type="dxa"/>
              <w:right w:w="180" w:type="dxa"/>
            </w:tcMar>
          </w:tcPr>
          <w:p>
            <w:pPr>
              <w:spacing w:after="0"/>
            </w:pPr>
            <w:r>
              <w:t xml:space="preserve">Apply the tags and link the business terms to the column.</w:t>
            </w:r>
          </w:p>
        </w:tc>
      </w:tr>
    </w:tbl>
    <w:p>
      <w:pPr>
        <w:spacing w:after="120"/>
      </w:pPr>
    </w:p>
    <w:p>
      <w:pPr>
        <w:spacing w:after="120"/>
      </w:pPr>
      <w:r>
        <w:t xml:space="preserve">The takeaway: every tag is earned by a graded match clearing a threshold.</w:t>
      </w:r>
    </w:p>
    <w:p>
      <w:pPr>
        <w:pStyle w:val="Heading1"/>
      </w:pPr>
      <w:r>
        <w:t xml:space="preserve">Policies: dictionaries + patterns together</w:t>
      </w:r>
    </w:p>
    <w:p>
      <w:pPr>
        <w:spacing w:after="120"/>
      </w:pPr>
      <w:r>
        <w:t xml:space="preserve">A policy is not a pre-built object you pick off a shelf. In PDC a policy is simply the combination of dictionaries plus patterns you select for a run — the methods you choose at the Select Methods step. That selection </w:t>
      </w:r>
      <w:r>
        <w:rPr>
          <w:i/>
          <w:iCs/>
        </w:rPr>
        <w:t xml:space="preserve">is</w:t>
      </w:r>
      <w:r>
        <w:t xml:space="preserve"> your policy.</w:t>
      </w:r>
    </w:p>
    <w:p>
      <w:pPr>
        <w:spacing w:after="120"/>
      </w:pPr>
      <w:r>
        <w:t xml:space="preserve">You assemble it from the built-in dictionaries and patterns plus any of your own — for CTO, the Service Cities dictionary and the Loyalty Number pattern you'll meet below. Apply, run, then review the results in the Data Canvas and visualize them in the Galaxy View.</w:t>
      </w:r>
    </w:p>
    <w:p>
      <w:pPr>
        <w:pStyle w:val="Heading1"/>
      </w:pPr>
      <w:r>
        <w:t xml:space="preserve">Walkthrough — identify the customers and payments tables</w:t>
      </w:r>
    </w:p>
    <w:p>
      <w:pPr>
        <w:spacing w:after="120"/>
      </w:pPr>
      <w:r>
        <w:t xml:space="preserve">Run Data Identification on CTO's profiled tables (</w:t>
      </w:r>
      <w:r>
        <w:rPr>
          <w:rFonts w:ascii="Consolas" w:hAnsi="Consolas"/>
          <w:color w:val="0A5560"/>
          <w:sz w:val="20"/>
          <w:szCs w:val="20"/>
        </w:rPr>
        <w:t xml:space="preserve">cto_retail</w:t>
      </w:r>
      <w:r>
        <w:t xml:space="preserve">), selecting the dictionaries and patterns that fit their columns. Each personal-data column is caught by the method that suits it, then tagged and linked to its Workshop 3 business term. Work as </w:t>
      </w:r>
      <w:r>
        <w:rPr>
          <w:rFonts w:ascii="Consolas" w:hAnsi="Consolas"/>
          <w:color w:val="0A5560"/>
          <w:sz w:val="20"/>
          <w:szCs w:val="20"/>
        </w:rPr>
        <w:t xml:space="preserve">sofia.marin</w:t>
      </w:r>
      <w:r>
        <w:t xml:space="preserve"> — in PDC v11, Data Identification Methods belong to the </w:t>
      </w:r>
      <w:r>
        <w:rPr>
          <w:b/>
          <w:bCs/>
        </w:rPr>
        <w:t xml:space="preserve">Data Steward</w:t>
      </w:r>
      <w:r>
        <w:t xml:space="preserve"> and </w:t>
      </w:r>
      <w:r>
        <w:rPr>
          <w:b/>
          <w:bCs/>
        </w:rPr>
        <w:t xml:space="preserve">Data Storage Administrator</w:t>
      </w:r>
      <w:r>
        <w:t xml:space="preserve"> roles (Tessa's Data Developer role, which authored the business rules, cannot author identification methods — the gates point in opposite directions).</w:t>
      </w:r>
    </w:p>
    <w:p>
      <w:pPr>
        <w:pStyle w:val="Heading2"/>
      </w:pPr>
      <w:r>
        <w:t xml:space="preserve">Part A — Run Data Identification</w:t>
      </w:r>
    </w:p>
    <w:p>
      <w:pPr>
        <w:pStyle w:val="ListParagraph"/>
        <w:numPr>
          <w:ilvl w:val="0"/>
          <w:numId w:val="100"/>
        </w:numPr>
        <w:spacing w:after="80" w:line="264" w:lineRule="auto"/>
      </w:pPr>
      <w:r>
        <w:t xml:space="preserve">In the Data Canvas, select the profiled </w:t>
      </w:r>
      <w:r>
        <w:rPr>
          <w:rFonts w:ascii="Consolas" w:hAnsi="Consolas"/>
          <w:color w:val="0A5560"/>
          <w:sz w:val="20"/>
          <w:szCs w:val="20"/>
        </w:rPr>
        <w:t xml:space="preserve">customers</w:t>
      </w:r>
      <w:r>
        <w:t xml:space="preserve"> table, then open </w:t>
      </w:r>
      <w:r>
        <w:rPr>
          <w:b/>
          <w:bCs/>
        </w:rPr>
        <w:t xml:space="preserve">Actions → Process</w:t>
      </w:r>
      <w:r>
        <w:t xml:space="preserve">.</w:t>
      </w:r>
    </w:p>
    <w:p>
      <w:pPr>
        <w:pStyle w:val="ListParagraph"/>
        <w:numPr>
          <w:ilvl w:val="0"/>
          <w:numId w:val="100"/>
        </w:numPr>
        <w:spacing w:after="80" w:line="264" w:lineRule="auto"/>
      </w:pPr>
      <w:r>
        <w:t xml:space="preserve">On the Choose Process page, click the </w:t>
      </w:r>
      <w:r>
        <w:rPr>
          <w:b/>
          <w:bCs/>
        </w:rPr>
        <w:t xml:space="preserve">Data Identification</w:t>
      </w:r>
      <w:r>
        <w:t xml:space="preserve"> card. If it shows as Required, profiling has not completed — run Data Profiling first.</w:t>
      </w:r>
    </w:p>
    <w:p>
      <w:pPr>
        <w:pStyle w:val="ListParagraph"/>
        <w:numPr>
          <w:ilvl w:val="0"/>
          <w:numId w:val="100"/>
        </w:numPr>
        <w:spacing w:after="80" w:line="264" w:lineRule="auto"/>
      </w:pPr>
      <w:r>
        <w:t xml:space="preserve">Click </w:t>
      </w:r>
      <w:r>
        <w:rPr>
          <w:b/>
          <w:bCs/>
        </w:rPr>
        <w:t xml:space="preserve">Select Methods</w:t>
      </w:r>
      <w:r>
        <w:t xml:space="preserve"> and choose the dictionaries and patterns that cover names, email, phone, addresses and card numbers.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Data Identification — Select Methods (the policy)</w:t>
      </w:r>
    </w:p>
    <w:p>
      <w:pPr>
        <w:pStyle w:val="ListParagraph"/>
        <w:numPr>
          <w:ilvl w:val="0"/>
          <w:numId w:val="100"/>
        </w:numPr>
        <w:spacing w:after="80" w:line="264" w:lineRule="auto"/>
      </w:pPr>
      <w:r>
        <w:t xml:space="preserve">Click </w:t>
      </w:r>
      <w:r>
        <w:rPr>
          <w:b/>
          <w:bCs/>
        </w:rPr>
        <w:t xml:space="preserve">Start</w:t>
      </w:r>
      <w:r>
        <w:t xml:space="preserve">, and watch the job on the Workers page until it completes. Repeat for </w:t>
      </w:r>
      <w:r>
        <w:rPr>
          <w:rFonts w:ascii="Consolas" w:hAnsi="Consolas"/>
          <w:color w:val="0A5560"/>
          <w:sz w:val="20"/>
          <w:szCs w:val="20"/>
        </w:rPr>
        <w:t xml:space="preserve">payments</w:t>
      </w:r>
      <w:r>
        <w:t xml:space="preserve">, </w:t>
      </w:r>
      <w:r>
        <w:rPr>
          <w:rFonts w:ascii="Consolas" w:hAnsi="Consolas"/>
          <w:color w:val="0A5560"/>
          <w:sz w:val="20"/>
          <w:szCs w:val="20"/>
        </w:rPr>
        <w:t xml:space="preserve">orders</w:t>
      </w:r>
      <w:r>
        <w:t xml:space="preserve">, </w:t>
      </w:r>
      <w:r>
        <w:rPr>
          <w:rFonts w:ascii="Consolas" w:hAnsi="Consolas"/>
          <w:color w:val="0A5560"/>
          <w:sz w:val="20"/>
          <w:szCs w:val="20"/>
        </w:rPr>
        <w:t xml:space="preserve">employees</w:t>
      </w:r>
      <w:r>
        <w:t xml:space="preserve"> and </w:t>
      </w:r>
      <w:r>
        <w:rPr>
          <w:rFonts w:ascii="Consolas" w:hAnsi="Consolas"/>
          <w:color w:val="0A5560"/>
          <w:sz w:val="20"/>
          <w:szCs w:val="20"/>
        </w:rPr>
        <w:t xml:space="preserve">suppliers</w:t>
      </w:r>
      <w:r>
        <w:t xml:space="preserve">.</w:t>
      </w:r>
    </w:p>
    <w:p>
      <w:pPr>
        <w:pStyle w:val="Heading2"/>
      </w:pPr>
      <w:r>
        <w:t xml:space="preserve">Part B — Review what was identified</w:t>
      </w:r>
    </w:p>
    <w:p>
      <w:pPr>
        <w:pStyle w:val="ListParagraph"/>
        <w:numPr>
          <w:ilvl w:val="0"/>
          <w:numId w:val="101"/>
        </w:numPr>
        <w:spacing w:after="80" w:line="264" w:lineRule="auto"/>
      </w:pPr>
      <w:r>
        <w:t xml:space="preserve">Open </w:t>
      </w:r>
      <w:r>
        <w:rPr>
          <w:rFonts w:ascii="Consolas" w:hAnsi="Consolas"/>
          <w:color w:val="0A5560"/>
          <w:sz w:val="20"/>
          <w:szCs w:val="20"/>
        </w:rPr>
        <w:t xml:space="preserve">customers</w:t>
      </w:r>
      <w:r>
        <w:t xml:space="preserve">. On the Details tab, the matched columns now carry Tags and linked Business Terms: </w:t>
      </w:r>
      <w:r>
        <w:rPr>
          <w:rFonts w:ascii="Consolas" w:hAnsi="Consolas"/>
          <w:color w:val="0A5560"/>
          <w:sz w:val="20"/>
          <w:szCs w:val="20"/>
        </w:rPr>
        <w:t xml:space="preserve">email</w:t>
      </w:r>
      <w:r>
        <w:t xml:space="preserve"> and </w:t>
      </w:r>
      <w:r>
        <w:rPr>
          <w:rFonts w:ascii="Consolas" w:hAnsi="Consolas"/>
          <w:color w:val="0A5560"/>
          <w:sz w:val="20"/>
          <w:szCs w:val="20"/>
        </w:rPr>
        <w:t xml:space="preserve">phone</w:t>
      </w:r>
      <w:r>
        <w:t xml:space="preserve"> → contact PII, the name columns → person-name matches. Then open </w:t>
      </w:r>
      <w:r>
        <w:rPr>
          <w:rFonts w:ascii="Consolas" w:hAnsi="Consolas"/>
          <w:color w:val="0A5560"/>
          <w:sz w:val="20"/>
          <w:szCs w:val="20"/>
        </w:rPr>
        <w:t xml:space="preserve">payments</w:t>
      </w:r>
      <w:r>
        <w:t xml:space="preserve">: </w:t>
      </w:r>
      <w:r>
        <w:rPr>
          <w:rFonts w:ascii="Consolas" w:hAnsi="Consolas"/>
          <w:color w:val="0A5560"/>
          <w:sz w:val="20"/>
          <w:szCs w:val="20"/>
        </w:rPr>
        <w:t xml:space="preserve">card_no</w:t>
      </w:r>
      <w:r>
        <w:t xml:space="preserve"> is caught by the card-number pattern — the 4111… PANs match the issuer prefix and Luhn check, and the column lands HIGH.</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identification results on payments</w:t>
      </w:r>
    </w:p>
    <w:p>
      <w:pPr>
        <w:pStyle w:val="ListParagraph"/>
        <w:numPr>
          <w:ilvl w:val="0"/>
          <w:numId w:val="101"/>
        </w:numPr>
        <w:spacing w:after="80" w:line="264" w:lineRule="auto"/>
      </w:pPr>
      <w:r>
        <w:rPr>
          <w:b/>
          <w:bCs/>
        </w:rPr>
        <w:t xml:space="preserve">The smoking gun.</w:t>
      </w:r>
      <w:r>
        <w:t xml:space="preserve"> That HIGH tag on </w:t>
      </w:r>
      <w:r>
        <w:rPr>
          <w:rFonts w:ascii="Consolas" w:hAnsi="Consolas"/>
          <w:color w:val="0A5560"/>
          <w:sz w:val="20"/>
          <w:szCs w:val="20"/>
        </w:rPr>
        <w:t xml:space="preserve">card_no</w:t>
      </w:r>
      <w:r>
        <w:t xml:space="preserve"> is not routine: full PANs should not be in this table at all. Pair the identification hit with Workshop 4's failing </w:t>
      </w:r>
      <w:r>
        <w:rPr>
          <w:rFonts w:ascii="Consolas" w:hAnsi="Consolas"/>
          <w:color w:val="0A5560"/>
          <w:sz w:val="20"/>
          <w:szCs w:val="20"/>
        </w:rPr>
        <w:t xml:space="preserve">CTO-PCI-No-Full-PAN</w:t>
      </w:r>
      <w:r>
        <w:t xml:space="preserve"> rule and the SAQ attestation PDF in </w:t>
      </w:r>
      <w:r>
        <w:rPr>
          <w:rFonts w:ascii="Consolas" w:hAnsi="Consolas"/>
          <w:color w:val="0A5560"/>
          <w:sz w:val="20"/>
          <w:szCs w:val="20"/>
        </w:rPr>
        <w:t xml:space="preserve">compliance/</w:t>
      </w:r>
      <w:r>
        <w:t xml:space="preserve"> (Requirement 3.2, NON-COMPLIANT): identification, quality and documents all point at the same defect. That triangulation is the lesson.</w:t>
      </w:r>
    </w:p>
    <w:p>
      <w:pPr>
        <w:pStyle w:val="ListParagraph"/>
        <w:numPr>
          <w:ilvl w:val="0"/>
          <w:numId w:val="101"/>
        </w:numPr>
        <w:spacing w:after="80" w:line="264" w:lineRule="auto"/>
      </w:pPr>
      <w:r>
        <w:rPr>
          <w:b/>
          <w:bCs/>
        </w:rPr>
        <w:t xml:space="preserve">The miss.</w:t>
      </w:r>
      <w:r>
        <w:t xml:space="preserve"> </w:t>
      </w:r>
      <w:r>
        <w:rPr>
          <w:rFonts w:ascii="Consolas" w:hAnsi="Consolas"/>
          <w:color w:val="0A5560"/>
          <w:sz w:val="20"/>
          <w:szCs w:val="20"/>
        </w:rPr>
        <w:t xml:space="preserve">customers.loyalty_no</w:t>
      </w:r>
      <w:r>
        <w:t xml:space="preserve"> stays untagged — no built-in method knows CTO's loyalty format. Built-in methods are a fast, generic starting point, and their limits are exactly why every organisation ends up building custom dictionaries and patterns. You fix this one below.</w:t>
      </w:r>
    </w:p>
    <w:p>
      <w:pPr>
        <w:spacing w:after="120"/>
      </w:pPr>
      <w:r>
        <w:rPr>
          <w:b/>
          <w:bCs/>
        </w:rPr>
        <w:t xml:space="preserve">Dictionary vs pattern, in practice:</w:t>
      </w:r>
      <w:r>
        <w:t xml:space="preserve"> status codes, tender types and the opt-out flag are caught by dictionaries (their meaning is in the values); email, phone and card numbers are caught by patterns (their meaning is in the shape); an address takes both. The method assignments above are illustrative — confirm them against your lab's identification run.</w:t>
      </w:r>
    </w:p>
    <w:p>
      <w:pPr>
        <w:pStyle w:val="Heading2"/>
      </w:pPr>
      <w:r>
        <w:t xml:space="preserve">Part C — Visualize in the Galaxy View</w:t>
      </w:r>
    </w:p>
    <w:p>
      <w:pPr>
        <w:pStyle w:val="ListParagraph"/>
        <w:numPr>
          <w:ilvl w:val="0"/>
          <w:numId w:val="102"/>
        </w:numPr>
        <w:spacing w:after="80" w:line="264" w:lineRule="auto"/>
      </w:pPr>
      <w:r>
        <w:t xml:space="preserve">With </w:t>
      </w:r>
      <w:r>
        <w:rPr>
          <w:rFonts w:ascii="Consolas" w:hAnsi="Consolas"/>
          <w:color w:val="0A5560"/>
          <w:sz w:val="20"/>
          <w:szCs w:val="20"/>
        </w:rPr>
        <w:t xml:space="preserve">customers</w:t>
      </w:r>
      <w:r>
        <w:t xml:space="preserve"> selected, open </w:t>
      </w:r>
      <w:r>
        <w:rPr>
          <w:b/>
          <w:bCs/>
        </w:rPr>
        <w:t xml:space="preserve">Actions → View Galaxy</w:t>
      </w:r>
      <w:r>
        <w:t xml:space="preserve">.</w:t>
      </w:r>
    </w:p>
    <w:p>
      <w:pPr>
        <w:pStyle w:val="ListParagraph"/>
        <w:numPr>
          <w:ilvl w:val="0"/>
          <w:numId w:val="102"/>
        </w:numPr>
        <w:spacing w:after="80" w:line="264" w:lineRule="auto"/>
      </w:pPr>
      <w:r>
        <w:t xml:space="preserve">Click </w:t>
      </w:r>
      <w:r>
        <w:rPr>
          <w:b/>
          <w:bCs/>
        </w:rPr>
        <w:t xml:space="preserve">Filters</w:t>
      </w:r>
      <w:r>
        <w:t xml:space="preserve"> and turn on </w:t>
      </w:r>
      <w:r>
        <w:rPr>
          <w:i/>
          <w:iCs/>
        </w:rPr>
        <w:t xml:space="preserve">Show only Tagged Items</w:t>
      </w:r>
      <w:r>
        <w:t xml:space="preserve"> (or items with business terms) to highlight exactly the columns identification classified.</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Galaxy View — tagged customers columns</w:t>
      </w:r>
    </w:p>
    <w:p>
      <w:pPr>
        <w:pBdr>
          <w:left w:val="single" w:sz="12" w:space="8" w:color="065A82"/>
        </w:pBdr>
        <w:shd w:val="clear" w:color="auto" w:fill="EEF6FA"/>
        <w:ind w:left="240" w:right="240"/>
        <w:spacing w:before="120" w:after="160"/>
      </w:pPr>
      <w:r>
        <w:rPr>
          <w:b/>
          <w:bCs/>
        </w:rPr>
        <w:t xml:space="preserve">One tag vocabulary, everywhere.</w:t>
      </w:r>
      <w:r>
        <w:t xml:space="preserve"> A custom dictionary or pattern must apply the exact same tag label as the glossary and everywhere else — but PDC won't enforce it, because Assign Tags is free text. So it's a discipline: one controlled tag list, reused verbatim across dictionaries, patterns, the glossary, and the Glossary Generator's governed tag set. And when a method should carry glossary meaning, use its Assign Business Term action rather than typing a look-alike tag.</w:t>
      </w:r>
    </w:p>
    <w:p>
      <w:pPr>
        <w:pStyle w:val="Heading1"/>
      </w:pPr>
      <w:r>
        <w:t xml:space="preserve">Beyond tables: identifying unstructured documents</w:t>
      </w:r>
    </w:p>
    <w:p>
      <w:pPr>
        <w:spacing w:after="120"/>
      </w:pPr>
      <w:r>
        <w:t xml:space="preserve">Identification does not stop at tables. PDC also profiles documents — PDFs, Word files, plain-text, and RTF — and points the very same dictionaries and patterns at their content. The pipeline differs slightly, but the methods are identical: a name dictionary or an email pattern works just as well inside a letter as it does in a column.</w:t>
      </w:r>
    </w:p>
    <w:p>
      <w:pPr>
        <w:pBdr>
          <w:left w:val="single" w:sz="12" w:space="8" w:color="065A82"/>
        </w:pBdr>
        <w:shd w:val="clear" w:color="auto" w:fill="EEF6FA"/>
        <w:ind w:left="240" w:right="240"/>
        <w:spacing w:before="120" w:after="160"/>
      </w:pPr>
      <w:r>
        <w:rPr>
          <w:b/>
          <w:bCs/>
        </w:rPr>
        <w:t xml:space="preserve">Two worlds, the same methods.</w:t>
      </w:r>
      <w:r>
        <w:t xml:space="preserve"> A structured column is profiled, then Data Identification applies the scored rule logic — confidence, condition, action. An unstructured document is profiled by Data Discovery, and within it </w:t>
      </w:r>
      <w:r>
        <w:rPr>
          <w:b/>
          <w:bCs/>
        </w:rPr>
        <w:t xml:space="preserve">String Detection</w:t>
      </w:r>
      <w:r>
        <w:t xml:space="preserve"> scans the text for the same dictionary and pattern values — flagging their presence, and optionally their count. (String Detection matches values directly; it does not apply the dictionaries' scored rules.)</w:t>
      </w:r>
    </w:p>
    <w:p>
      <w:pPr>
        <w:pStyle w:val="Heading2"/>
      </w:pPr>
      <w:r>
        <w:t xml:space="preserve">The document processing options</w:t>
      </w:r>
    </w:p>
    <w:p>
      <w:pPr>
        <w:spacing w:after="120"/>
      </w:pPr>
      <w:r>
        <w:t xml:space="preserve">When you run Data Discovery on files, the Document Processing tab offers String Detection plus a set of machine-learning helpers that only apply to documents: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Option</w:t>
            </w:r>
          </w:p>
        </w:tc>
        <w:tc>
          <w:tcPr>
            <w:tcW w:w="6460" w:type="dxa"/>
            <w:shd w:val="clear" w:color="auto" w:fill="EEF6FA"/>
            <w:tcMar>
              <w:top w:w="120" w:type="dxa"/>
              <w:left w:w="180" w:type="dxa"/>
              <w:bottom w:w="120" w:type="dxa"/>
              <w:right w:w="180" w:type="dxa"/>
            </w:tcMar>
          </w:tcPr>
          <w:p>
            <w:pPr>
              <w:spacing w:after="0"/>
            </w:pPr>
            <w:r>
              <w:rPr>
                <w:b/>
                <w:bCs/>
              </w:rPr>
              <w:t xml:space="preserve">What it does</w:t>
            </w:r>
          </w:p>
        </w:tc>
      </w:tr>
      <w:tr>
        <w:tc>
          <w:tcPr>
            <w:tcW w:w="2900" w:type="dxa"/>
            <w:tcMar>
              <w:top w:w="120" w:type="dxa"/>
              <w:left w:w="180" w:type="dxa"/>
              <w:bottom w:w="120" w:type="dxa"/>
              <w:right w:w="180" w:type="dxa"/>
            </w:tcMar>
          </w:tcPr>
          <w:p>
            <w:pPr>
              <w:spacing w:after="0"/>
            </w:pPr>
            <w:r>
              <w:t xml:space="preserve">String Detection</w:t>
            </w:r>
          </w:p>
        </w:tc>
        <w:tc>
          <w:tcPr>
            <w:tcW w:w="6460" w:type="dxa"/>
            <w:tcMar>
              <w:top w:w="120" w:type="dxa"/>
              <w:left w:w="180" w:type="dxa"/>
              <w:bottom w:w="120" w:type="dxa"/>
              <w:right w:w="180" w:type="dxa"/>
            </w:tcMar>
          </w:tcPr>
          <w:p>
            <w:pPr>
              <w:spacing w:after="0"/>
            </w:pPr>
            <w:r>
              <w:t xml:space="preserve">Scans document text for the values in selected dictionaries and patterns, and tags the file on a match — presence only, or presence and count.</w:t>
            </w:r>
          </w:p>
        </w:tc>
      </w:tr>
      <w:tr>
        <w:tc>
          <w:tcPr>
            <w:tcW w:w="2900" w:type="dxa"/>
            <w:tcMar>
              <w:top w:w="120" w:type="dxa"/>
              <w:left w:w="180" w:type="dxa"/>
              <w:bottom w:w="120" w:type="dxa"/>
              <w:right w:w="180" w:type="dxa"/>
            </w:tcMar>
          </w:tcPr>
          <w:p>
            <w:pPr>
              <w:spacing w:after="0"/>
            </w:pPr>
            <w:r>
              <w:t xml:space="preserve">Address Detection</w:t>
            </w:r>
          </w:p>
        </w:tc>
        <w:tc>
          <w:tcPr>
            <w:tcW w:w="6460" w:type="dxa"/>
            <w:tcMar>
              <w:top w:w="120" w:type="dxa"/>
              <w:left w:w="180" w:type="dxa"/>
              <w:bottom w:w="120" w:type="dxa"/>
              <w:right w:w="180" w:type="dxa"/>
            </w:tcMar>
          </w:tcPr>
          <w:p>
            <w:pPr>
              <w:spacing w:after="0"/>
            </w:pPr>
            <w:r>
              <w:t xml:space="preserve">Machine-learning scan for U.S. postal addresses; tags a business term you choose when an address is found.</w:t>
            </w:r>
          </w:p>
        </w:tc>
      </w:tr>
      <w:tr>
        <w:tc>
          <w:tcPr>
            <w:tcW w:w="2900" w:type="dxa"/>
            <w:tcMar>
              <w:top w:w="120" w:type="dxa"/>
              <w:left w:w="180" w:type="dxa"/>
              <w:bottom w:w="120" w:type="dxa"/>
              <w:right w:w="180" w:type="dxa"/>
            </w:tcMar>
          </w:tcPr>
          <w:p>
            <w:pPr>
              <w:spacing w:after="0"/>
            </w:pPr>
            <w:r>
              <w:t xml:space="preserve">Data Classification</w:t>
            </w:r>
          </w:p>
        </w:tc>
        <w:tc>
          <w:tcPr>
            <w:tcW w:w="6460" w:type="dxa"/>
            <w:tcMar>
              <w:top w:w="120" w:type="dxa"/>
              <w:left w:w="180" w:type="dxa"/>
              <w:bottom w:w="120" w:type="dxa"/>
              <w:right w:w="180" w:type="dxa"/>
            </w:tcMar>
          </w:tcPr>
          <w:p>
            <w:pPr>
              <w:spacing w:after="0"/>
            </w:pPr>
            <w:r>
              <w:t xml:space="preserve">Classifies a document by its semantic content; assigns the matching business terms you supply (for example, a document type).</w:t>
            </w:r>
          </w:p>
        </w:tc>
      </w:tr>
      <w:tr>
        <w:tc>
          <w:tcPr>
            <w:tcW w:w="2900" w:type="dxa"/>
            <w:tcMar>
              <w:top w:w="120" w:type="dxa"/>
              <w:left w:w="180" w:type="dxa"/>
              <w:bottom w:w="120" w:type="dxa"/>
              <w:right w:w="180" w:type="dxa"/>
            </w:tcMar>
          </w:tcPr>
          <w:p>
            <w:pPr>
              <w:spacing w:after="0"/>
            </w:pPr>
            <w:r>
              <w:t xml:space="preserve">Summaries &amp; sentiment</w:t>
            </w:r>
          </w:p>
        </w:tc>
        <w:tc>
          <w:tcPr>
            <w:tcW w:w="6460" w:type="dxa"/>
            <w:tcMar>
              <w:top w:w="120" w:type="dxa"/>
              <w:left w:w="180" w:type="dxa"/>
              <w:bottom w:w="120" w:type="dxa"/>
              <w:right w:w="180" w:type="dxa"/>
            </w:tcMar>
          </w:tcPr>
          <w:p>
            <w:pPr>
              <w:spacing w:after="0"/>
            </w:pPr>
            <w:r>
              <w:t xml:space="preserve">Generates a concise document summary and a sentiment label, shown on the asset's Summary tab.</w:t>
            </w:r>
          </w:p>
        </w:tc>
      </w:tr>
      <w:tr>
        <w:tc>
          <w:tcPr>
            <w:tcW w:w="2900" w:type="dxa"/>
            <w:tcMar>
              <w:top w:w="120" w:type="dxa"/>
              <w:left w:w="180" w:type="dxa"/>
              <w:bottom w:w="120" w:type="dxa"/>
              <w:right w:w="180" w:type="dxa"/>
            </w:tcMar>
          </w:tcPr>
          <w:p>
            <w:pPr>
              <w:spacing w:after="0"/>
            </w:pPr>
            <w:r>
              <w:t xml:space="preserve">Document Metadata</w:t>
            </w:r>
          </w:p>
        </w:tc>
        <w:tc>
          <w:tcPr>
            <w:tcW w:w="6460" w:type="dxa"/>
            <w:tcMar>
              <w:top w:w="120" w:type="dxa"/>
              <w:left w:w="180" w:type="dxa"/>
              <w:bottom w:w="120" w:type="dxa"/>
              <w:right w:w="180" w:type="dxa"/>
            </w:tcMar>
          </w:tcPr>
          <w:p>
            <w:pPr>
              <w:spacing w:after="0"/>
            </w:pPr>
            <w:r>
              <w:t xml:space="preserve">Extracts properties such as owner, page count, and paragraph count (Office and PDF files).</w:t>
            </w:r>
          </w:p>
        </w:tc>
      </w:tr>
    </w:tbl>
    <w:p>
      <w:pPr>
        <w:spacing w:after="120"/>
      </w:pPr>
    </w:p>
    <w:p>
      <w:pPr>
        <w:spacing w:after="120"/>
      </w:pPr>
      <w:r>
        <w:rPr>
          <w:b/>
          <w:bCs/>
        </w:rPr>
        <w:t xml:space="preserve">Supported file types:</w:t>
      </w:r>
      <w:r>
        <w:t xml:space="preserve"> PDF, DOC, DOCX, TXT, and RTF, among others. Structured and semi-structured files (CSV, JSON, Parquet) are profiled the same way, with structured outputs.</w:t>
      </w:r>
    </w:p>
    <w:p>
      <w:pPr>
        <w:pStyle w:val="Heading2"/>
      </w:pPr>
      <w:r>
        <w:t xml:space="preserve">Walkthrough — PII in the CTO correspondence</w:t>
      </w:r>
    </w:p>
    <w:p>
      <w:pPr>
        <w:spacing w:after="120"/>
      </w:pPr>
      <w:r>
        <w:t xml:space="preserve">The </w:t>
      </w:r>
      <w:r>
        <w:rPr>
          <w:rFonts w:ascii="Consolas" w:hAnsi="Consolas"/>
          <w:color w:val="0A5560"/>
          <w:sz w:val="20"/>
          <w:szCs w:val="20"/>
        </w:rPr>
        <w:t xml:space="preserve">cto-documents/correspondence</w:t>
      </w:r>
      <w:r>
        <w:t xml:space="preserve"> folder holds emails and letters about customers. The goal is the same as for the table: flag every document that contains personal data.</w:t>
      </w:r>
    </w:p>
    <w:p>
      <w:pPr>
        <w:pStyle w:val="ListParagraph"/>
        <w:numPr>
          <w:ilvl w:val="0"/>
          <w:numId w:val="103"/>
        </w:numPr>
        <w:spacing w:after="80" w:line="264" w:lineRule="auto"/>
      </w:pPr>
      <w:r>
        <w:t xml:space="preserve">In the Data Canvas, select the </w:t>
      </w:r>
      <w:r>
        <w:rPr>
          <w:rFonts w:ascii="Consolas" w:hAnsi="Consolas"/>
          <w:color w:val="0A5560"/>
          <w:sz w:val="20"/>
          <w:szCs w:val="20"/>
        </w:rPr>
        <w:t xml:space="preserve">correspondence</w:t>
      </w:r>
      <w:r>
        <w:t xml:space="preserve"> folder, then click Process. Run </w:t>
      </w:r>
      <w:r>
        <w:rPr>
          <w:b/>
          <w:bCs/>
        </w:rPr>
        <w:t xml:space="preserve">Metadata Ingest</w:t>
      </w:r>
      <w:r>
        <w:t xml:space="preserve"> first.</w:t>
      </w:r>
    </w:p>
    <w:p>
      <w:pPr>
        <w:pStyle w:val="ListParagraph"/>
        <w:numPr>
          <w:ilvl w:val="0"/>
          <w:numId w:val="103"/>
        </w:numPr>
        <w:spacing w:after="80" w:line="264" w:lineRule="auto"/>
      </w:pPr>
      <w:r>
        <w:t xml:space="preserve">Click the </w:t>
      </w:r>
      <w:r>
        <w:rPr>
          <w:b/>
          <w:bCs/>
        </w:rPr>
        <w:t xml:space="preserve">Data Discovery</w:t>
      </w:r>
      <w:r>
        <w:t xml:space="preserve"> card. On the Document Processing tab, add the PII dictionaries and patterns (name, email, phone, address) under String Detection.</w:t>
      </w:r>
    </w:p>
    <w:p>
      <w:pPr>
        <w:pStyle w:val="ListParagraph"/>
        <w:numPr>
          <w:ilvl w:val="0"/>
          <w:numId w:val="103"/>
        </w:numPr>
        <w:spacing w:after="80" w:line="264" w:lineRule="auto"/>
      </w:pPr>
      <w:r>
        <w:t xml:space="preserve">Optionally enable </w:t>
      </w:r>
      <w:r>
        <w:rPr>
          <w:b/>
          <w:bCs/>
        </w:rPr>
        <w:t xml:space="preserve">Address Detection</w:t>
      </w:r>
      <w:r>
        <w:t xml:space="preserve"> (tag an Address term) and </w:t>
      </w:r>
      <w:r>
        <w:rPr>
          <w:b/>
          <w:bCs/>
        </w:rPr>
        <w:t xml:space="preserve">Data Classification</w:t>
      </w:r>
      <w:r>
        <w:t xml:space="preserve"> (to label each letter by type). Click </w:t>
      </w:r>
      <w:r>
        <w:rPr>
          <w:b/>
          <w:bCs/>
        </w:rPr>
        <w:t xml:space="preserve">Start Discovering</w:t>
      </w:r>
      <w:r>
        <w:t xml:space="preserve">.</w:t>
      </w:r>
    </w:p>
    <w:p>
      <w:pPr>
        <w:pStyle w:val="ListParagraph"/>
        <w:numPr>
          <w:ilvl w:val="0"/>
          <w:numId w:val="103"/>
        </w:numPr>
        <w:spacing w:after="80" w:line="264" w:lineRule="auto"/>
      </w:pPr>
      <w:r>
        <w:t xml:space="preserve">Open each document on the Data Canvas. Files that contain personal data now carry the matching Tags and Business Terms, visible in the Document Properties and Business Terms panes.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discovery results on a correspondence letter</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Document</w:t>
            </w:r>
          </w:p>
        </w:tc>
        <w:tc>
          <w:tcPr>
            <w:tcW w:w="3430" w:type="dxa"/>
            <w:shd w:val="clear" w:color="auto" w:fill="EEF6FA"/>
            <w:tcMar>
              <w:top w:w="120" w:type="dxa"/>
              <w:left w:w="180" w:type="dxa"/>
              <w:bottom w:w="120" w:type="dxa"/>
              <w:right w:w="180" w:type="dxa"/>
            </w:tcMar>
          </w:tcPr>
          <w:p>
            <w:pPr>
              <w:spacing w:after="0"/>
            </w:pPr>
            <w:r>
              <w:rPr>
                <w:b/>
                <w:bCs/>
              </w:rPr>
              <w:t xml:space="preserve">Type</w:t>
            </w:r>
          </w:p>
        </w:tc>
        <w:tc>
          <w:tcPr>
            <w:tcW w:w="3430" w:type="dxa"/>
            <w:shd w:val="clear" w:color="auto" w:fill="EEF6FA"/>
            <w:tcMar>
              <w:top w:w="120" w:type="dxa"/>
              <w:left w:w="180" w:type="dxa"/>
              <w:bottom w:w="120" w:type="dxa"/>
              <w:right w:w="180" w:type="dxa"/>
            </w:tcMar>
          </w:tcPr>
          <w:p>
            <w:pPr>
              <w:spacing w:after="0"/>
            </w:pPr>
            <w:r>
              <w:rPr>
                <w:b/>
                <w:bCs/>
              </w:rPr>
              <w:t xml:space="preserve">Personal data it surfaces</w:t>
            </w:r>
          </w:p>
        </w:tc>
      </w:tr>
      <w:tr>
        <w:tc>
          <w:tcPr>
            <w:tcW w:w="2500" w:type="dxa"/>
            <w:tcMar>
              <w:top w:w="120" w:type="dxa"/>
              <w:left w:w="180" w:type="dxa"/>
              <w:bottom w:w="120" w:type="dxa"/>
              <w:right w:w="180" w:type="dxa"/>
            </w:tcMar>
          </w:tcPr>
          <w:p>
            <w:pPr>
              <w:spacing w:after="0"/>
            </w:pPr>
            <w:r>
              <w:t xml:space="preserve">email_refund_dispute_CTO-200109</w:t>
            </w:r>
          </w:p>
        </w:tc>
        <w:tc>
          <w:tcPr>
            <w:tcW w:w="3430" w:type="dxa"/>
            <w:tcMar>
              <w:top w:w="120" w:type="dxa"/>
              <w:left w:w="180" w:type="dxa"/>
              <w:bottom w:w="120" w:type="dxa"/>
              <w:right w:w="180" w:type="dxa"/>
            </w:tcMar>
          </w:tcPr>
          <w:p>
            <w:pPr>
              <w:spacing w:after="0"/>
            </w:pPr>
            <w:r>
              <w:t xml:space="preserve">Email</w:t>
            </w:r>
          </w:p>
        </w:tc>
        <w:tc>
          <w:tcPr>
            <w:tcW w:w="3430" w:type="dxa"/>
            <w:tcMar>
              <w:top w:w="120" w:type="dxa"/>
              <w:left w:w="180" w:type="dxa"/>
              <w:bottom w:w="120" w:type="dxa"/>
              <w:right w:w="180" w:type="dxa"/>
            </w:tcMar>
          </w:tcPr>
          <w:p>
            <w:pPr>
              <w:spacing w:after="0"/>
            </w:pPr>
            <w:r>
              <w:t xml:space="preserve">name · email · address · loyalty number · order ref</w:t>
            </w:r>
          </w:p>
        </w:tc>
      </w:tr>
      <w:tr>
        <w:tc>
          <w:tcPr>
            <w:tcW w:w="2500" w:type="dxa"/>
            <w:tcMar>
              <w:top w:w="120" w:type="dxa"/>
              <w:left w:w="180" w:type="dxa"/>
              <w:bottom w:w="120" w:type="dxa"/>
              <w:right w:w="180" w:type="dxa"/>
            </w:tcMar>
          </w:tcPr>
          <w:p>
            <w:pPr>
              <w:spacing w:after="0"/>
            </w:pPr>
            <w:r>
              <w:t xml:space="preserve">email_price_match_request</w:t>
            </w:r>
          </w:p>
        </w:tc>
        <w:tc>
          <w:tcPr>
            <w:tcW w:w="3430" w:type="dxa"/>
            <w:tcMar>
              <w:top w:w="120" w:type="dxa"/>
              <w:left w:w="180" w:type="dxa"/>
              <w:bottom w:w="120" w:type="dxa"/>
              <w:right w:w="180" w:type="dxa"/>
            </w:tcMar>
          </w:tcPr>
          <w:p>
            <w:pPr>
              <w:spacing w:after="0"/>
            </w:pPr>
            <w:r>
              <w:t xml:space="preserve">Email</w:t>
            </w:r>
          </w:p>
        </w:tc>
        <w:tc>
          <w:tcPr>
            <w:tcW w:w="3430" w:type="dxa"/>
            <w:tcMar>
              <w:top w:w="120" w:type="dxa"/>
              <w:left w:w="180" w:type="dxa"/>
              <w:bottom w:w="120" w:type="dxa"/>
              <w:right w:w="180" w:type="dxa"/>
            </w:tcMar>
          </w:tcPr>
          <w:p>
            <w:pPr>
              <w:spacing w:after="0"/>
            </w:pPr>
            <w:r>
              <w:t xml:space="preserve">name · email · address · loyalty number · order ref · SKU</w:t>
            </w:r>
          </w:p>
        </w:tc>
      </w:tr>
      <w:tr>
        <w:tc>
          <w:tcPr>
            <w:tcW w:w="2500" w:type="dxa"/>
            <w:tcMar>
              <w:top w:w="120" w:type="dxa"/>
              <w:left w:w="180" w:type="dxa"/>
              <w:bottom w:w="120" w:type="dxa"/>
              <w:right w:w="180" w:type="dxa"/>
            </w:tcMar>
          </w:tcPr>
          <w:p>
            <w:pPr>
              <w:spacing w:after="0"/>
            </w:pPr>
            <w:r>
              <w:t xml:space="preserve">letter_return_denied_SO-30000010</w:t>
            </w:r>
          </w:p>
        </w:tc>
        <w:tc>
          <w:tcPr>
            <w:tcW w:w="3430" w:type="dxa"/>
            <w:tcMar>
              <w:top w:w="120" w:type="dxa"/>
              <w:left w:w="180" w:type="dxa"/>
              <w:bottom w:w="120" w:type="dxa"/>
              <w:right w:w="180" w:type="dxa"/>
            </w:tcMar>
          </w:tcPr>
          <w:p>
            <w:pPr>
              <w:spacing w:after="0"/>
            </w:pPr>
            <w:r>
              <w:t xml:space="preserve">Letter</w:t>
            </w:r>
          </w:p>
        </w:tc>
        <w:tc>
          <w:tcPr>
            <w:tcW w:w="3430" w:type="dxa"/>
            <w:tcMar>
              <w:top w:w="120" w:type="dxa"/>
              <w:left w:w="180" w:type="dxa"/>
              <w:bottom w:w="120" w:type="dxa"/>
              <w:right w:w="180" w:type="dxa"/>
            </w:tcMar>
          </w:tcPr>
          <w:p>
            <w:pPr>
              <w:spacing w:after="0"/>
            </w:pPr>
            <w:r>
              <w:t xml:space="preserve">name · address · loyalty number · order ref · card last-4</w:t>
            </w:r>
          </w:p>
        </w:tc>
      </w:tr>
      <w:tr>
        <w:tc>
          <w:tcPr>
            <w:tcW w:w="2500" w:type="dxa"/>
            <w:tcMar>
              <w:top w:w="120" w:type="dxa"/>
              <w:left w:w="180" w:type="dxa"/>
              <w:bottom w:w="120" w:type="dxa"/>
              <w:right w:w="180" w:type="dxa"/>
            </w:tcMar>
          </w:tcPr>
          <w:p>
            <w:pPr>
              <w:spacing w:after="0"/>
            </w:pPr>
            <w:r>
              <w:t xml:space="preserve">letter_optout_confirmation_CTO-200107</w:t>
            </w:r>
          </w:p>
        </w:tc>
        <w:tc>
          <w:tcPr>
            <w:tcW w:w="3430" w:type="dxa"/>
            <w:tcMar>
              <w:top w:w="120" w:type="dxa"/>
              <w:left w:w="180" w:type="dxa"/>
              <w:bottom w:w="120" w:type="dxa"/>
              <w:right w:w="180" w:type="dxa"/>
            </w:tcMar>
          </w:tcPr>
          <w:p>
            <w:pPr>
              <w:spacing w:after="0"/>
            </w:pPr>
            <w:r>
              <w:t xml:space="preserve">Letter</w:t>
            </w:r>
          </w:p>
        </w:tc>
        <w:tc>
          <w:tcPr>
            <w:tcW w:w="3430" w:type="dxa"/>
            <w:tcMar>
              <w:top w:w="120" w:type="dxa"/>
              <w:left w:w="180" w:type="dxa"/>
              <w:bottom w:w="120" w:type="dxa"/>
              <w:right w:w="180" w:type="dxa"/>
            </w:tcMar>
          </w:tcPr>
          <w:p>
            <w:pPr>
              <w:spacing w:after="0"/>
            </w:pPr>
            <w:r>
              <w:t xml:space="preserve">name · address · loyalty number · consent status</w:t>
            </w:r>
          </w:p>
        </w:tc>
      </w:tr>
      <w:tr>
        <w:tc>
          <w:tcPr>
            <w:tcW w:w="2500" w:type="dxa"/>
            <w:tcMar>
              <w:top w:w="120" w:type="dxa"/>
              <w:left w:w="180" w:type="dxa"/>
              <w:bottom w:w="120" w:type="dxa"/>
              <w:right w:w="180" w:type="dxa"/>
            </w:tcMar>
          </w:tcPr>
          <w:p>
            <w:pPr>
              <w:spacing w:after="0"/>
            </w:pPr>
            <w:r>
              <w:t xml:space="preserve">letter_backorder_apology_SO-30000002</w:t>
            </w:r>
          </w:p>
        </w:tc>
        <w:tc>
          <w:tcPr>
            <w:tcW w:w="3430" w:type="dxa"/>
            <w:tcMar>
              <w:top w:w="120" w:type="dxa"/>
              <w:left w:w="180" w:type="dxa"/>
              <w:bottom w:w="120" w:type="dxa"/>
              <w:right w:w="180" w:type="dxa"/>
            </w:tcMar>
          </w:tcPr>
          <w:p>
            <w:pPr>
              <w:spacing w:after="0"/>
            </w:pPr>
            <w:r>
              <w:t xml:space="preserve">Letter</w:t>
            </w:r>
          </w:p>
        </w:tc>
        <w:tc>
          <w:tcPr>
            <w:tcW w:w="3430" w:type="dxa"/>
            <w:tcMar>
              <w:top w:w="120" w:type="dxa"/>
              <w:left w:w="180" w:type="dxa"/>
              <w:bottom w:w="120" w:type="dxa"/>
              <w:right w:w="180" w:type="dxa"/>
            </w:tcMar>
          </w:tcPr>
          <w:p>
            <w:pPr>
              <w:spacing w:after="0"/>
            </w:pPr>
            <w:r>
              <w:t xml:space="preserve">name · address · loyalty number · order ref · SKU</w:t>
            </w:r>
          </w:p>
        </w:tc>
      </w:tr>
    </w:tbl>
    <w:p>
      <w:pPr>
        <w:spacing w:after="120"/>
      </w:pPr>
    </w:p>
    <w:p>
      <w:pPr>
        <w:pBdr>
          <w:left w:val="single" w:sz="12" w:space="8" w:color="065A82"/>
        </w:pBdr>
        <w:shd w:val="clear" w:color="auto" w:fill="EEF6FA"/>
        <w:ind w:left="240" w:right="240"/>
        <w:spacing w:before="120" w:after="160"/>
      </w:pPr>
      <w:r>
        <w:rPr>
          <w:b/>
          <w:bCs/>
        </w:rPr>
        <w:t xml:space="preserve">A pattern reaches into the letters too.</w:t>
      </w:r>
      <w:r>
        <w:t xml:space="preserve"> The reference codes in the correspondence — </w:t>
      </w:r>
      <w:r>
        <w:rPr>
          <w:rFonts w:ascii="Consolas" w:hAnsi="Consolas"/>
          <w:color w:val="0A5560"/>
          <w:sz w:val="20"/>
          <w:szCs w:val="20"/>
        </w:rPr>
        <w:t xml:space="preserve">CTO-200109</w:t>
      </w:r>
      <w:r>
        <w:t xml:space="preserve">, </w:t>
      </w:r>
      <w:r>
        <w:rPr>
          <w:rFonts w:ascii="Consolas" w:hAnsi="Consolas"/>
          <w:color w:val="0A5560"/>
          <w:sz w:val="20"/>
          <w:szCs w:val="20"/>
        </w:rPr>
        <w:t xml:space="preserve">SO-30000010</w:t>
      </w:r>
      <w:r>
        <w:t xml:space="preserve"> — follow fixed shapes (</w:t>
      </w:r>
      <w:r>
        <w:rPr>
          <w:rFonts w:ascii="Consolas" w:hAnsi="Consolas"/>
          <w:color w:val="0A5560"/>
          <w:sz w:val="20"/>
          <w:szCs w:val="20"/>
        </w:rPr>
        <w:t xml:space="preserve">AAA-nnnnnn</w:t>
      </w:r>
      <w:r>
        <w:t xml:space="preserve">, </w:t>
      </w:r>
      <w:r>
        <w:rPr>
          <w:rFonts w:ascii="Consolas" w:hAnsi="Consolas"/>
          <w:color w:val="0A5560"/>
          <w:sz w:val="20"/>
          <w:szCs w:val="20"/>
        </w:rPr>
        <w:t xml:space="preserve">AA-nnnnnnnn</w:t>
      </w:r>
      <w:r>
        <w:t xml:space="preserve">). A custom data pattern for those shapes flags CTO loyalty and order references wherever they appear in a document, not just in a column. The method assignments above are illustrative — confirm them against the real correspondence in your lab.</w:t>
      </w:r>
    </w:p>
    <w:p>
      <w:pPr>
        <w:pStyle w:val="Heading1"/>
      </w:pPr>
      <w:r>
        <w:t xml:space="preserve">Choosing methods for CTO</w:t>
      </w:r>
    </w:p>
    <w:p>
      <w:pPr>
        <w:spacing w:after="120"/>
      </w:pPr>
      <w:r>
        <w:t xml:space="preserve">Most of CTO's data is covered by methods that ship with the catalog. Start by selecting the built-in dictionaries and patterns that fit, then add custom CTO methods for what the built-ins don't know.</w:t>
      </w:r>
    </w:p>
    <w:p>
      <w:pPr>
        <w:pStyle w:val="Heading2"/>
      </w:pPr>
      <w:r>
        <w:t xml:space="preserve">Recommended built-in methods — structured (customers, payments)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CTO data</w:t>
            </w:r>
          </w:p>
        </w:tc>
        <w:tc>
          <w:tcPr>
            <w:tcW w:w="3430" w:type="dxa"/>
            <w:shd w:val="clear" w:color="auto" w:fill="EEF6FA"/>
            <w:tcMar>
              <w:top w:w="120" w:type="dxa"/>
              <w:left w:w="180" w:type="dxa"/>
              <w:bottom w:w="120" w:type="dxa"/>
              <w:right w:w="180" w:type="dxa"/>
            </w:tcMar>
          </w:tcPr>
          <w:p>
            <w:pPr>
              <w:spacing w:after="0"/>
            </w:pPr>
            <w:r>
              <w:rPr>
                <w:b/>
                <w:bCs/>
              </w:rPr>
              <w:t xml:space="preserve">Built-in method</w:t>
            </w:r>
          </w:p>
        </w:tc>
        <w:tc>
          <w:tcPr>
            <w:tcW w:w="3430" w:type="dxa"/>
            <w:shd w:val="clear" w:color="auto" w:fill="EEF6FA"/>
            <w:tcMar>
              <w:top w:w="120" w:type="dxa"/>
              <w:left w:w="180" w:type="dxa"/>
              <w:bottom w:w="120" w:type="dxa"/>
              <w:right w:w="180" w:type="dxa"/>
            </w:tcMar>
          </w:tcPr>
          <w:p>
            <w:pPr>
              <w:spacing w:after="0"/>
            </w:pPr>
            <w:r>
              <w:rPr>
                <w:b/>
                <w:bCs/>
              </w:rPr>
              <w:t xml:space="preserve">Type</w:t>
            </w:r>
          </w:p>
        </w:tc>
      </w:tr>
      <w:tr>
        <w:tc>
          <w:tcPr>
            <w:tcW w:w="2500" w:type="dxa"/>
            <w:tcMar>
              <w:top w:w="120" w:type="dxa"/>
              <w:left w:w="180" w:type="dxa"/>
              <w:bottom w:w="120" w:type="dxa"/>
              <w:right w:w="180" w:type="dxa"/>
            </w:tcMar>
          </w:tcPr>
          <w:p>
            <w:pPr>
              <w:spacing w:after="0"/>
            </w:pPr>
            <w:r>
              <w:t xml:space="preserve">first_nm / last_nm</w:t>
            </w:r>
          </w:p>
        </w:tc>
        <w:tc>
          <w:tcPr>
            <w:tcW w:w="3430" w:type="dxa"/>
            <w:tcMar>
              <w:top w:w="120" w:type="dxa"/>
              <w:left w:w="180" w:type="dxa"/>
              <w:bottom w:w="120" w:type="dxa"/>
              <w:right w:w="180" w:type="dxa"/>
            </w:tcMar>
          </w:tcPr>
          <w:p>
            <w:pPr>
              <w:spacing w:after="0"/>
            </w:pPr>
            <w:r>
              <w:t xml:space="preserve">person-name dictionary</w:t>
            </w:r>
          </w:p>
        </w:tc>
        <w:tc>
          <w:tcPr>
            <w:tcW w:w="3430" w:type="dxa"/>
            <w:tcMar>
              <w:top w:w="120" w:type="dxa"/>
              <w:left w:w="180" w:type="dxa"/>
              <w:bottom w:w="120" w:type="dxa"/>
              <w:right w:w="180" w:type="dxa"/>
            </w:tcMar>
          </w:tcPr>
          <w:p>
            <w:pPr>
              <w:spacing w:after="0"/>
            </w:pPr>
            <w:r>
              <w:t xml:space="preserve">Dictionary</w:t>
            </w:r>
          </w:p>
        </w:tc>
      </w:tr>
      <w:tr>
        <w:tc>
          <w:tcPr>
            <w:tcW w:w="2500" w:type="dxa"/>
            <w:tcMar>
              <w:top w:w="120" w:type="dxa"/>
              <w:left w:w="180" w:type="dxa"/>
              <w:bottom w:w="120" w:type="dxa"/>
              <w:right w:w="180" w:type="dxa"/>
            </w:tcMar>
          </w:tcPr>
          <w:p>
            <w:pPr>
              <w:spacing w:after="0"/>
            </w:pPr>
            <w:r>
              <w:t xml:space="preserve">email</w:t>
            </w:r>
          </w:p>
        </w:tc>
        <w:tc>
          <w:tcPr>
            <w:tcW w:w="3430" w:type="dxa"/>
            <w:tcMar>
              <w:top w:w="120" w:type="dxa"/>
              <w:left w:w="180" w:type="dxa"/>
              <w:bottom w:w="120" w:type="dxa"/>
              <w:right w:w="180" w:type="dxa"/>
            </w:tcMar>
          </w:tcPr>
          <w:p>
            <w:pPr>
              <w:spacing w:after="0"/>
            </w:pPr>
            <w:r>
              <w:t xml:space="preserve">eMail</w:t>
            </w:r>
          </w:p>
        </w:tc>
        <w:tc>
          <w:tcPr>
            <w:tcW w:w="3430" w:type="dxa"/>
            <w:tcMar>
              <w:top w:w="120" w:type="dxa"/>
              <w:left w:w="180" w:type="dxa"/>
              <w:bottom w:w="120" w:type="dxa"/>
              <w:right w:w="180" w:type="dxa"/>
            </w:tcMar>
          </w:tcPr>
          <w:p>
            <w:pPr>
              <w:spacing w:after="0"/>
            </w:pPr>
            <w:r>
              <w:t xml:space="preserve">Pattern</w:t>
            </w:r>
          </w:p>
        </w:tc>
      </w:tr>
      <w:tr>
        <w:tc>
          <w:tcPr>
            <w:tcW w:w="2500" w:type="dxa"/>
            <w:tcMar>
              <w:top w:w="120" w:type="dxa"/>
              <w:left w:w="180" w:type="dxa"/>
              <w:bottom w:w="120" w:type="dxa"/>
              <w:right w:w="180" w:type="dxa"/>
            </w:tcMar>
          </w:tcPr>
          <w:p>
            <w:pPr>
              <w:spacing w:after="0"/>
            </w:pPr>
            <w:r>
              <w:t xml:space="preserve">phone</w:t>
            </w:r>
          </w:p>
        </w:tc>
        <w:tc>
          <w:tcPr>
            <w:tcW w:w="3430" w:type="dxa"/>
            <w:tcMar>
              <w:top w:w="120" w:type="dxa"/>
              <w:left w:w="180" w:type="dxa"/>
              <w:bottom w:w="120" w:type="dxa"/>
              <w:right w:w="180" w:type="dxa"/>
            </w:tcMar>
          </w:tcPr>
          <w:p>
            <w:pPr>
              <w:spacing w:after="0"/>
            </w:pPr>
            <w:r>
              <w:t xml:space="preserve">Phone Number</w:t>
            </w:r>
          </w:p>
        </w:tc>
        <w:tc>
          <w:tcPr>
            <w:tcW w:w="3430" w:type="dxa"/>
            <w:tcMar>
              <w:top w:w="120" w:type="dxa"/>
              <w:left w:w="180" w:type="dxa"/>
              <w:bottom w:w="120" w:type="dxa"/>
              <w:right w:w="180" w:type="dxa"/>
            </w:tcMar>
          </w:tcPr>
          <w:p>
            <w:pPr>
              <w:spacing w:after="0"/>
            </w:pPr>
            <w:r>
              <w:t xml:space="preserve">Pattern</w:t>
            </w:r>
          </w:p>
        </w:tc>
      </w:tr>
      <w:tr>
        <w:tc>
          <w:tcPr>
            <w:tcW w:w="2500" w:type="dxa"/>
            <w:tcMar>
              <w:top w:w="120" w:type="dxa"/>
              <w:left w:w="180" w:type="dxa"/>
              <w:bottom w:w="120" w:type="dxa"/>
              <w:right w:w="180" w:type="dxa"/>
            </w:tcMar>
          </w:tcPr>
          <w:p>
            <w:pPr>
              <w:spacing w:after="0"/>
            </w:pPr>
            <w:r>
              <w:t xml:space="preserve">card_no</w:t>
            </w:r>
          </w:p>
        </w:tc>
        <w:tc>
          <w:tcPr>
            <w:tcW w:w="3430" w:type="dxa"/>
            <w:tcMar>
              <w:top w:w="120" w:type="dxa"/>
              <w:left w:w="180" w:type="dxa"/>
              <w:bottom w:w="120" w:type="dxa"/>
              <w:right w:w="180" w:type="dxa"/>
            </w:tcMar>
          </w:tcPr>
          <w:p>
            <w:pPr>
              <w:spacing w:after="0"/>
            </w:pPr>
            <w:r>
              <w:t xml:space="preserve">Credit Card Number</w:t>
            </w:r>
          </w:p>
        </w:tc>
        <w:tc>
          <w:tcPr>
            <w:tcW w:w="3430" w:type="dxa"/>
            <w:tcMar>
              <w:top w:w="120" w:type="dxa"/>
              <w:left w:w="180" w:type="dxa"/>
              <w:bottom w:w="120" w:type="dxa"/>
              <w:right w:w="180" w:type="dxa"/>
            </w:tcMar>
          </w:tcPr>
          <w:p>
            <w:pPr>
              <w:spacing w:after="0"/>
            </w:pPr>
            <w:r>
              <w:t xml:space="preserve">Pattern</w:t>
            </w:r>
          </w:p>
        </w:tc>
      </w:tr>
      <w:tr>
        <w:tc>
          <w:tcPr>
            <w:tcW w:w="2500" w:type="dxa"/>
            <w:tcMar>
              <w:top w:w="120" w:type="dxa"/>
              <w:left w:w="180" w:type="dxa"/>
              <w:bottom w:w="120" w:type="dxa"/>
              <w:right w:w="180" w:type="dxa"/>
            </w:tcMar>
          </w:tcPr>
          <w:p>
            <w:pPr>
              <w:spacing w:after="0"/>
            </w:pPr>
            <w:r>
              <w:t xml:space="preserve">addr1 / city / st / zip</w:t>
            </w:r>
          </w:p>
        </w:tc>
        <w:tc>
          <w:tcPr>
            <w:tcW w:w="3430" w:type="dxa"/>
            <w:tcMar>
              <w:top w:w="120" w:type="dxa"/>
              <w:left w:w="180" w:type="dxa"/>
              <w:bottom w:w="120" w:type="dxa"/>
              <w:right w:w="180" w:type="dxa"/>
            </w:tcMar>
          </w:tcPr>
          <w:p>
            <w:pPr>
              <w:spacing w:after="0"/>
            </w:pPr>
            <w:r>
              <w:t xml:space="preserve">US States dictionary + ZIP / address pattern</w:t>
            </w:r>
          </w:p>
        </w:tc>
        <w:tc>
          <w:tcPr>
            <w:tcW w:w="3430" w:type="dxa"/>
            <w:tcMar>
              <w:top w:w="120" w:type="dxa"/>
              <w:left w:w="180" w:type="dxa"/>
              <w:bottom w:w="120" w:type="dxa"/>
              <w:right w:w="180" w:type="dxa"/>
            </w:tcMar>
          </w:tcPr>
          <w:p>
            <w:pPr>
              <w:spacing w:after="0"/>
            </w:pPr>
            <w:r>
              <w:t xml:space="preserve">Dict + Pattern</w:t>
            </w:r>
          </w:p>
        </w:tc>
      </w:tr>
      <w:tr>
        <w:tc>
          <w:tcPr>
            <w:tcW w:w="2500" w:type="dxa"/>
            <w:tcMar>
              <w:top w:w="120" w:type="dxa"/>
              <w:left w:w="180" w:type="dxa"/>
              <w:bottom w:w="120" w:type="dxa"/>
              <w:right w:w="180" w:type="dxa"/>
            </w:tcMar>
          </w:tcPr>
          <w:p>
            <w:pPr>
              <w:spacing w:after="0"/>
            </w:pPr>
            <w:r>
              <w:t xml:space="preserve">opted_out_marketing</w:t>
            </w:r>
          </w:p>
        </w:tc>
        <w:tc>
          <w:tcPr>
            <w:tcW w:w="3430" w:type="dxa"/>
            <w:tcMar>
              <w:top w:w="120" w:type="dxa"/>
              <w:left w:w="180" w:type="dxa"/>
              <w:bottom w:w="120" w:type="dxa"/>
              <w:right w:w="180" w:type="dxa"/>
            </w:tcMar>
          </w:tcPr>
          <w:p>
            <w:pPr>
              <w:spacing w:after="0"/>
            </w:pPr>
            <w:r>
              <w:t xml:space="preserve">low-cardinality flag — custom Yes/No dictionary</w:t>
            </w:r>
          </w:p>
        </w:tc>
        <w:tc>
          <w:tcPr>
            <w:tcW w:w="3430" w:type="dxa"/>
            <w:tcMar>
              <w:top w:w="120" w:type="dxa"/>
              <w:left w:w="180" w:type="dxa"/>
              <w:bottom w:w="120" w:type="dxa"/>
              <w:right w:w="180" w:type="dxa"/>
            </w:tcMar>
          </w:tcPr>
          <w:p>
            <w:pPr>
              <w:spacing w:after="0"/>
            </w:pPr>
            <w:r>
              <w:t xml:space="preserve">—</w:t>
            </w:r>
          </w:p>
        </w:tc>
      </w:tr>
      <w:tr>
        <w:tc>
          <w:tcPr>
            <w:tcW w:w="2500" w:type="dxa"/>
            <w:tcMar>
              <w:top w:w="120" w:type="dxa"/>
              <w:left w:w="180" w:type="dxa"/>
              <w:bottom w:w="120" w:type="dxa"/>
              <w:right w:w="180" w:type="dxa"/>
            </w:tcMar>
          </w:tcPr>
          <w:p>
            <w:pPr>
              <w:spacing w:after="0"/>
            </w:pPr>
            <w:r>
              <w:t xml:space="preserve">loyalty_no</w:t>
            </w:r>
          </w:p>
        </w:tc>
        <w:tc>
          <w:tcPr>
            <w:tcW w:w="3430" w:type="dxa"/>
            <w:tcMar>
              <w:top w:w="120" w:type="dxa"/>
              <w:left w:w="180" w:type="dxa"/>
              <w:bottom w:w="120" w:type="dxa"/>
              <w:right w:w="180" w:type="dxa"/>
            </w:tcMar>
          </w:tcPr>
          <w:p>
            <w:pPr>
              <w:spacing w:after="0"/>
            </w:pPr>
            <w:r>
              <w:t xml:space="preserve">nothing built-in — CTO Loyalty Number pattern (custom — below)</w:t>
            </w:r>
          </w:p>
        </w:tc>
        <w:tc>
          <w:tcPr>
            <w:tcW w:w="3430" w:type="dxa"/>
            <w:tcMar>
              <w:top w:w="120" w:type="dxa"/>
              <w:left w:w="180" w:type="dxa"/>
              <w:bottom w:w="120" w:type="dxa"/>
              <w:right w:w="180" w:type="dxa"/>
            </w:tcMar>
          </w:tcPr>
          <w:p>
            <w:pPr>
              <w:spacing w:after="0"/>
            </w:pPr>
            <w:r>
              <w:t xml:space="preserve">—</w:t>
            </w:r>
          </w:p>
        </w:tc>
      </w:tr>
    </w:tbl>
    <w:p>
      <w:pPr>
        <w:spacing w:after="120"/>
      </w:pPr>
    </w:p>
    <w:p>
      <w:pPr>
        <w:spacing w:after="120"/>
      </w:pPr>
      <w:r>
        <w:rPr>
          <w:b/>
          <w:bCs/>
        </w:rPr>
        <w:t xml:space="preserve">Selecting methods:</w:t>
      </w:r>
      <w:r>
        <w:t xml:space="preserve"> choose the built-in name dictionary, the eMail, Phone and card patterns, and the US States dictionary together at Select Methods — that selection is your policy for this run. Exact built-in names vary by release, so confirm them in your lab's method list.</w:t>
      </w:r>
    </w:p>
    <w:p>
      <w:pPr>
        <w:pStyle w:val="Heading2"/>
      </w:pPr>
      <w:r>
        <w:t xml:space="preserve">Recommended methods — unstructured (correspondence)</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Need</w:t>
            </w:r>
          </w:p>
        </w:tc>
        <w:tc>
          <w:tcPr>
            <w:tcW w:w="6460" w:type="dxa"/>
            <w:shd w:val="clear" w:color="auto" w:fill="EEF6FA"/>
            <w:tcMar>
              <w:top w:w="120" w:type="dxa"/>
              <w:left w:w="180" w:type="dxa"/>
              <w:bottom w:w="120" w:type="dxa"/>
              <w:right w:w="180" w:type="dxa"/>
            </w:tcMar>
          </w:tcPr>
          <w:p>
            <w:pPr>
              <w:spacing w:after="0"/>
            </w:pPr>
            <w:r>
              <w:rPr>
                <w:b/>
                <w:bCs/>
              </w:rPr>
              <w:t xml:space="preserve">Method</w:t>
            </w:r>
          </w:p>
        </w:tc>
      </w:tr>
      <w:tr>
        <w:tc>
          <w:tcPr>
            <w:tcW w:w="2900" w:type="dxa"/>
            <w:tcMar>
              <w:top w:w="120" w:type="dxa"/>
              <w:left w:w="180" w:type="dxa"/>
              <w:bottom w:w="120" w:type="dxa"/>
              <w:right w:w="180" w:type="dxa"/>
            </w:tcMar>
          </w:tcPr>
          <w:p>
            <w:pPr>
              <w:spacing w:after="0"/>
            </w:pPr>
            <w:r>
              <w:t xml:space="preserve">names / email / phone</w:t>
            </w:r>
          </w:p>
        </w:tc>
        <w:tc>
          <w:tcPr>
            <w:tcW w:w="6460" w:type="dxa"/>
            <w:tcMar>
              <w:top w:w="120" w:type="dxa"/>
              <w:left w:w="180" w:type="dxa"/>
              <w:bottom w:w="120" w:type="dxa"/>
              <w:right w:w="180" w:type="dxa"/>
            </w:tcMar>
          </w:tcPr>
          <w:p>
            <w:pPr>
              <w:spacing w:after="0"/>
            </w:pPr>
            <w:r>
              <w:t xml:space="preserve">the same dictionary and patterns, run under String Detection</w:t>
            </w:r>
          </w:p>
        </w:tc>
      </w:tr>
      <w:tr>
        <w:tc>
          <w:tcPr>
            <w:tcW w:w="2900" w:type="dxa"/>
            <w:tcMar>
              <w:top w:w="120" w:type="dxa"/>
              <w:left w:w="180" w:type="dxa"/>
              <w:bottom w:w="120" w:type="dxa"/>
              <w:right w:w="180" w:type="dxa"/>
            </w:tcMar>
          </w:tcPr>
          <w:p>
            <w:pPr>
              <w:spacing w:after="0"/>
            </w:pPr>
            <w:r>
              <w:t xml:space="preserve">postal addresses</w:t>
            </w:r>
          </w:p>
        </w:tc>
        <w:tc>
          <w:tcPr>
            <w:tcW w:w="6460" w:type="dxa"/>
            <w:tcMar>
              <w:top w:w="120" w:type="dxa"/>
              <w:left w:w="180" w:type="dxa"/>
              <w:bottom w:w="120" w:type="dxa"/>
              <w:right w:w="180" w:type="dxa"/>
            </w:tcMar>
          </w:tcPr>
          <w:p>
            <w:pPr>
              <w:spacing w:after="0"/>
            </w:pPr>
            <w:r>
              <w:t xml:space="preserve">Address Detection (ML) + US States dictionary</w:t>
            </w:r>
          </w:p>
        </w:tc>
      </w:tr>
      <w:tr>
        <w:tc>
          <w:tcPr>
            <w:tcW w:w="2900" w:type="dxa"/>
            <w:tcMar>
              <w:top w:w="120" w:type="dxa"/>
              <w:left w:w="180" w:type="dxa"/>
              <w:bottom w:w="120" w:type="dxa"/>
              <w:right w:w="180" w:type="dxa"/>
            </w:tcMar>
          </w:tcPr>
          <w:p>
            <w:pPr>
              <w:spacing w:after="0"/>
            </w:pPr>
            <w:r>
              <w:t xml:space="preserve">letter type</w:t>
            </w:r>
          </w:p>
        </w:tc>
        <w:tc>
          <w:tcPr>
            <w:tcW w:w="6460" w:type="dxa"/>
            <w:tcMar>
              <w:top w:w="120" w:type="dxa"/>
              <w:left w:w="180" w:type="dxa"/>
              <w:bottom w:w="120" w:type="dxa"/>
              <w:right w:w="180" w:type="dxa"/>
            </w:tcMar>
          </w:tcPr>
          <w:p>
            <w:pPr>
              <w:spacing w:after="0"/>
            </w:pPr>
            <w:r>
              <w:t xml:space="preserve">Data Classification (ML)</w:t>
            </w:r>
          </w:p>
        </w:tc>
      </w:tr>
      <w:tr>
        <w:tc>
          <w:tcPr>
            <w:tcW w:w="2900" w:type="dxa"/>
            <w:tcMar>
              <w:top w:w="120" w:type="dxa"/>
              <w:left w:w="180" w:type="dxa"/>
              <w:bottom w:w="120" w:type="dxa"/>
              <w:right w:w="180" w:type="dxa"/>
            </w:tcMar>
          </w:tcPr>
          <w:p>
            <w:pPr>
              <w:spacing w:after="0"/>
            </w:pPr>
            <w:r>
              <w:t xml:space="preserve">loyalty / order references</w:t>
            </w:r>
          </w:p>
        </w:tc>
        <w:tc>
          <w:tcPr>
            <w:tcW w:w="6460" w:type="dxa"/>
            <w:tcMar>
              <w:top w:w="120" w:type="dxa"/>
              <w:left w:w="180" w:type="dxa"/>
              <w:bottom w:w="120" w:type="dxa"/>
              <w:right w:w="180" w:type="dxa"/>
            </w:tcMar>
          </w:tcPr>
          <w:p>
            <w:pPr>
              <w:spacing w:after="0"/>
            </w:pPr>
            <w:r>
              <w:t xml:space="preserve">CTO Loyalty Number pattern (custom — below)</w:t>
            </w:r>
          </w:p>
        </w:tc>
      </w:tr>
      <w:tr>
        <w:tc>
          <w:tcPr>
            <w:tcW w:w="2900" w:type="dxa"/>
            <w:tcMar>
              <w:top w:w="120" w:type="dxa"/>
              <w:left w:w="180" w:type="dxa"/>
              <w:bottom w:w="120" w:type="dxa"/>
              <w:right w:w="180" w:type="dxa"/>
            </w:tcMar>
          </w:tcPr>
          <w:p>
            <w:pPr>
              <w:spacing w:after="0"/>
            </w:pPr>
            <w:r>
              <w:t xml:space="preserve">store cities</w:t>
            </w:r>
          </w:p>
        </w:tc>
        <w:tc>
          <w:tcPr>
            <w:tcW w:w="6460" w:type="dxa"/>
            <w:tcMar>
              <w:top w:w="120" w:type="dxa"/>
              <w:left w:w="180" w:type="dxa"/>
              <w:bottom w:w="120" w:type="dxa"/>
              <w:right w:w="180" w:type="dxa"/>
            </w:tcMar>
          </w:tcPr>
          <w:p>
            <w:pPr>
              <w:spacing w:after="0"/>
            </w:pPr>
            <w:r>
              <w:t xml:space="preserve">CTO Service Cities dictionary (custom — below)</w:t>
            </w:r>
          </w:p>
        </w:tc>
      </w:tr>
    </w:tbl>
    <w:p>
      <w:pPr>
        <w:spacing w:after="120"/>
      </w:pPr>
    </w:p>
    <w:p>
      <w:pPr>
        <w:pStyle w:val="Heading2"/>
      </w:pPr>
      <w:r>
        <w:t xml:space="preserve">Custom method 1 — the CTO Service Cities dictionary</w:t>
      </w:r>
    </w:p>
    <w:p>
      <w:pPr>
        <w:spacing w:after="120"/>
      </w:pPr>
      <w:r>
        <w:t xml:space="preserve">Built-in dictionaries know US states and country codes, but not which Arizona communities CTO serves. A Service Cities dictionary lets identification recognise CTO's store and customer cities — in the </w:t>
      </w:r>
      <w:r>
        <w:rPr>
          <w:rFonts w:ascii="Consolas" w:hAnsi="Consolas"/>
          <w:color w:val="0A5560"/>
          <w:sz w:val="20"/>
          <w:szCs w:val="20"/>
        </w:rPr>
        <w:t xml:space="preserve">customers.city</w:t>
      </w:r>
      <w:r>
        <w:t xml:space="preserve"> column and in the correspondence alike. The asset is a single-column CSV: </w:t>
      </w:r>
      <w:r>
        <w:rPr>
          <w:rFonts w:ascii="Consolas" w:hAnsi="Consolas"/>
          <w:color w:val="0A5560"/>
          <w:sz w:val="20"/>
          <w:szCs w:val="20"/>
        </w:rPr>
        <w:t xml:space="preserve">CTO-Service-Cities-Dictionary.csv</w:t>
      </w:r>
      <w:r>
        <w:t xml:space="preserve"> (header </w:t>
      </w:r>
      <w:r>
        <w:rPr>
          <w:rFonts w:ascii="Consolas" w:hAnsi="Consolas"/>
          <w:color w:val="0A5560"/>
          <w:sz w:val="20"/>
          <w:szCs w:val="20"/>
        </w:rPr>
        <w:t xml:space="preserve">term</w:t>
      </w:r>
      <w:r>
        <w:t xml:space="preserve">, one city per row — 16 towns from Phoenix and Tempe to Globe, Prescott, Payson and Kingman).</w:t>
      </w:r>
    </w:p>
    <w:p>
      <w:pPr>
        <w:spacing w:after="120"/>
      </w:pPr>
      <w:r>
        <w:rPr>
          <w:b/>
          <w:bCs/>
        </w:rPr>
        <w:t xml:space="preserve">Uploading the dictionary:</w:t>
      </w:r>
    </w:p>
    <w:p>
      <w:pPr>
        <w:pStyle w:val="ListParagraph"/>
        <w:numPr>
          <w:ilvl w:val="0"/>
          <w:numId w:val="104"/>
        </w:numPr>
        <w:spacing w:after="80" w:line="264" w:lineRule="auto"/>
      </w:pPr>
      <w:r>
        <w:t xml:space="preserve">In the left navigation, go to </w:t>
      </w:r>
      <w:r>
        <w:rPr>
          <w:b/>
          <w:bCs/>
        </w:rPr>
        <w:t xml:space="preserve">Data Operations → Dictionaries</w:t>
      </w:r>
      <w:r>
        <w:t xml:space="preserve">, then click </w:t>
      </w:r>
      <w:r>
        <w:rPr>
          <w:b/>
          <w:bCs/>
        </w:rPr>
        <w:t xml:space="preserve">Add Dictionary</w:t>
      </w:r>
      <w:r>
        <w:t xml:space="preserve">.</w:t>
      </w:r>
    </w:p>
    <w:p>
      <w:pPr>
        <w:pStyle w:val="ListParagraph"/>
        <w:numPr>
          <w:ilvl w:val="0"/>
          <w:numId w:val="104"/>
        </w:numPr>
        <w:spacing w:after="80" w:line="264" w:lineRule="auto"/>
      </w:pPr>
      <w:r>
        <w:t xml:space="preserve">Enter a Name (</w:t>
      </w:r>
      <w:r>
        <w:rPr>
          <w:rFonts w:ascii="Consolas" w:hAnsi="Consolas"/>
          <w:color w:val="0A5560"/>
          <w:sz w:val="20"/>
          <w:szCs w:val="20"/>
        </w:rPr>
        <w:t xml:space="preserve">CTO Service Cities</w:t>
      </w:r>
      <w:r>
        <w:t xml:space="preserve">), a short description, and a Category (add a new </w:t>
      </w:r>
      <w:r>
        <w:rPr>
          <w:rFonts w:ascii="Consolas" w:hAnsi="Consolas"/>
          <w:color w:val="0A5560"/>
          <w:sz w:val="20"/>
          <w:szCs w:val="20"/>
        </w:rPr>
        <w:t xml:space="preserve">CTO_Reference</w:t>
      </w:r>
      <w:r>
        <w:t xml:space="preserve"> category). Make sure the dictionary is enabled.</w:t>
      </w:r>
    </w:p>
    <w:p>
      <w:pPr>
        <w:pStyle w:val="ListParagraph"/>
        <w:numPr>
          <w:ilvl w:val="0"/>
          <w:numId w:val="104"/>
        </w:numPr>
        <w:spacing w:after="80" w:line="264" w:lineRule="auto"/>
      </w:pPr>
      <w:r>
        <w:t xml:space="preserve">Choose </w:t>
      </w:r>
      <w:r>
        <w:rPr>
          <w:b/>
          <w:bCs/>
        </w:rPr>
        <w:t xml:space="preserve">Upload Dictionary</w:t>
      </w:r>
      <w:r>
        <w:t xml:space="preserve">, upload </w:t>
      </w:r>
      <w:r>
        <w:rPr>
          <w:rFonts w:ascii="Consolas" w:hAnsi="Consolas"/>
          <w:color w:val="0A5560"/>
          <w:sz w:val="20"/>
          <w:szCs w:val="20"/>
        </w:rPr>
        <w:t xml:space="preserve">CTO-Service-Cities-Dictionary.csv</w:t>
      </w:r>
      <w:r>
        <w:t xml:space="preserve">, and set a Confidence Score of 0.7.</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dictionary upload — CTO Service Cities</w:t>
      </w:r>
    </w:p>
    <w:p>
      <w:pPr>
        <w:pStyle w:val="ListParagraph"/>
        <w:numPr>
          <w:ilvl w:val="0"/>
          <w:numId w:val="104"/>
        </w:numPr>
        <w:spacing w:after="80" w:line="264" w:lineRule="auto"/>
      </w:pPr>
      <w:r>
        <w:t xml:space="preserve">(Optional) add a Column Name Regex hint such as </w:t>
      </w:r>
      <w:r>
        <w:rPr>
          <w:rFonts w:ascii="Consolas" w:hAnsi="Consolas"/>
          <w:color w:val="0A5560"/>
          <w:sz w:val="20"/>
          <w:szCs w:val="20"/>
        </w:rPr>
        <w:t xml:space="preserve">(?i)city|town</w:t>
      </w:r>
      <w:r>
        <w:t xml:space="preserve"> so a city column is matched on its name as well as its values.</w:t>
      </w:r>
    </w:p>
    <w:p>
      <w:pPr>
        <w:pStyle w:val="ListParagraph"/>
        <w:numPr>
          <w:ilvl w:val="0"/>
          <w:numId w:val="104"/>
        </w:numPr>
        <w:spacing w:after="80" w:line="264" w:lineRule="auto"/>
      </w:pPr>
      <w:r>
        <w:t xml:space="preserve">Click </w:t>
      </w:r>
      <w:r>
        <w:rPr>
          <w:b/>
          <w:bCs/>
        </w:rPr>
        <w:t xml:space="preserve">Create Dictionary</w:t>
      </w:r>
      <w:r>
        <w:t xml:space="preserve">. It now appears in the methods list — select it in a Data Identification run on a table, or under String Detection when discovering documents. Do the same for </w:t>
      </w:r>
      <w:r>
        <w:rPr>
          <w:rFonts w:ascii="Consolas" w:hAnsi="Consolas"/>
          <w:color w:val="0A5560"/>
          <w:sz w:val="20"/>
          <w:szCs w:val="20"/>
        </w:rPr>
        <w:t xml:space="preserve">CTO-Product-Categories-Dictionary.csv</w:t>
      </w:r>
      <w:r>
        <w:t xml:space="preserve"> (</w:t>
      </w:r>
      <w:r>
        <w:rPr>
          <w:rFonts w:ascii="Consolas" w:hAnsi="Consolas"/>
          <w:color w:val="0A5560"/>
          <w:sz w:val="20"/>
          <w:szCs w:val="20"/>
        </w:rPr>
        <w:t xml:space="preserve">CTO Product Categories</w:t>
      </w:r>
      <w:r>
        <w:t xml:space="preserve"> — the six </w:t>
      </w:r>
      <w:r>
        <w:rPr>
          <w:rFonts w:ascii="Consolas" w:hAnsi="Consolas"/>
          <w:color w:val="0A5560"/>
          <w:sz w:val="20"/>
          <w:szCs w:val="20"/>
        </w:rPr>
        <w:t xml:space="preserve">category_cd</w:t>
      </w:r>
      <w:r>
        <w:t xml:space="preserve"> values) and </w:t>
      </w:r>
      <w:r>
        <w:rPr>
          <w:rFonts w:ascii="Consolas" w:hAnsi="Consolas"/>
          <w:color w:val="0A5560"/>
          <w:sz w:val="20"/>
          <w:szCs w:val="20"/>
        </w:rPr>
        <w:t xml:space="preserve">CTO-Tender-Types-Dictionary.csv</w:t>
      </w:r>
      <w:r>
        <w:t xml:space="preserve"> (</w:t>
      </w:r>
      <w:r>
        <w:rPr>
          <w:rFonts w:ascii="Consolas" w:hAnsi="Consolas"/>
          <w:color w:val="0A5560"/>
          <w:sz w:val="20"/>
          <w:szCs w:val="20"/>
        </w:rPr>
        <w:t xml:space="preserve">CTO Tender Types</w:t>
      </w:r>
      <w:r>
        <w:t xml:space="preserve"> — the four </w:t>
      </w:r>
      <w:r>
        <w:rPr>
          <w:rFonts w:ascii="Consolas" w:hAnsi="Consolas"/>
          <w:color w:val="0A5560"/>
          <w:sz w:val="20"/>
          <w:szCs w:val="20"/>
        </w:rPr>
        <w:t xml:space="preserve">pay_method_cd</w:t>
      </w:r>
      <w:r>
        <w:t xml:space="preserve"> values), then re-run identification on </w:t>
      </w:r>
      <w:r>
        <w:rPr>
          <w:rFonts w:ascii="Consolas" w:hAnsi="Consolas"/>
          <w:color w:val="0A5560"/>
          <w:sz w:val="20"/>
          <w:szCs w:val="20"/>
        </w:rPr>
        <w:t xml:space="preserve">products</w:t>
      </w:r>
      <w:r>
        <w:t xml:space="preserve"> and </w:t>
      </w:r>
      <w:r>
        <w:rPr>
          <w:rFonts w:ascii="Consolas" w:hAnsi="Consolas"/>
          <w:color w:val="0A5560"/>
          <w:sz w:val="20"/>
          <w:szCs w:val="20"/>
        </w:rPr>
        <w:t xml:space="preserve">payments</w:t>
      </w:r>
      <w:r>
        <w:t xml:space="preserve"> and watch the low-cardinality enum columns light up precisely — that's what dictionaries are for.</w:t>
      </w:r>
    </w:p>
    <w:p>
      <w:pPr>
        <w:spacing w:after="120"/>
      </w:pPr>
      <w:r>
        <w:rPr>
          <w:b/>
          <w:bCs/>
        </w:rPr>
        <w:t xml:space="preserve">Rules vs upload:</w:t>
      </w:r>
      <w:r>
        <w:t xml:space="preserve"> uploading the word list and setting a confidence score is all the BA workshop needs. Designing the matching rules behind it — conditions, actions, and weightings — is method-authoring territory for the Data Steward.</w:t>
      </w:r>
    </w:p>
    <w:p>
      <w:pPr>
        <w:pStyle w:val="Heading2"/>
      </w:pPr>
      <w:r>
        <w:t xml:space="preserve">Custom method 2 — an example CTO pattern</w:t>
      </w:r>
    </w:p>
    <w:p>
      <w:pPr>
        <w:spacing w:after="120"/>
      </w:pPr>
      <w:r>
        <w:t xml:space="preserve">The correspondence (and the </w:t>
      </w:r>
      <w:r>
        <w:rPr>
          <w:rFonts w:ascii="Consolas" w:hAnsi="Consolas"/>
          <w:color w:val="0A5560"/>
          <w:sz w:val="20"/>
          <w:szCs w:val="20"/>
        </w:rPr>
        <w:t xml:space="preserve">loyalty_no</w:t>
      </w:r>
      <w:r>
        <w:t xml:space="preserve"> column the built-ins missed) carries references like </w:t>
      </w:r>
      <w:r>
        <w:rPr>
          <w:rFonts w:ascii="Consolas" w:hAnsi="Consolas"/>
          <w:color w:val="0A5560"/>
          <w:sz w:val="20"/>
          <w:szCs w:val="20"/>
        </w:rPr>
        <w:t xml:space="preserve">CTO-200109</w:t>
      </w:r>
      <w:r>
        <w:t xml:space="preserve">. A custom data pattern catches that shape wherever it appears: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Field</w:t>
            </w:r>
          </w:p>
        </w:tc>
        <w:tc>
          <w:tcPr>
            <w:tcW w:w="6460" w:type="dxa"/>
            <w:shd w:val="clear" w:color="auto" w:fill="EEF6FA"/>
            <w:tcMar>
              <w:top w:w="120" w:type="dxa"/>
              <w:left w:w="180" w:type="dxa"/>
              <w:bottom w:w="120" w:type="dxa"/>
              <w:right w:w="180" w:type="dxa"/>
            </w:tcMar>
          </w:tcPr>
          <w:p>
            <w:pPr>
              <w:spacing w:after="0"/>
            </w:pPr>
            <w:r>
              <w:rPr>
                <w:b/>
                <w:bCs/>
              </w:rPr>
              <w:t xml:space="preserve">Value</w:t>
            </w:r>
          </w:p>
        </w:tc>
      </w:tr>
      <w:tr>
        <w:tc>
          <w:tcPr>
            <w:tcW w:w="2900" w:type="dxa"/>
            <w:tcMar>
              <w:top w:w="120" w:type="dxa"/>
              <w:left w:w="180" w:type="dxa"/>
              <w:bottom w:w="120" w:type="dxa"/>
              <w:right w:w="180" w:type="dxa"/>
            </w:tcMar>
          </w:tcPr>
          <w:p>
            <w:pPr>
              <w:spacing w:after="0"/>
            </w:pPr>
            <w:r>
              <w:t xml:space="preserve">Name</w:t>
            </w:r>
          </w:p>
        </w:tc>
        <w:tc>
          <w:tcPr>
            <w:tcW w:w="6460" w:type="dxa"/>
            <w:tcMar>
              <w:top w:w="120" w:type="dxa"/>
              <w:left w:w="180" w:type="dxa"/>
              <w:bottom w:w="120" w:type="dxa"/>
              <w:right w:w="180" w:type="dxa"/>
            </w:tcMar>
          </w:tcPr>
          <w:p>
            <w:pPr>
              <w:spacing w:after="0"/>
            </w:pPr>
            <w:r>
              <w:t xml:space="preserve">CTO Loyalty Number</w:t>
            </w:r>
          </w:p>
        </w:tc>
      </w:tr>
      <w:tr>
        <w:tc>
          <w:tcPr>
            <w:tcW w:w="2900" w:type="dxa"/>
            <w:tcMar>
              <w:top w:w="120" w:type="dxa"/>
              <w:left w:w="180" w:type="dxa"/>
              <w:bottom w:w="120" w:type="dxa"/>
              <w:right w:w="180" w:type="dxa"/>
            </w:tcMar>
          </w:tcPr>
          <w:p>
            <w:pPr>
              <w:spacing w:after="0"/>
            </w:pPr>
            <w:r>
              <w:t xml:space="preserve">Pattern</w:t>
            </w:r>
          </w:p>
        </w:tc>
        <w:tc>
          <w:tcPr>
            <w:tcW w:w="6460" w:type="dxa"/>
            <w:tcMar>
              <w:top w:w="120" w:type="dxa"/>
              <w:left w:w="180" w:type="dxa"/>
              <w:bottom w:w="120" w:type="dxa"/>
              <w:right w:w="180" w:type="dxa"/>
            </w:tcMar>
          </w:tcPr>
          <w:p>
            <w:pPr>
              <w:spacing w:after="0"/>
            </w:pPr>
            <w:r>
              <w:t xml:space="preserve">AAA-nnnnnn</w:t>
            </w:r>
          </w:p>
        </w:tc>
      </w:tr>
      <w:tr>
        <w:tc>
          <w:tcPr>
            <w:tcW w:w="2900" w:type="dxa"/>
            <w:tcMar>
              <w:top w:w="120" w:type="dxa"/>
              <w:left w:w="180" w:type="dxa"/>
              <w:bottom w:w="120" w:type="dxa"/>
              <w:right w:w="180" w:type="dxa"/>
            </w:tcMar>
          </w:tcPr>
          <w:p>
            <w:pPr>
              <w:spacing w:after="0"/>
            </w:pPr>
            <w:r>
              <w:t xml:space="preserve">RegEx</w:t>
            </w:r>
          </w:p>
        </w:tc>
        <w:tc>
          <w:tcPr>
            <w:tcW w:w="6460" w:type="dxa"/>
            <w:tcMar>
              <w:top w:w="120" w:type="dxa"/>
              <w:left w:w="180" w:type="dxa"/>
              <w:bottom w:w="120" w:type="dxa"/>
              <w:right w:w="180" w:type="dxa"/>
            </w:tcMar>
          </w:tcPr>
          <w:p>
            <w:pPr>
              <w:spacing w:after="0"/>
            </w:pPr>
            <w:r>
              <w:t xml:space="preserve">^CTO-\d{6}$</w:t>
            </w:r>
          </w:p>
        </w:tc>
      </w:tr>
      <w:tr>
        <w:tc>
          <w:tcPr>
            <w:tcW w:w="2900" w:type="dxa"/>
            <w:tcMar>
              <w:top w:w="120" w:type="dxa"/>
              <w:left w:w="180" w:type="dxa"/>
              <w:bottom w:w="120" w:type="dxa"/>
              <w:right w:w="180" w:type="dxa"/>
            </w:tcMar>
          </w:tcPr>
          <w:p>
            <w:pPr>
              <w:spacing w:after="0"/>
            </w:pPr>
            <w:r>
              <w:t xml:space="preserve">Matches</w:t>
            </w:r>
          </w:p>
        </w:tc>
        <w:tc>
          <w:tcPr>
            <w:tcW w:w="6460" w:type="dxa"/>
            <w:tcMar>
              <w:top w:w="120" w:type="dxa"/>
              <w:left w:w="180" w:type="dxa"/>
              <w:bottom w:w="120" w:type="dxa"/>
              <w:right w:w="180" w:type="dxa"/>
            </w:tcMar>
          </w:tcPr>
          <w:p>
            <w:pPr>
              <w:spacing w:after="0"/>
            </w:pPr>
            <w:r>
              <w:t xml:space="preserve">CTO loyalty numbers, in columns and inside documents</w:t>
            </w:r>
          </w:p>
        </w:tc>
      </w:tr>
      <w:tr>
        <w:tc>
          <w:tcPr>
            <w:tcW w:w="2900" w:type="dxa"/>
            <w:tcMar>
              <w:top w:w="120" w:type="dxa"/>
              <w:left w:w="180" w:type="dxa"/>
              <w:bottom w:w="120" w:type="dxa"/>
              <w:right w:w="180" w:type="dxa"/>
            </w:tcMar>
          </w:tcPr>
          <w:p>
            <w:pPr>
              <w:spacing w:after="0"/>
            </w:pPr>
            <w:r>
              <w:t xml:space="preserve">Suggested tag / term</w:t>
            </w:r>
          </w:p>
        </w:tc>
        <w:tc>
          <w:tcPr>
            <w:tcW w:w="6460" w:type="dxa"/>
            <w:tcMar>
              <w:top w:w="120" w:type="dxa"/>
              <w:left w:w="180" w:type="dxa"/>
              <w:bottom w:w="120" w:type="dxa"/>
              <w:right w:w="180" w:type="dxa"/>
            </w:tcMar>
          </w:tcPr>
          <w:p>
            <w:pPr>
              <w:spacing w:after="0"/>
            </w:pPr>
            <w:r>
              <w:t xml:space="preserve">Loyalty Number / Loyalty Number</w:t>
            </w:r>
          </w:p>
        </w:tc>
      </w:tr>
    </w:tbl>
    <w:p>
      <w:pPr>
        <w:spacing w:after="120"/>
      </w:pPr>
    </w:p>
    <w:p>
      <w:pPr>
        <w:spacing w:after="120"/>
      </w:pPr>
      <w:r>
        <w:rPr>
          <w:b/>
          <w:bCs/>
        </w:rPr>
        <w:t xml:space="preserve">You add this one:</w:t>
      </w:r>
      <w:r>
        <w:t xml:space="preserve"> the pattern above is a specification, not a finished method. Create it via </w:t>
      </w:r>
      <w:r>
        <w:rPr>
          <w:b/>
          <w:bCs/>
        </w:rPr>
        <w:t xml:space="preserve">Data Operations → Data Identification Methods → Data Patterns → Add Pattern</w:t>
      </w:r>
      <w:r>
        <w:t xml:space="preserve">, give the Column-Name Regex </w:t>
      </w:r>
      <w:r>
        <w:rPr>
          <w:rFonts w:ascii="Consolas" w:hAnsi="Consolas"/>
          <w:color w:val="0A5560"/>
          <w:sz w:val="20"/>
          <w:szCs w:val="20"/>
        </w:rPr>
        <w:t xml:space="preserve">(?i)loyalty_?(no|num|number)</w:t>
      </w:r>
      <w:r>
        <w:t xml:space="preserve"> a 0.3 weight, the position signature </w:t>
      </w:r>
      <w:r>
        <w:rPr>
          <w:rFonts w:ascii="Consolas" w:hAnsi="Consolas"/>
          <w:color w:val="0A5560"/>
          <w:sz w:val="20"/>
          <w:szCs w:val="20"/>
        </w:rPr>
        <w:t xml:space="preserve">AAA-nnnnnn</w:t>
      </w:r>
      <w:r>
        <w:t xml:space="preserve"> a 0.4 weight, and the content regex </w:t>
      </w:r>
      <w:r>
        <w:rPr>
          <w:rFonts w:ascii="Consolas" w:hAnsi="Consolas"/>
          <w:color w:val="0A5560"/>
          <w:sz w:val="20"/>
          <w:szCs w:val="20"/>
        </w:rPr>
        <w:t xml:space="preserve">^CTO-\d{6}$</w:t>
      </w:r>
      <w:r>
        <w:t xml:space="preserve"> a 0.3 weight (the three panes must sum to 1.0), with a confidence condition of ≥ 0.7 — then re-run identification on </w:t>
      </w:r>
      <w:r>
        <w:rPr>
          <w:rFonts w:ascii="Consolas" w:hAnsi="Consolas"/>
          <w:color w:val="0A5560"/>
          <w:sz w:val="20"/>
          <w:szCs w:val="20"/>
        </w:rPr>
        <w:t xml:space="preserve">customers</w:t>
      </w:r>
      <w:r>
        <w:t xml:space="preserve"> and watch the miss from Part B disappear.</w:t>
      </w:r>
    </w:p>
    <w:p>
      <w:pPr>
        <w:pStyle w:val="Heading1"/>
      </w:pPr>
      <w:r>
        <w:t xml:space="preserve">Verify your work</w:t>
      </w:r>
    </w:p>
    <w:p>
      <w:pPr>
        <w:pStyle w:val="ListParagraph"/>
        <w:numPr>
          <w:ilvl w:val="0"/>
          <w:numId w:val="2"/>
        </w:numPr>
        <w:spacing w:after="60"/>
      </w:pPr>
      <w:r>
        <w:t xml:space="preserve">☐  Data Identification has completed on </w:t>
      </w:r>
      <w:r>
        <w:rPr>
          <w:rFonts w:ascii="Consolas" w:hAnsi="Consolas"/>
          <w:color w:val="0A5560"/>
          <w:sz w:val="20"/>
          <w:szCs w:val="20"/>
        </w:rPr>
        <w:t xml:space="preserve">customers</w:t>
      </w:r>
      <w:r>
        <w:t xml:space="preserve">, </w:t>
      </w:r>
      <w:r>
        <w:rPr>
          <w:rFonts w:ascii="Consolas" w:hAnsi="Consolas"/>
          <w:color w:val="0A5560"/>
          <w:sz w:val="20"/>
          <w:szCs w:val="20"/>
        </w:rPr>
        <w:t xml:space="preserve">payments</w:t>
      </w:r>
      <w:r>
        <w:t xml:space="preserve">, </w:t>
      </w:r>
      <w:r>
        <w:rPr>
          <w:rFonts w:ascii="Consolas" w:hAnsi="Consolas"/>
          <w:color w:val="0A5560"/>
          <w:sz w:val="20"/>
          <w:szCs w:val="20"/>
        </w:rPr>
        <w:t xml:space="preserve">orders</w:t>
      </w:r>
      <w:r>
        <w:t xml:space="preserve">, </w:t>
      </w:r>
      <w:r>
        <w:rPr>
          <w:rFonts w:ascii="Consolas" w:hAnsi="Consolas"/>
          <w:color w:val="0A5560"/>
          <w:sz w:val="20"/>
          <w:szCs w:val="20"/>
        </w:rPr>
        <w:t xml:space="preserve">employees</w:t>
      </w:r>
      <w:r>
        <w:t xml:space="preserve"> and </w:t>
      </w:r>
      <w:r>
        <w:rPr>
          <w:rFonts w:ascii="Consolas" w:hAnsi="Consolas"/>
          <w:color w:val="0A5560"/>
          <w:sz w:val="20"/>
          <w:szCs w:val="20"/>
        </w:rPr>
        <w:t xml:space="preserve">suppliers</w:t>
      </w:r>
      <w:r>
        <w:t xml:space="preserve">.</w:t>
      </w:r>
    </w:p>
    <w:p>
      <w:pPr>
        <w:pStyle w:val="ListParagraph"/>
        <w:numPr>
          <w:ilvl w:val="0"/>
          <w:numId w:val="2"/>
        </w:numPr>
        <w:spacing w:after="60"/>
      </w:pPr>
      <w:r>
        <w:t xml:space="preserve">☐  The matched columns carry Tags and linked Business Terms on the Details tab — card, email and contact PII where expected.</w:t>
      </w:r>
    </w:p>
    <w:p>
      <w:pPr>
        <w:pStyle w:val="ListParagraph"/>
        <w:numPr>
          <w:ilvl w:val="0"/>
          <w:numId w:val="2"/>
        </w:numPr>
        <w:spacing w:after="60"/>
      </w:pPr>
      <w:r>
        <w:t xml:space="preserve">☐  You can name the two methods and say which one fits a given column, and why.</w:t>
      </w:r>
    </w:p>
    <w:p>
      <w:pPr>
        <w:pStyle w:val="ListParagraph"/>
        <w:numPr>
          <w:ilvl w:val="0"/>
          <w:numId w:val="2"/>
        </w:numPr>
        <w:spacing w:after="60"/>
      </w:pPr>
      <w:r>
        <w:t xml:space="preserve">☐  You can explain how dictionaries and patterns combine into a policy.</w:t>
      </w:r>
    </w:p>
    <w:p>
      <w:pPr>
        <w:pStyle w:val="ListParagraph"/>
        <w:numPr>
          <w:ilvl w:val="0"/>
          <w:numId w:val="2"/>
        </w:numPr>
        <w:spacing w:after="60"/>
      </w:pPr>
      <w:r>
        <w:t xml:space="preserve">☐  Data Discovery has run on the </w:t>
      </w:r>
      <w:r>
        <w:rPr>
          <w:rFonts w:ascii="Consolas" w:hAnsi="Consolas"/>
          <w:color w:val="0A5560"/>
          <w:sz w:val="20"/>
          <w:szCs w:val="20"/>
        </w:rPr>
        <w:t xml:space="preserve">correspondence</w:t>
      </w:r>
      <w:r>
        <w:t xml:space="preserve"> folder, and documents containing personal data carry Tags and Business Terms.</w:t>
      </w:r>
    </w:p>
    <w:p>
      <w:pPr>
        <w:pStyle w:val="ListParagraph"/>
        <w:numPr>
          <w:ilvl w:val="0"/>
          <w:numId w:val="2"/>
        </w:numPr>
        <w:spacing w:after="60"/>
      </w:pPr>
      <w:r>
        <w:t xml:space="preserve">☐  You can explain why a table is profiled and identified, while a document is discovered and string-detected — using the same methods.</w:t>
      </w:r>
    </w:p>
    <w:p>
      <w:pPr>
        <w:pStyle w:val="ListParagraph"/>
        <w:numPr>
          <w:ilvl w:val="0"/>
          <w:numId w:val="2"/>
        </w:numPr>
        <w:spacing w:after="60"/>
      </w:pPr>
      <w:r>
        <w:t xml:space="preserve">☐  The CTO Service Cities, Product Categories and Tender Types dictionaries are uploaded and appear in the methods list.</w:t>
      </w:r>
    </w:p>
    <w:p>
      <w:pPr>
        <w:pStyle w:val="ListParagraph"/>
        <w:numPr>
          <w:ilvl w:val="0"/>
          <w:numId w:val="2"/>
        </w:numPr>
        <w:spacing w:after="60"/>
      </w:pPr>
      <w:r>
        <w:t xml:space="preserve">☐  You can explain the </w:t>
      </w:r>
      <w:r>
        <w:rPr>
          <w:rFonts w:ascii="Consolas" w:hAnsi="Consolas"/>
          <w:color w:val="0A5560"/>
          <w:sz w:val="20"/>
          <w:szCs w:val="20"/>
        </w:rPr>
        <w:t xml:space="preserve">card_no</w:t>
      </w:r>
      <w:r>
        <w:t xml:space="preserve"> triangulation — the HIGH identification tag, the failing PCI rule, and the NON-COMPLIANT attestation all point at one defect — and why </w:t>
      </w:r>
      <w:r>
        <w:rPr>
          <w:rFonts w:ascii="Consolas" w:hAnsi="Consolas"/>
          <w:color w:val="0A5560"/>
          <w:sz w:val="20"/>
          <w:szCs w:val="20"/>
        </w:rPr>
        <w:t xml:space="preserve">loyalty_no</w:t>
      </w:r>
      <w:r>
        <w:t xml:space="preserve"> needed a custom pattern.</w:t>
      </w:r>
    </w:p>
    <w:p>
      <w:pPr>
        <w:pStyle w:val="Heading1"/>
      </w:pPr>
      <w:r>
        <w:t xml:space="preserve">Troubleshooting</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Symptom</w:t>
            </w:r>
          </w:p>
        </w:tc>
        <w:tc>
          <w:tcPr>
            <w:tcW w:w="6460" w:type="dxa"/>
            <w:shd w:val="clear" w:color="auto" w:fill="EEF6FA"/>
            <w:tcMar>
              <w:top w:w="120" w:type="dxa"/>
              <w:left w:w="180" w:type="dxa"/>
              <w:bottom w:w="120" w:type="dxa"/>
              <w:right w:w="180" w:type="dxa"/>
            </w:tcMar>
          </w:tcPr>
          <w:p>
            <w:pPr>
              <w:spacing w:after="0"/>
            </w:pPr>
            <w:r>
              <w:rPr>
                <w:b/>
                <w:bCs/>
              </w:rPr>
              <w:t xml:space="preserve">Cause and fix</w:t>
            </w:r>
          </w:p>
        </w:tc>
      </w:tr>
      <w:tr>
        <w:tc>
          <w:tcPr>
            <w:tcW w:w="2900" w:type="dxa"/>
            <w:tcMar>
              <w:top w:w="120" w:type="dxa"/>
              <w:left w:w="180" w:type="dxa"/>
              <w:bottom w:w="120" w:type="dxa"/>
              <w:right w:w="180" w:type="dxa"/>
            </w:tcMar>
          </w:tcPr>
          <w:p>
            <w:pPr>
              <w:spacing w:after="0"/>
            </w:pPr>
            <w:r>
              <w:t xml:space="preserve">Data Identification shows Required or is disabled</w:t>
            </w:r>
          </w:p>
        </w:tc>
        <w:tc>
          <w:tcPr>
            <w:tcW w:w="6460" w:type="dxa"/>
            <w:tcMar>
              <w:top w:w="120" w:type="dxa"/>
              <w:left w:w="180" w:type="dxa"/>
              <w:bottom w:w="120" w:type="dxa"/>
              <w:right w:w="180" w:type="dxa"/>
            </w:tcMar>
          </w:tcPr>
          <w:p>
            <w:pPr>
              <w:spacing w:after="0"/>
            </w:pPr>
            <w:r>
              <w:t xml:space="preserve">The table has not been profiled. Run Data Profiling first, then return.</w:t>
            </w:r>
          </w:p>
        </w:tc>
      </w:tr>
      <w:tr>
        <w:tc>
          <w:tcPr>
            <w:tcW w:w="2900" w:type="dxa"/>
            <w:tcMar>
              <w:top w:w="120" w:type="dxa"/>
              <w:left w:w="180" w:type="dxa"/>
              <w:bottom w:w="120" w:type="dxa"/>
              <w:right w:w="180" w:type="dxa"/>
            </w:tcMar>
          </w:tcPr>
          <w:p>
            <w:pPr>
              <w:spacing w:after="0"/>
            </w:pPr>
            <w:r>
              <w:t xml:space="preserve">No columns were tagged</w:t>
            </w:r>
          </w:p>
        </w:tc>
        <w:tc>
          <w:tcPr>
            <w:tcW w:w="6460" w:type="dxa"/>
            <w:tcMar>
              <w:top w:w="120" w:type="dxa"/>
              <w:left w:w="180" w:type="dxa"/>
              <w:bottom w:w="120" w:type="dxa"/>
              <w:right w:w="180" w:type="dxa"/>
            </w:tcMar>
          </w:tcPr>
          <w:p>
            <w:pPr>
              <w:spacing w:after="0"/>
            </w:pPr>
            <w:r>
              <w:t xml:space="preserve">No matching methods were selected, or the data lacked samples. Re-run after selecting the relevant dictionaries and patterns, and confirm the data was profiled with samples.</w:t>
            </w:r>
          </w:p>
        </w:tc>
      </w:tr>
      <w:tr>
        <w:tc>
          <w:tcPr>
            <w:tcW w:w="2900" w:type="dxa"/>
            <w:tcMar>
              <w:top w:w="120" w:type="dxa"/>
              <w:left w:w="180" w:type="dxa"/>
              <w:bottom w:w="120" w:type="dxa"/>
              <w:right w:w="180" w:type="dxa"/>
            </w:tcMar>
          </w:tcPr>
          <w:p>
            <w:pPr>
              <w:spacing w:after="0"/>
            </w:pPr>
            <w:r>
              <w:t xml:space="preserve">A column you expected wasn't matched</w:t>
            </w:r>
          </w:p>
        </w:tc>
        <w:tc>
          <w:tcPr>
            <w:tcW w:w="6460" w:type="dxa"/>
            <w:tcMar>
              <w:top w:w="120" w:type="dxa"/>
              <w:left w:w="180" w:type="dxa"/>
              <w:bottom w:w="120" w:type="dxa"/>
              <w:right w:w="180" w:type="dxa"/>
            </w:tcMar>
          </w:tcPr>
          <w:p>
            <w:pPr>
              <w:spacing w:after="0"/>
            </w:pPr>
            <w:r>
              <w:t xml:space="preserve">Its values may not appear in any dictionary and its shape may not match a pattern — </w:t>
            </w:r>
            <w:r>
              <w:rPr>
                <w:rFonts w:ascii="Consolas" w:hAnsi="Consolas"/>
                <w:color w:val="0A5560"/>
                <w:sz w:val="20"/>
                <w:szCs w:val="20"/>
              </w:rPr>
              <w:t xml:space="preserve">loyalty_no</w:t>
            </w:r>
            <w:r>
              <w:t xml:space="preserve"> is the deliberate example. A user-defined dictionary or pattern is the fix.</w:t>
            </w:r>
          </w:p>
        </w:tc>
      </w:tr>
      <w:tr>
        <w:tc>
          <w:tcPr>
            <w:tcW w:w="2900" w:type="dxa"/>
            <w:tcMar>
              <w:top w:w="120" w:type="dxa"/>
              <w:left w:w="180" w:type="dxa"/>
              <w:bottom w:w="120" w:type="dxa"/>
              <w:right w:w="180" w:type="dxa"/>
            </w:tcMar>
          </w:tcPr>
          <w:p>
            <w:pPr>
              <w:spacing w:after="0"/>
            </w:pPr>
            <w:r>
              <w:t xml:space="preserve">Too many false matches, or confidence too low</w:t>
            </w:r>
          </w:p>
        </w:tc>
        <w:tc>
          <w:tcPr>
            <w:tcW w:w="6460" w:type="dxa"/>
            <w:tcMar>
              <w:top w:w="120" w:type="dxa"/>
              <w:left w:w="180" w:type="dxa"/>
              <w:bottom w:w="120" w:type="dxa"/>
              <w:right w:w="180" w:type="dxa"/>
            </w:tcMar>
          </w:tcPr>
          <w:p>
            <w:pPr>
              <w:spacing w:after="0"/>
            </w:pPr>
            <w:r>
              <w:t xml:space="preserve">Thresholds and weightings are tunable on each method's identification rule. As a BA, note the column and method for follow-up with the Data Steward.</w:t>
            </w:r>
          </w:p>
        </w:tc>
      </w:tr>
      <w:tr>
        <w:tc>
          <w:tcPr>
            <w:tcW w:w="2900" w:type="dxa"/>
            <w:tcMar>
              <w:top w:w="120" w:type="dxa"/>
              <w:left w:w="180" w:type="dxa"/>
              <w:bottom w:w="120" w:type="dxa"/>
              <w:right w:w="180" w:type="dxa"/>
            </w:tcMar>
          </w:tcPr>
          <w:p>
            <w:pPr>
              <w:spacing w:after="0"/>
            </w:pPr>
            <w:r>
              <w:t xml:space="preserve">A document wasn't tagged for content</w:t>
            </w:r>
          </w:p>
        </w:tc>
        <w:tc>
          <w:tcPr>
            <w:tcW w:w="6460" w:type="dxa"/>
            <w:tcMar>
              <w:top w:w="120" w:type="dxa"/>
              <w:left w:w="180" w:type="dxa"/>
              <w:bottom w:w="120" w:type="dxa"/>
              <w:right w:w="180" w:type="dxa"/>
            </w:tcMar>
          </w:tcPr>
          <w:p>
            <w:pPr>
              <w:spacing w:after="0"/>
            </w:pPr>
            <w:r>
              <w:t xml:space="preserve">String Detection runs only when at least one dictionary or pattern is added under Document Processing. Confirm Data Discovery completed and the methods were selected.</w:t>
            </w:r>
          </w:p>
        </w:tc>
      </w:tr>
      <w:tr>
        <w:tc>
          <w:tcPr>
            <w:tcW w:w="2900" w:type="dxa"/>
            <w:tcMar>
              <w:top w:w="120" w:type="dxa"/>
              <w:left w:w="180" w:type="dxa"/>
              <w:bottom w:w="120" w:type="dxa"/>
              <w:right w:w="180" w:type="dxa"/>
            </w:tcMar>
          </w:tcPr>
          <w:p>
            <w:pPr>
              <w:spacing w:after="0"/>
            </w:pPr>
            <w:r>
              <w:t xml:space="preserve">Cannot open Data Identification Methods</w:t>
            </w:r>
          </w:p>
        </w:tc>
        <w:tc>
          <w:tcPr>
            <w:tcW w:w="6460" w:type="dxa"/>
            <w:tcMar>
              <w:top w:w="120" w:type="dxa"/>
              <w:left w:w="180" w:type="dxa"/>
              <w:bottom w:w="120" w:type="dxa"/>
              <w:right w:w="180" w:type="dxa"/>
            </w:tcMar>
          </w:tcPr>
          <w:p>
            <w:pPr>
              <w:spacing w:after="0"/>
            </w:pPr>
            <w:r>
              <w:t xml:space="preserve">In PDC v11 the methods pages are gated to the </w:t>
            </w:r>
            <w:r>
              <w:rPr>
                <w:b/>
                <w:bCs/>
              </w:rPr>
              <w:t xml:space="preserve">Data Steward</w:t>
            </w:r>
            <w:r>
              <w:t xml:space="preserve"> and </w:t>
            </w:r>
            <w:r>
              <w:rPr>
                <w:b/>
                <w:bCs/>
              </w:rPr>
              <w:t xml:space="preserve">Data Storage Administrator</w:t>
            </w:r>
            <w:r>
              <w:t xml:space="preserve"> roles — work as </w:t>
            </w:r>
            <w:r>
              <w:rPr>
                <w:rFonts w:ascii="Consolas" w:hAnsi="Consolas"/>
                <w:color w:val="0A5560"/>
                <w:sz w:val="20"/>
                <w:szCs w:val="20"/>
              </w:rPr>
              <w:t xml:space="preserve">sofia.marin</w:t>
            </w:r>
            <w:r>
              <w:t xml:space="preserve"> or </w:t>
            </w:r>
            <w:r>
              <w:rPr>
                <w:rFonts w:ascii="Consolas" w:hAnsi="Consolas"/>
                <w:color w:val="0A5560"/>
                <w:sz w:val="20"/>
                <w:szCs w:val="20"/>
              </w:rPr>
              <w:t xml:space="preserve">leo.fischer</w:t>
            </w:r>
            <w:r>
              <w:t xml:space="preserve">.</w:t>
            </w:r>
          </w:p>
        </w:tc>
      </w:tr>
    </w:tbl>
    <w:p>
      <w:pPr>
        <w:spacing w:after="120"/>
      </w:pPr>
    </w:p>
    <w:p>
      <w:pPr>
        <w:pStyle w:val="Heading1"/>
      </w:pPr>
      <w:r>
        <w:t xml:space="preserve">Why it matters &amp; discussion</w:t>
      </w:r>
    </w:p>
    <w:p>
      <w:pPr>
        <w:spacing w:after="120"/>
      </w:pPr>
      <w:r>
        <w:t xml:space="preserve">Identification is the foundation the rest of the catalog stands on. Search by business meaning, sensitivity labels, lineage, and data-quality checks all assume data — structured or not — has already been classified correctly. Get identification right and a PCI assessment that spans both the </w:t>
      </w:r>
      <w:r>
        <w:rPr>
          <w:rFonts w:ascii="Consolas" w:hAnsi="Consolas"/>
          <w:color w:val="0A5560"/>
          <w:sz w:val="20"/>
          <w:szCs w:val="20"/>
        </w:rPr>
        <w:t xml:space="preserve">payments</w:t>
      </w:r>
      <w:r>
        <w:t xml:space="preserve"> table and a folder of receipts becomes a filter rather than a manual hunt.</w:t>
      </w:r>
    </w:p>
    <w:p>
      <w:pPr>
        <w:spacing w:after="120"/>
      </w:pPr>
      <w:r>
        <w:t xml:space="preserve">Discuss: a PCI assessor asks for every place cardholder data is held. The engine found </w:t>
      </w:r>
      <w:r>
        <w:rPr>
          <w:rFonts w:ascii="Consolas" w:hAnsi="Consolas"/>
          <w:color w:val="0A5560"/>
          <w:sz w:val="20"/>
          <w:szCs w:val="20"/>
        </w:rPr>
        <w:t xml:space="preserve">payments.card_no</w:t>
      </w:r>
      <w:r>
        <w:t xml:space="preserve"> — but the denied-return letter mentions a card "ending 2006" and the POS export carries </w:t>
      </w:r>
      <w:r>
        <w:rPr>
          <w:rFonts w:ascii="Consolas" w:hAnsi="Consolas"/>
          <w:color w:val="0A5560"/>
          <w:sz w:val="20"/>
          <w:szCs w:val="20"/>
        </w:rPr>
        <w:t xml:space="preserve">card_last4</w:t>
      </w:r>
      <w:r>
        <w:t xml:space="preserve"> values. Which of those are in scope, which method would flag each, and who decides?</w:t>
      </w:r>
    </w:p>
    <w:p>
      <w:pPr>
        <w:pStyle w:val="Heading1"/>
      </w:pPr>
      <w:r>
        <w:t xml:space="preserve">What's next</w:t>
      </w:r>
    </w:p>
    <w:p>
      <w:pPr>
        <w:spacing w:after="120"/>
      </w:pPr>
      <w:r>
        <w:t xml:space="preserve">This completes the RETAIL workshop track. From here the natural continuations are the </w:t>
      </w:r>
      <w:r>
        <w:rPr>
          <w:b/>
          <w:bCs/>
        </w:rPr>
        <w:t xml:space="preserve">Glossary Generator app</w:t>
      </w:r>
      <w:r>
        <w:t xml:space="preserve"> (install the RETAIL scenario with </w:t>
      </w:r>
      <w:r>
        <w:rPr>
          <w:rFonts w:ascii="Consolas" w:hAnsi="Consolas"/>
          <w:color w:val="0A5560"/>
          <w:sz w:val="20"/>
          <w:szCs w:val="20"/>
        </w:rPr>
        <w:t xml:space="preserve">install-scenario.ps1</w:t>
      </w:r>
      <w:r>
        <w:t xml:space="preserve"> and build this same glossary with the scan → suggest → govern → export pipeline), and the </w:t>
      </w:r>
      <w:r>
        <w:rPr>
          <w:b/>
          <w:bCs/>
        </w:rPr>
        <w:t xml:space="preserve">Technical Track</w:t>
      </w:r>
      <w:r>
        <w:t xml:space="preserve"> modules in </w:t>
      </w:r>
      <w:r>
        <w:rPr>
          <w:rFonts w:ascii="Consolas" w:hAnsi="Consolas"/>
          <w:color w:val="0A5560"/>
          <w:sz w:val="20"/>
          <w:szCs w:val="20"/>
        </w:rPr>
        <w:t xml:space="preserve">courseware/CSCU/Technical-Track/</w:t>
      </w:r>
      <w:r>
        <w:t xml:space="preserve"> — the engine-room deep dives on identification rules, custom method libraries, and similarity/ML, taught on the CSCU scenario but directly transferable to CTO.</w:t>
      </w:r>
    </w:p>
    <w:p>
      <w:pPr>
        <w:spacing w:after="120"/>
      </w:pPr>
      <w:r>
        <w:t xml:space="preserve">All Canyon Trail Outfitters data is fictional and generated for training.</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Copper State Credit Union </w:t>
    </w:r>
    <w:proofErr w:type="gramStart"/>
    <w:r>
      <w:rPr>
        <w:color w:val="5B7782"/>
        <w:sz w:val="16"/>
        <w:szCs w:val="16"/>
      </w:rPr>
      <w:t>·</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5: Data Identification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 w:numId="100">
    <w:abstractNumId w:val="23"/>
    <w:lvlOverride w:ilvl="0">
      <w:startOverride w:val="1"/>
    </w:lvlOverride>
  </w:num>
  <w:num w:numId="101">
    <w:abstractNumId w:val="23"/>
    <w:lvlOverride w:ilvl="0">
      <w:startOverride w:val="1"/>
    </w:lvlOverride>
  </w:num>
  <w:num w:numId="102">
    <w:abstractNumId w:val="23"/>
    <w:lvlOverride w:ilvl="0">
      <w:startOverride w:val="1"/>
    </w:lvlOverride>
  </w:num>
  <w:num w:numId="103">
    <w:abstractNumId w:val="23"/>
    <w:lvlOverride w:ilvl="0">
      <w:startOverride w:val="1"/>
    </w:lvlOverride>
  </w:num>
  <w:num w:numId="104">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Identification</dc:title>
  <dc:creator>Copper State Credit Union - PDC BA Course</dc:creator>
  <cp:lastModifiedBy>James O'Reilly</cp:lastModifiedBy>
  <cp:revision>23</cp:revision>
  <dcterms:created xsi:type="dcterms:W3CDTF">2026-06-12T07:37:00Z</dcterms:created>
  <dcterms:modified xsi:type="dcterms:W3CDTF">2026-07-02T19:02:00Z</dcterms:modified>
</cp:coreProperties>
</file>