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750B" w14:textId="77777777" w:rsidR="00B74524" w:rsidRDefault="00094A75">
      <w:pPr>
        <w:spacing w:after="40"/>
      </w:pPr>
      <w:r>
        <w:rPr>
          <w:b/>
          <w:bCs/>
          <w:color w:val="127C8A"/>
          <w:spacing w:val="20"/>
          <w:sz w:val="18"/>
          <w:szCs w:val="18"/>
        </w:rPr>
        <w:t>PENTAHO DATA CATALOG 10.2.11   ·   TECHNICAL DEEP-DIVE</w:t>
      </w:r>
    </w:p>
    <w:p w14:paraId="060B0004" w14:textId="77777777" w:rsidR="00B74524" w:rsidRDefault="00094A75">
      <w:pPr>
        <w:pBdr>
          <w:bottom w:val="single" w:sz="12" w:space="6" w:color="0B5563"/>
        </w:pBdr>
        <w:spacing w:after="60"/>
      </w:pPr>
      <w:r>
        <w:rPr>
          <w:b/>
          <w:bCs/>
          <w:sz w:val="48"/>
          <w:szCs w:val="48"/>
        </w:rPr>
        <w:t>Data Identification</w:t>
      </w:r>
    </w:p>
    <w:p w14:paraId="6F0C44D6" w14:textId="77777777" w:rsidR="00B74524" w:rsidRDefault="00094A75">
      <w:pPr>
        <w:spacing w:before="120" w:after="120" w:line="288" w:lineRule="auto"/>
      </w:pPr>
      <w:r>
        <w:rPr>
          <w:color w:val="5B7479"/>
          <w:sz w:val="22"/>
          <w:szCs w:val="22"/>
        </w:rPr>
        <w:t>How Dictionaries and Data Patterns turn profiling results into governance — the engine behind PII detection, sensitivity, and the Galaxy 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2780"/>
        <w:gridCol w:w="2380"/>
      </w:tblGrid>
      <w:tr w:rsidR="00B74524" w14:paraId="67765B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9A61A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Audience</w:t>
            </w:r>
          </w:p>
        </w:tc>
        <w:tc>
          <w:tcPr>
            <w:tcW w:w="17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5FDB4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Runs on</w:t>
            </w:r>
          </w:p>
        </w:tc>
        <w:tc>
          <w:tcPr>
            <w:tcW w:w="27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29617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Pairs with</w:t>
            </w:r>
          </w:p>
        </w:tc>
        <w:tc>
          <w:tcPr>
            <w:tcW w:w="2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4D6EF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Next</w:t>
            </w:r>
          </w:p>
        </w:tc>
      </w:tr>
      <w:tr w:rsidR="00B74524" w14:paraId="0C1501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E898B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Data Steward / Developer / Admin</w:t>
            </w:r>
          </w:p>
        </w:tc>
        <w:tc>
          <w:tcPr>
            <w:tcW w:w="17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F810C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Profiled data</w:t>
            </w:r>
          </w:p>
        </w:tc>
        <w:tc>
          <w:tcPr>
            <w:tcW w:w="27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6843F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BA Workshop 5 — Protect Sensitive Data</w:t>
            </w:r>
          </w:p>
        </w:tc>
        <w:tc>
          <w:tcPr>
            <w:tcW w:w="23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C4B64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Module 02 — Build Your Own (hands-on)</w:t>
            </w:r>
          </w:p>
        </w:tc>
      </w:tr>
    </w:tbl>
    <w:p w14:paraId="1CE30670" w14:textId="77777777" w:rsidR="00B74524" w:rsidRDefault="00B74524">
      <w:pPr>
        <w:spacing w:after="140"/>
      </w:pPr>
    </w:p>
    <w:p w14:paraId="4C7AB780" w14:textId="77777777" w:rsidR="00B74524" w:rsidRDefault="00094A75">
      <w:pPr>
        <w:pStyle w:val="Heading1"/>
      </w:pPr>
      <w:r>
        <w:t>Why this matters</w:t>
      </w:r>
    </w:p>
    <w:p w14:paraId="1ADE87EA" w14:textId="77777777" w:rsidR="00B74524" w:rsidRDefault="00094A75">
      <w:pPr>
        <w:spacing w:after="120" w:line="276" w:lineRule="auto"/>
      </w:pPr>
      <w:r>
        <w:t>Profiling tells you what your data looks like. Data Identification is the step that turns those profiling results into governance: it scans the profiled values, recognises what they are, and applies Tags and Business Terms automatically. It is how a raw column called email becomes a column the catalog knows is PII, Sensitive, and linked to the Email Address business term — without anyone tagging it by hand. Those tags are also what later business rules act 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524" w14:paraId="5105E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27C8A"/>
              <w:left w:val="single" w:sz="18" w:space="0" w:color="127C8A"/>
              <w:bottom w:val="single" w:sz="4" w:space="0" w:color="127C8A"/>
              <w:right w:val="single" w:sz="4" w:space="0" w:color="127C8A"/>
            </w:tcBorders>
            <w:shd w:val="clear" w:color="auto" w:fill="E8F2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0CA63" w14:textId="77777777" w:rsidR="00B74524" w:rsidRDefault="00094A75">
            <w:pPr>
              <w:spacing w:after="60"/>
            </w:pPr>
            <w:r>
              <w:rPr>
                <w:b/>
                <w:bCs/>
                <w:color w:val="0B5563"/>
                <w:sz w:val="20"/>
                <w:szCs w:val="20"/>
              </w:rPr>
              <w:t>Remember</w:t>
            </w:r>
          </w:p>
          <w:p w14:paraId="2D312284" w14:textId="77777777" w:rsidR="00B74524" w:rsidRDefault="00094A75">
            <w:pPr>
              <w:spacing w:line="268" w:lineRule="auto"/>
            </w:pPr>
            <w:r>
              <w:t>Data Identification runs on profiled</w:t>
            </w:r>
            <w:r>
              <w:t xml:space="preserve"> data, so profiling must come first — a method can only match values it can see. And the Trust Score is computed last, after tags exist.</w:t>
            </w:r>
          </w:p>
        </w:tc>
      </w:tr>
    </w:tbl>
    <w:p w14:paraId="6988DB3B" w14:textId="77777777" w:rsidR="00B74524" w:rsidRDefault="00B74524">
      <w:pPr>
        <w:spacing w:after="80"/>
      </w:pPr>
    </w:p>
    <w:p w14:paraId="424F61D7" w14:textId="77777777" w:rsidR="00B74524" w:rsidRDefault="00094A75">
      <w:pPr>
        <w:spacing w:before="200" w:after="40"/>
        <w:jc w:val="center"/>
      </w:pPr>
      <w:r>
        <w:rPr>
          <w:noProof/>
        </w:rPr>
        <w:drawing>
          <wp:inline distT="0" distB="0" distL="0" distR="0" wp14:anchorId="42395A4C" wp14:editId="2D49EAE1">
            <wp:extent cx="5806440" cy="2436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_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3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5529" w14:textId="77777777" w:rsidR="00B74524" w:rsidRDefault="00094A75">
      <w:pPr>
        <w:spacing w:after="280"/>
        <w:jc w:val="center"/>
      </w:pPr>
      <w:r>
        <w:rPr>
          <w:i/>
          <w:color w:val="5B7479"/>
          <w:sz w:val="18"/>
        </w:rPr>
        <w:t>Profiling feeds Data Identification, whose tags feed the business rules and, last, the Trust Score.</w:t>
      </w:r>
    </w:p>
    <w:p w14:paraId="73F9D413" w14:textId="77777777" w:rsidR="00F05D49" w:rsidRDefault="00F05D49">
      <w:pPr>
        <w:pStyle w:val="Heading1"/>
      </w:pPr>
    </w:p>
    <w:p w14:paraId="73D167DD" w14:textId="77777777" w:rsidR="00F05D49" w:rsidRDefault="00F05D49">
      <w:pPr>
        <w:pStyle w:val="Heading1"/>
      </w:pPr>
    </w:p>
    <w:p w14:paraId="35F500DA" w14:textId="5249C9D9" w:rsidR="00B74524" w:rsidRDefault="00094A75">
      <w:pPr>
        <w:pStyle w:val="Heading1"/>
      </w:pPr>
      <w:r>
        <w:lastRenderedPageBreak/>
        <w:t>Two methods, one goal</w:t>
      </w:r>
    </w:p>
    <w:p w14:paraId="132E87E2" w14:textId="77777777" w:rsidR="00B74524" w:rsidRDefault="00094A75">
      <w:pPr>
        <w:spacing w:after="120" w:line="276" w:lineRule="auto"/>
      </w:pPr>
      <w:r>
        <w:t>Data Identification classifies each profiled column two complementary ways, then tags it. The two lenses catch different things, which is why you usually run both together.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B74524" w14:paraId="7A586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FB706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D5DCA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Matches on</w:t>
            </w:r>
          </w:p>
        </w:tc>
        <w:tc>
          <w:tcPr>
            <w:tcW w:w="3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3C48F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Good for</w:t>
            </w:r>
          </w:p>
        </w:tc>
      </w:tr>
      <w:tr w:rsidR="00B74524" w14:paraId="6A23D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212AC" w14:textId="77777777" w:rsidR="00B74524" w:rsidRDefault="00094A7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Data Dictionary</w:t>
            </w:r>
          </w:p>
        </w:tc>
        <w:tc>
          <w:tcPr>
            <w:tcW w:w="36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32C45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the column's actual values, against predefined lists of known terms</w:t>
            </w:r>
          </w:p>
        </w:tc>
        <w:tc>
          <w:tcPr>
            <w:tcW w:w="36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64076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country/state codes, SKUs, department codes, custom vocabulary, classifications</w:t>
            </w:r>
          </w:p>
        </w:tc>
      </w:tr>
      <w:tr w:rsidR="00B74524" w14:paraId="2D42F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70C7D" w14:textId="77777777" w:rsidR="00B74524" w:rsidRDefault="00094A7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Data Pattern</w:t>
            </w:r>
          </w:p>
        </w:tc>
        <w:tc>
          <w:tcPr>
            <w:tcW w:w="36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7210D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the shape of the values, as a character-position signature</w:t>
            </w:r>
          </w:p>
        </w:tc>
        <w:tc>
          <w:tcPr>
            <w:tcW w:w="36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BE37D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emails, SSNs, passport and account codes, dates — anything with a recognisable format</w:t>
            </w:r>
          </w:p>
        </w:tc>
      </w:tr>
    </w:tbl>
    <w:p w14:paraId="7E231CF9" w14:textId="77777777" w:rsidR="00B74524" w:rsidRDefault="00094A75">
      <w:pPr>
        <w:spacing w:before="120" w:after="120"/>
      </w:pPr>
      <w:r>
        <w:rPr>
          <w:b/>
          <w:bCs/>
        </w:rPr>
        <w:t xml:space="preserve">The core equation:  </w:t>
      </w:r>
      <w:r>
        <w:t>Data Dictionary + Pattern Analysis = a Data Identification Policy.  You select the methods that fit your data, run them as one job, and on every match the policy applies tags.</w:t>
      </w:r>
    </w:p>
    <w:p w14:paraId="241B7B76" w14:textId="77777777" w:rsidR="00B74524" w:rsidRDefault="00B74524">
      <w:pPr>
        <w:spacing w:after="80"/>
      </w:pPr>
    </w:p>
    <w:p w14:paraId="4D5C3336" w14:textId="77777777" w:rsidR="00B74524" w:rsidRDefault="00094A75">
      <w:pPr>
        <w:spacing w:before="200" w:after="40"/>
        <w:jc w:val="center"/>
      </w:pPr>
      <w:r>
        <w:rPr>
          <w:noProof/>
        </w:rPr>
        <w:drawing>
          <wp:inline distT="0" distB="0" distL="0" distR="0" wp14:anchorId="07C48858" wp14:editId="19AF39D7">
            <wp:extent cx="5806440" cy="22292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_poli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42F" w14:textId="77777777" w:rsidR="00B74524" w:rsidRDefault="00094A75">
      <w:pPr>
        <w:spacing w:after="280"/>
        <w:jc w:val="center"/>
        <w:rPr>
          <w:i/>
          <w:color w:val="5B7479"/>
          <w:sz w:val="18"/>
        </w:rPr>
      </w:pPr>
      <w:r>
        <w:rPr>
          <w:i/>
          <w:color w:val="5B7479"/>
          <w:sz w:val="18"/>
        </w:rPr>
        <w:t>Dictionary and Pattern are selected together as one policy; every match applies tags and business terms.</w:t>
      </w:r>
    </w:p>
    <w:p w14:paraId="348CF4F3" w14:textId="77777777" w:rsidR="00F05D49" w:rsidRDefault="00F05D49">
      <w:pPr>
        <w:spacing w:after="280"/>
        <w:jc w:val="center"/>
        <w:rPr>
          <w:i/>
          <w:color w:val="5B7479"/>
          <w:sz w:val="18"/>
        </w:rPr>
      </w:pPr>
    </w:p>
    <w:p w14:paraId="289CD291" w14:textId="77777777" w:rsidR="00F05D49" w:rsidRDefault="00F05D49">
      <w:pPr>
        <w:spacing w:after="280"/>
        <w:jc w:val="center"/>
        <w:rPr>
          <w:i/>
          <w:color w:val="5B7479"/>
          <w:sz w:val="18"/>
        </w:rPr>
      </w:pPr>
    </w:p>
    <w:p w14:paraId="6E693B6D" w14:textId="77777777" w:rsidR="00F05D49" w:rsidRDefault="00F05D49">
      <w:pPr>
        <w:spacing w:after="280"/>
        <w:jc w:val="center"/>
        <w:rPr>
          <w:i/>
          <w:color w:val="5B7479"/>
          <w:sz w:val="18"/>
        </w:rPr>
      </w:pPr>
    </w:p>
    <w:p w14:paraId="361B58BC" w14:textId="77777777" w:rsidR="00F05D49" w:rsidRDefault="00F05D49">
      <w:pPr>
        <w:spacing w:after="280"/>
        <w:jc w:val="center"/>
        <w:rPr>
          <w:i/>
          <w:color w:val="5B7479"/>
          <w:sz w:val="18"/>
        </w:rPr>
      </w:pPr>
    </w:p>
    <w:p w14:paraId="61C3881A" w14:textId="77777777" w:rsidR="00F05D49" w:rsidRDefault="00F05D49">
      <w:pPr>
        <w:spacing w:after="280"/>
        <w:jc w:val="center"/>
        <w:rPr>
          <w:i/>
          <w:color w:val="5B7479"/>
          <w:sz w:val="18"/>
        </w:rPr>
      </w:pPr>
    </w:p>
    <w:p w14:paraId="06829E82" w14:textId="77777777" w:rsidR="00F05D49" w:rsidRDefault="00F05D49">
      <w:pPr>
        <w:spacing w:after="280"/>
        <w:jc w:val="center"/>
        <w:rPr>
          <w:i/>
          <w:color w:val="5B7479"/>
          <w:sz w:val="18"/>
        </w:rPr>
      </w:pPr>
    </w:p>
    <w:p w14:paraId="2B14213A" w14:textId="77777777" w:rsidR="00F05D49" w:rsidRDefault="00F05D49">
      <w:pPr>
        <w:spacing w:after="280"/>
        <w:jc w:val="center"/>
        <w:rPr>
          <w:i/>
          <w:color w:val="5B7479"/>
          <w:sz w:val="18"/>
        </w:rPr>
      </w:pPr>
    </w:p>
    <w:p w14:paraId="6FC148CF" w14:textId="77777777" w:rsidR="00F05D49" w:rsidRDefault="00F05D49">
      <w:pPr>
        <w:spacing w:after="280"/>
        <w:jc w:val="center"/>
        <w:rPr>
          <w:i/>
          <w:color w:val="5B7479"/>
          <w:sz w:val="18"/>
        </w:rPr>
      </w:pPr>
    </w:p>
    <w:p w14:paraId="2AAAC6C9" w14:textId="77777777" w:rsidR="00F05D49" w:rsidRDefault="00F05D49">
      <w:pPr>
        <w:spacing w:after="280"/>
        <w:jc w:val="center"/>
      </w:pPr>
    </w:p>
    <w:p w14:paraId="68E7198C" w14:textId="77777777" w:rsidR="00B74524" w:rsidRDefault="00094A75">
      <w:pPr>
        <w:pStyle w:val="Heading1"/>
      </w:pPr>
      <w:r>
        <w:lastRenderedPageBreak/>
        <w:t>Method 1 — Data Dictionaries</w:t>
      </w:r>
    </w:p>
    <w:p w14:paraId="04CBEDF9" w14:textId="77777777" w:rsidR="00B74524" w:rsidRDefault="00094A75">
      <w:pPr>
        <w:spacing w:after="120" w:line="276" w:lineRule="auto"/>
      </w:pPr>
      <w:r>
        <w:t>A data dictionary is a collection of predefined terms and values. Unlike a glossary, it actively scans the actual column values and classifies the column by what it contains, not just its name — so it can identify data that names alone never reveal, such as a column of two-letter country codes.</w:t>
      </w:r>
    </w:p>
    <w:p w14:paraId="1E752254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System-defined.</w:t>
      </w:r>
      <w:r>
        <w:t xml:space="preserve">  PDC ships with 95 built-in dictionaries — ISO country codes, currency symbols, standard classifications — ready to use.</w:t>
      </w:r>
    </w:p>
    <w:p w14:paraId="0EB2C530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User-defined.</w:t>
      </w:r>
      <w:r>
        <w:t xml:space="preserve">  Built for your business context. (Authoring these — for AWC's account, asset and contaminant vocabularies — is the work of Module 02.)</w:t>
      </w:r>
    </w:p>
    <w:p w14:paraId="7B437FA7" w14:textId="77777777" w:rsidR="00B74524" w:rsidRDefault="00094A75">
      <w:pPr>
        <w:pStyle w:val="Heading2"/>
        <w:spacing w:before="220"/>
      </w:pPr>
      <w:r>
        <w:t>The matching rule and confidence score</w:t>
      </w:r>
    </w:p>
    <w:p w14:paraId="678512DD" w14:textId="77777777" w:rsidR="00B74524" w:rsidRDefault="00094A75">
      <w:pPr>
        <w:spacing w:after="120" w:line="276" w:lineRule="auto"/>
      </w:pPr>
      <w:r>
        <w:t>Every dictionary carries a JSON rule. It computes a weighted confidence score, tests it against conditions, and — if they pass — applies tags. Condensed, the built-in Marital_Status dictionary reads: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524" w14:paraId="66C61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27C8A"/>
              <w:left w:val="single" w:sz="18" w:space="0" w:color="127C8A"/>
              <w:bottom w:val="single" w:sz="4" w:space="0" w:color="127C8A"/>
              <w:right w:val="single" w:sz="4" w:space="0" w:color="127C8A"/>
            </w:tcBorders>
            <w:shd w:val="clear" w:color="auto" w:fill="E8F2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31A962" w14:textId="77777777" w:rsidR="00B74524" w:rsidRDefault="00094A75">
            <w:pPr>
              <w:spacing w:after="60"/>
            </w:pPr>
            <w:r>
              <w:rPr>
                <w:b/>
                <w:bCs/>
                <w:color w:val="0B5563"/>
                <w:sz w:val="20"/>
                <w:szCs w:val="20"/>
              </w:rPr>
              <w:t>In plain language</w:t>
            </w:r>
          </w:p>
          <w:p w14:paraId="473C1388" w14:textId="77777777" w:rsidR="00B74524" w:rsidRDefault="00094A75">
            <w:pPr>
              <w:spacing w:line="268" w:lineRule="auto"/>
            </w:pPr>
            <w:r>
              <w:rPr>
                <w:b/>
                <w:bCs/>
              </w:rPr>
              <w:t xml:space="preserve">Confidence </w:t>
            </w: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= similarity × 0.9  +  metadata-hint × 0.1</w:t>
            </w:r>
            <w:r>
              <w:t xml:space="preserve">   (value similarity, nudged by a column-name hint).  </w:t>
            </w:r>
            <w:r>
              <w:rPr>
                <w:b/>
                <w:bCs/>
              </w:rPr>
              <w:t xml:space="preserve">Fires when </w:t>
            </w: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confidence ≥ 0.7  AND  cardinality ≥ 3</w:t>
            </w:r>
            <w:r>
              <w:t xml:space="preserve">   (the cardinality test stops it firing on a near-empty column).  </w:t>
            </w:r>
            <w:r>
              <w:rPr>
                <w:b/>
                <w:bCs/>
              </w:rPr>
              <w:t xml:space="preserve">On a match </w:t>
            </w:r>
            <w:r>
              <w:t>it tags the column PII and Sensitive: Marital Status.</w:t>
            </w:r>
          </w:p>
        </w:tc>
      </w:tr>
    </w:tbl>
    <w:p w14:paraId="5867B037" w14:textId="77777777" w:rsidR="00B74524" w:rsidRDefault="00B74524">
      <w:pPr>
        <w:spacing w:after="80"/>
      </w:pPr>
    </w:p>
    <w:p w14:paraId="1CE013F6" w14:textId="77777777" w:rsidR="00B74524" w:rsidRDefault="00094A75">
      <w:r>
        <w:br w:type="page"/>
      </w:r>
    </w:p>
    <w:p w14:paraId="5B6A8002" w14:textId="77777777" w:rsidR="00B74524" w:rsidRDefault="00094A75">
      <w:pPr>
        <w:pStyle w:val="Heading1"/>
      </w:pPr>
      <w:r>
        <w:lastRenderedPageBreak/>
        <w:t>Method 2 — Data Patterns</w:t>
      </w:r>
    </w:p>
    <w:p w14:paraId="1FBDBD0C" w14:textId="77777777" w:rsidR="00B74524" w:rsidRDefault="00094A75">
      <w:pPr>
        <w:spacing w:after="120" w:line="276" w:lineRule="auto"/>
      </w:pPr>
      <w:r>
        <w:t>Pattern analysis reduces each value to a signature — a character-by-character substitution that records where letters, digits, symbols and whitespace fall. It is dimensional reduction for text, and it is what lets PDC recognise a format rather than a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380"/>
        <w:gridCol w:w="1300"/>
        <w:gridCol w:w="3380"/>
      </w:tblGrid>
      <w:tr w:rsidR="00B74524" w14:paraId="65A60D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A338D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3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878EC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Means</w:t>
            </w:r>
          </w:p>
        </w:tc>
        <w:tc>
          <w:tcPr>
            <w:tcW w:w="13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3C144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33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A04C6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Means</w:t>
            </w:r>
          </w:p>
        </w:tc>
      </w:tr>
      <w:tr w:rsidR="00B74524" w14:paraId="63CF6D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44ABF" w14:textId="77777777" w:rsidR="00B74524" w:rsidRDefault="0009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a</w:t>
            </w:r>
          </w:p>
        </w:tc>
        <w:tc>
          <w:tcPr>
            <w:tcW w:w="33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43B3B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lower-case letter</w:t>
            </w:r>
          </w:p>
        </w:tc>
        <w:tc>
          <w:tcPr>
            <w:tcW w:w="13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128F6" w14:textId="77777777" w:rsidR="00B74524" w:rsidRDefault="0009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w</w:t>
            </w:r>
          </w:p>
        </w:tc>
        <w:tc>
          <w:tcPr>
            <w:tcW w:w="33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D602D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whitespace (space, tab)</w:t>
            </w:r>
          </w:p>
        </w:tc>
      </w:tr>
      <w:tr w:rsidR="00B74524" w14:paraId="2632CB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92E40" w14:textId="77777777" w:rsidR="00B74524" w:rsidRDefault="0009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A</w:t>
            </w:r>
          </w:p>
        </w:tc>
        <w:tc>
          <w:tcPr>
            <w:tcW w:w="33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022BE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upper-case letter</w:t>
            </w:r>
          </w:p>
        </w:tc>
        <w:tc>
          <w:tcPr>
            <w:tcW w:w="13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1B687" w14:textId="77777777" w:rsidR="00B74524" w:rsidRDefault="0009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s</w:t>
            </w:r>
          </w:p>
        </w:tc>
        <w:tc>
          <w:tcPr>
            <w:tcW w:w="33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43B46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symbol  - / | ! $ % ^ &amp; *</w:t>
            </w:r>
          </w:p>
        </w:tc>
      </w:tr>
      <w:tr w:rsidR="00B74524" w14:paraId="3EA491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DAE14" w14:textId="77777777" w:rsidR="00B74524" w:rsidRDefault="0009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n</w:t>
            </w:r>
          </w:p>
        </w:tc>
        <w:tc>
          <w:tcPr>
            <w:tcW w:w="33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BE0B9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digit 0–9</w:t>
            </w:r>
          </w:p>
        </w:tc>
        <w:tc>
          <w:tcPr>
            <w:tcW w:w="13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0089" w14:textId="77777777" w:rsidR="00B74524" w:rsidRDefault="0009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-</w:t>
            </w:r>
          </w:p>
        </w:tc>
        <w:tc>
          <w:tcPr>
            <w:tcW w:w="338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64DD3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other / control character</w:t>
            </w:r>
          </w:p>
        </w:tc>
      </w:tr>
    </w:tbl>
    <w:p w14:paraId="4A6E2939" w14:textId="77777777" w:rsidR="00B74524" w:rsidRDefault="00094A75">
      <w:pPr>
        <w:spacing w:before="120" w:after="120"/>
      </w:pPr>
      <w:r>
        <w:rPr>
          <w:b/>
          <w:bCs/>
        </w:rPr>
        <w:t xml:space="preserve">Worked example.  </w:t>
      </w:r>
      <w:r>
        <w:t xml:space="preserve">An AWC account number </w:t>
      </w:r>
      <w:r>
        <w:rPr>
          <w:rFonts w:ascii="Consolas" w:eastAsia="Consolas" w:hAnsi="Consolas" w:cs="Consolas"/>
          <w:color w:val="0B5563"/>
          <w:sz w:val="18"/>
          <w:szCs w:val="18"/>
        </w:rPr>
        <w:t>AWC-CG-001001</w:t>
      </w:r>
      <w:r>
        <w:t xml:space="preserve">  reduces to  </w:t>
      </w:r>
      <w:r>
        <w:rPr>
          <w:rFonts w:ascii="Consolas" w:eastAsia="Consolas" w:hAnsi="Consolas" w:cs="Consolas"/>
          <w:color w:val="0B5563"/>
          <w:sz w:val="18"/>
          <w:szCs w:val="18"/>
        </w:rPr>
        <w:t>AAA-AA-nnnnnn</w:t>
      </w:r>
      <w:r>
        <w:t xml:space="preserve">  — three letters, a dash, the two-letter community code, a dash, six digits. Significant symbols (a dash or underscore) can be kept verbatim, and case can optionally be tracked.</w:t>
      </w:r>
    </w:p>
    <w:p w14:paraId="7F304E1D" w14:textId="77777777" w:rsidR="00B74524" w:rsidRDefault="00094A75">
      <w:pPr>
        <w:spacing w:before="200" w:after="40"/>
        <w:jc w:val="center"/>
      </w:pPr>
      <w:r>
        <w:rPr>
          <w:noProof/>
        </w:rPr>
        <w:drawing>
          <wp:inline distT="0" distB="0" distL="0" distR="0" wp14:anchorId="724AA47A" wp14:editId="3494BF14">
            <wp:extent cx="5806440" cy="18663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_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6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A9A4" w14:textId="77777777" w:rsidR="00B74524" w:rsidRDefault="00094A75">
      <w:pPr>
        <w:spacing w:after="280"/>
        <w:jc w:val="center"/>
      </w:pPr>
      <w:r>
        <w:rPr>
          <w:i/>
          <w:color w:val="5B7479"/>
          <w:sz w:val="18"/>
        </w:rPr>
        <w:t>Each character maps to a class symbol — letters, digits, and kept symbols — to form the signature.</w:t>
      </w:r>
    </w:p>
    <w:p w14:paraId="3B45E334" w14:textId="77777777" w:rsidR="00B74524" w:rsidRDefault="00094A75">
      <w:pPr>
        <w:pStyle w:val="Heading2"/>
        <w:spacing w:before="220"/>
      </w:pPr>
      <w:r>
        <w:t>Position analysis, and from pattern to tag</w:t>
      </w:r>
    </w:p>
    <w:p w14:paraId="032A07A7" w14:textId="77777777" w:rsidR="00B74524" w:rsidRDefault="00094A75">
      <w:pPr>
        <w:spacing w:after="120" w:line="276" w:lineRule="auto"/>
      </w:pPr>
      <w:r>
        <w:t>As values stream in, PDC tallies each recurring pattern and tracks the largest and smallest character seen at every position — revealing fixed prefixes (here, the AWC- prefix) and how variable each position is, so it can propose tighter RegEx. The top ~20 patterns are kept and fed to three jobs at once.</w:t>
      </w:r>
    </w:p>
    <w:p w14:paraId="7E744943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RegEx generation</w:t>
      </w:r>
      <w:r>
        <w:t xml:space="preserve">  — an auto-built regular expression for the format.</w:t>
      </w:r>
    </w:p>
    <w:p w14:paraId="4E2B8701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Data identification</w:t>
      </w:r>
      <w:r>
        <w:t xml:space="preserve">  — a profiled column's profilePattern is compared, with a confidence score, to a predefined pattern; on a match it applies tags, exactly as a dictionary does.</w:t>
      </w:r>
    </w:p>
    <w:p w14:paraId="76E6FEE9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Data-quality checks</w:t>
      </w:r>
      <w:r>
        <w:t xml:space="preserve">  — values that fall outside the accepted pattern surface as outliers, the candidate errors a DQ rule flags.</w:t>
      </w:r>
    </w:p>
    <w:p w14:paraId="16CE30C6" w14:textId="77777777" w:rsidR="00B74524" w:rsidRDefault="00B74524">
      <w:pPr>
        <w:spacing w:after="80"/>
      </w:pPr>
    </w:p>
    <w:p w14:paraId="278D06BA" w14:textId="77777777" w:rsidR="00F05D49" w:rsidRDefault="00F05D49">
      <w:pPr>
        <w:spacing w:after="80"/>
      </w:pPr>
    </w:p>
    <w:p w14:paraId="26FBD60C" w14:textId="77777777" w:rsidR="00F05D49" w:rsidRDefault="00F05D49">
      <w:pPr>
        <w:spacing w:after="80"/>
      </w:pPr>
    </w:p>
    <w:p w14:paraId="4A8AFAD3" w14:textId="77777777" w:rsidR="00F05D49" w:rsidRDefault="00F05D49">
      <w:pPr>
        <w:spacing w:after="80"/>
      </w:pPr>
    </w:p>
    <w:p w14:paraId="3DF53C5B" w14:textId="77777777" w:rsidR="00F05D49" w:rsidRDefault="00F05D49">
      <w:pPr>
        <w:spacing w:after="80"/>
      </w:pPr>
    </w:p>
    <w:p w14:paraId="7F31E6C8" w14:textId="77777777" w:rsidR="00B74524" w:rsidRDefault="00094A75">
      <w:pPr>
        <w:pStyle w:val="Heading1"/>
      </w:pPr>
      <w:r>
        <w:lastRenderedPageBreak/>
        <w:t>Policies — combining the two</w:t>
      </w:r>
    </w:p>
    <w:p w14:paraId="386F721B" w14:textId="77777777" w:rsidR="00B74524" w:rsidRDefault="00094A75">
      <w:pPr>
        <w:spacing w:after="120" w:line="276" w:lineRule="auto"/>
      </w:pPr>
      <w:r>
        <w:t>Together, dictionaries and data patterns are called data identification policies. PDC ships many, spanning whole sectors — Finance, Education, Aviation, Law Enforcement, PCI-DSS, and Data Privacy. You select the methods relevant to your data and run them as one job. After a run, open the Galaxy View to visualise the tagging, follow the data flow, and locate sensitive data with its security and sensitivity at a glance.</w:t>
      </w:r>
    </w:p>
    <w:p w14:paraId="26793B92" w14:textId="77777777" w:rsidR="00B74524" w:rsidRDefault="00B74524">
      <w:pPr>
        <w:spacing w:after="80"/>
      </w:pPr>
    </w:p>
    <w:p w14:paraId="13EF07A4" w14:textId="77777777" w:rsidR="00B74524" w:rsidRDefault="00094A75">
      <w:pPr>
        <w:pStyle w:val="Heading1"/>
      </w:pPr>
      <w:r>
        <w:t>Running Data Identification</w:t>
      </w:r>
    </w:p>
    <w:p w14:paraId="5404C983" w14:textId="77777777" w:rsidR="00B74524" w:rsidRDefault="00094A75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>Open the Data Identification tile.</w:t>
      </w:r>
      <w:r>
        <w:t xml:space="preserve">  On a profiled table, choose Actions → Process, then the Data Identification card.</w:t>
      </w:r>
    </w:p>
    <w:p w14:paraId="56B38380" w14:textId="77777777" w:rsidR="00B74524" w:rsidRDefault="00094A75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>Select Methods.</w:t>
      </w:r>
      <w:r>
        <w:t xml:space="preserve">  Pick the dictionaries and data patterns that fit your data — together they form the policy.</w:t>
      </w:r>
    </w:p>
    <w:p w14:paraId="3FC8A855" w14:textId="77777777" w:rsidR="00B74524" w:rsidRDefault="00094A75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>Start, and track in Workers.</w:t>
      </w:r>
      <w:r>
        <w:t xml:space="preserve">  The job runs asynchronously; watch its progress on the Workers page.</w:t>
      </w:r>
    </w:p>
    <w:p w14:paraId="0FEE8EC3" w14:textId="77777777" w:rsidR="00B74524" w:rsidRDefault="00094A75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>Read the results in Data Canvas.</w:t>
      </w:r>
      <w:r>
        <w:t xml:space="preserve">  Matching columns are now tagged — for example PII and Sensitive — ready for search and governance.</w:t>
      </w:r>
    </w:p>
    <w:p w14:paraId="4DE78610" w14:textId="77777777" w:rsidR="00B74524" w:rsidRDefault="00B74524">
      <w:pPr>
        <w:spacing w:after="80"/>
      </w:pPr>
    </w:p>
    <w:p w14:paraId="460EE8A2" w14:textId="77777777" w:rsidR="00B74524" w:rsidRDefault="00094A75">
      <w:r>
        <w:br w:type="page"/>
      </w:r>
    </w:p>
    <w:p w14:paraId="44FF5A01" w14:textId="77777777" w:rsidR="00B74524" w:rsidRDefault="00094A75">
      <w:pPr>
        <w:pStyle w:val="Heading1"/>
      </w:pPr>
      <w:r>
        <w:lastRenderedPageBreak/>
        <w:t>Data Identification in action — a simple AWC policy</w:t>
      </w:r>
    </w:p>
    <w:p w14:paraId="132CB953" w14:textId="77777777" w:rsidR="00B74524" w:rsidRDefault="00094A75">
      <w:pPr>
        <w:spacing w:after="120" w:line="276" w:lineRule="auto"/>
      </w:pPr>
      <w:r>
        <w:t>You don't have to build anything to see this work. PDC's built-in Data Privacy policy already covers email and US ZIP. Run it on the Arizona Water Company customers table and read what it applies.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3348"/>
        <w:gridCol w:w="2591"/>
        <w:gridCol w:w="922"/>
      </w:tblGrid>
      <w:tr w:rsidR="00B74524" w14:paraId="21E5F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E5A47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A2751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How it matches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319E1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Tags applied</w:t>
            </w:r>
          </w:p>
        </w:tc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B556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4A334" w14:textId="77777777" w:rsidR="00B74524" w:rsidRDefault="00094A75">
            <w:r>
              <w:rPr>
                <w:b/>
                <w:bCs/>
                <w:color w:val="FFFFFF"/>
                <w:sz w:val="19"/>
                <w:szCs w:val="19"/>
              </w:rPr>
              <w:t>Sens.</w:t>
            </w:r>
          </w:p>
        </w:tc>
      </w:tr>
      <w:tr w:rsidR="00B74524" w14:paraId="34AEA8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1FE13" w14:textId="77777777" w:rsidR="00B74524" w:rsidRDefault="0009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customers.email</w:t>
            </w:r>
          </w:p>
        </w:tc>
        <w:tc>
          <w:tcPr>
            <w:tcW w:w="336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CE33E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Email data pattern (regex value match) + name hint “email”</w:t>
            </w:r>
          </w:p>
        </w:tc>
        <w:tc>
          <w:tcPr>
            <w:tcW w:w="26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667CF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PII · Sensitive · term Email Address</w:t>
            </w:r>
          </w:p>
        </w:tc>
        <w:tc>
          <w:tcPr>
            <w:tcW w:w="9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9696F" w14:textId="77777777" w:rsidR="00B74524" w:rsidRDefault="00094A75">
            <w:pPr>
              <w:spacing w:line="260" w:lineRule="auto"/>
            </w:pPr>
            <w:r>
              <w:rPr>
                <w:b/>
                <w:bCs/>
                <w:color w:val="0B5563"/>
                <w:sz w:val="18"/>
                <w:szCs w:val="18"/>
              </w:rPr>
              <w:t>HIGH</w:t>
            </w:r>
          </w:p>
        </w:tc>
      </w:tr>
      <w:tr w:rsidR="00B74524" w14:paraId="5DE023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0D00" w14:textId="77777777" w:rsidR="00B74524" w:rsidRDefault="0009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customers.service_zip</w:t>
            </w:r>
          </w:p>
        </w:tc>
        <w:tc>
          <w:tcPr>
            <w:tcW w:w="336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475EB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US ZIP pattern  nnnnn / nnnnn-nnnn + name hint “zip”</w:t>
            </w:r>
          </w:p>
        </w:tc>
        <w:tc>
          <w:tcPr>
            <w:tcW w:w="26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C85B2" w14:textId="77777777" w:rsidR="00B74524" w:rsidRDefault="00094A75">
            <w:pPr>
              <w:spacing w:line="260" w:lineRule="auto"/>
            </w:pPr>
            <w:r>
              <w:rPr>
                <w:sz w:val="18"/>
                <w:szCs w:val="18"/>
              </w:rPr>
              <w:t>PII · Location</w:t>
            </w:r>
          </w:p>
        </w:tc>
        <w:tc>
          <w:tcPr>
            <w:tcW w:w="900" w:type="dxa"/>
            <w:tcBorders>
              <w:top w:val="single" w:sz="2" w:space="0" w:color="C9DADD"/>
              <w:left w:val="single" w:sz="2" w:space="0" w:color="C9DADD"/>
              <w:bottom w:val="single" w:sz="2" w:space="0" w:color="C9DADD"/>
              <w:right w:val="single" w:sz="2" w:space="0" w:color="C9DADD"/>
            </w:tcBorders>
            <w:shd w:val="clear" w:color="auto" w:fill="F4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1E8E3" w14:textId="77777777" w:rsidR="00B74524" w:rsidRDefault="00094A75">
            <w:pPr>
              <w:spacing w:line="260" w:lineRule="auto"/>
            </w:pPr>
            <w:r>
              <w:rPr>
                <w:b/>
                <w:bCs/>
                <w:color w:val="127C8A"/>
                <w:sz w:val="18"/>
                <w:szCs w:val="18"/>
              </w:rPr>
              <w:t>MEDIUM</w:t>
            </w:r>
          </w:p>
        </w:tc>
      </w:tr>
    </w:tbl>
    <w:p w14:paraId="7ABFF4CA" w14:textId="77777777" w:rsidR="00B74524" w:rsidRDefault="00094A75">
      <w:pPr>
        <w:spacing w:before="120" w:after="120"/>
      </w:pPr>
      <w:r>
        <w:t xml:space="preserve">Plus a table tag  </w:t>
      </w:r>
      <w:r>
        <w:rPr>
          <w:rFonts w:ascii="Consolas" w:eastAsia="Consolas" w:hAnsi="Consolas" w:cs="Consolas"/>
          <w:color w:val="0B5563"/>
          <w:sz w:val="18"/>
          <w:szCs w:val="18"/>
        </w:rPr>
        <w:t>Contains_Personal_Data</w:t>
      </w:r>
      <w:r>
        <w:t xml:space="preserve">  on customers. Each rule fires when confidence clears its threshold and cardinality is high enough, and the table's Sensitivity reflects the highest matched column. That is the whole loop: profiled values in, governed tags out — and those tags are exactly what a business rule reads next.</w:t>
      </w:r>
    </w:p>
    <w:p w14:paraId="311EE82A" w14:textId="77777777" w:rsidR="00B74524" w:rsidRDefault="00B74524">
      <w:pPr>
        <w:spacing w:after="80"/>
      </w:pPr>
    </w:p>
    <w:p w14:paraId="09BD53A0" w14:textId="77777777" w:rsidR="00B74524" w:rsidRDefault="00094A75">
      <w:pPr>
        <w:pStyle w:val="Heading1"/>
      </w:pPr>
      <w:r>
        <w:t>From tags to business rules</w:t>
      </w:r>
    </w:p>
    <w:p w14:paraId="3F3DD5BA" w14:textId="77777777" w:rsidR="00B74524" w:rsidRDefault="00094A75">
      <w:pPr>
        <w:spacing w:after="120" w:line="276" w:lineRule="auto"/>
      </w:pPr>
      <w:r>
        <w:t>Identification is where governance starts, not where it ends. Once a column is recognised, a business rule can act on it. AWC's flagship example lives right in the customers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524" w14:paraId="04E16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A6B16"/>
              <w:left w:val="single" w:sz="18" w:space="0" w:color="9A6B16"/>
              <w:bottom w:val="single" w:sz="4" w:space="0" w:color="9A6B16"/>
              <w:right w:val="single" w:sz="4" w:space="0" w:color="9A6B16"/>
            </w:tcBorders>
            <w:shd w:val="clear" w:color="auto" w:fill="E8F2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3D07AD" w14:textId="77777777" w:rsidR="00B74524" w:rsidRDefault="00094A75">
            <w:pPr>
              <w:spacing w:after="60"/>
            </w:pPr>
            <w:r>
              <w:rPr>
                <w:b/>
                <w:bCs/>
                <w:color w:val="0B5563"/>
                <w:sz w:val="20"/>
                <w:szCs w:val="20"/>
              </w:rPr>
              <w:t>AWC-Marketing-OptOut-Compliance</w:t>
            </w:r>
          </w:p>
          <w:p w14:paraId="3A5C6026" w14:textId="77777777" w:rsidR="00B74524" w:rsidRDefault="00094A75">
            <w:pPr>
              <w:spacing w:line="268" w:lineRule="auto"/>
            </w:pPr>
            <w:r>
              <w:t xml:space="preserve">The schema carries a consent flag, </w:t>
            </w: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opted_out_marketing</w:t>
            </w:r>
            <w:r>
              <w:t xml:space="preserve"> — TRUE means the customer has opted out of marketing and must not be contacted. Identification has already tagged </w:t>
            </w:r>
            <w:r>
              <w:rPr>
                <w:rFonts w:ascii="Consolas" w:eastAsia="Consolas" w:hAnsi="Consolas" w:cs="Consolas"/>
                <w:color w:val="0B5563"/>
                <w:sz w:val="18"/>
                <w:szCs w:val="18"/>
              </w:rPr>
              <w:t>customers.email</w:t>
            </w:r>
            <w:r>
              <w:t xml:space="preserve"> as PII. The business rule joins the two: </w:t>
            </w:r>
            <w:r>
              <w:rPr>
                <w:b/>
                <w:bCs/>
              </w:rPr>
              <w:t>no marketing email may be sent to any customer whose opt-out flag is TRUE.</w:t>
            </w:r>
            <w:r>
              <w:t xml:space="preserve">  And the data is seeded to test it — several opted-out customers still hold a valid email address, which is precisely the violation the rule must catch.</w:t>
            </w:r>
          </w:p>
        </w:tc>
      </w:tr>
    </w:tbl>
    <w:p w14:paraId="560574F5" w14:textId="77777777" w:rsidR="00B74524" w:rsidRDefault="00094A75">
      <w:pPr>
        <w:spacing w:before="120"/>
      </w:pPr>
      <w:r>
        <w:t>So the path runs profiling → identification (the tags) → business rules (the policy that enforces them) → Trust Score (which only becomes meaningful once all of that has run). This deep-dive covers the first two steps; the opt-out rule itself is the BA Workshop's flagship scenario.</w:t>
      </w:r>
    </w:p>
    <w:p w14:paraId="2A64CB2C" w14:textId="77777777" w:rsidR="00B74524" w:rsidRDefault="00B74524">
      <w:pPr>
        <w:spacing w:after="80"/>
      </w:pPr>
    </w:p>
    <w:p w14:paraId="77D32D99" w14:textId="77777777" w:rsidR="00B74524" w:rsidRDefault="00094A75">
      <w:pPr>
        <w:pStyle w:val="Heading1"/>
      </w:pPr>
      <w:r>
        <w:t>Key takeaways</w:t>
      </w:r>
    </w:p>
    <w:p w14:paraId="7B8945E2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Dictionaries match content</w:t>
      </w:r>
      <w:r>
        <w:t xml:space="preserve">  — known values, via a weighted confidence score and a cardinality test.</w:t>
      </w:r>
    </w:p>
    <w:p w14:paraId="5C4AE051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Patterns match shape</w:t>
      </w:r>
      <w:r>
        <w:t xml:space="preserve">  — a per-position signature that also generates RegEx and finds data-quality outliers.</w:t>
      </w:r>
    </w:p>
    <w:p w14:paraId="3F8C6EF3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Policies combine both</w:t>
      </w:r>
      <w:r>
        <w:t xml:space="preserve">  — selected methods, run as one job, on already-profiled data.</w:t>
      </w:r>
    </w:p>
    <w:p w14:paraId="09892CDC" w14:textId="77777777" w:rsidR="00B74524" w:rsidRDefault="00094A75">
      <w:pPr>
        <w:pStyle w:val="ListParagraph"/>
        <w:numPr>
          <w:ilvl w:val="0"/>
          <w:numId w:val="2"/>
        </w:numPr>
        <w:spacing w:after="90" w:line="272" w:lineRule="auto"/>
      </w:pPr>
      <w:r>
        <w:rPr>
          <w:b/>
          <w:bCs/>
        </w:rPr>
        <w:t>Output is governance</w:t>
      </w:r>
      <w:r>
        <w:t xml:space="preserve">  — Tags and Business Terms that feed Sensitivity, search, the Galaxy View, and the business rules that act on them.</w:t>
      </w:r>
    </w:p>
    <w:p w14:paraId="562E1DC8" w14:textId="04194E99" w:rsidR="00B74524" w:rsidRDefault="00094A75" w:rsidP="00F05D49">
      <w:pPr>
        <w:spacing w:before="120"/>
      </w:pPr>
      <w:r>
        <w:rPr>
          <w:b/>
          <w:bCs/>
        </w:rPr>
        <w:t xml:space="preserve">Next:  </w:t>
      </w:r>
      <w:r>
        <w:t>Module 02 — Build Your Own AWC Dictionary &amp; Pattern authors the methods behind this engine for AWC's own account numbers, assets, and regulated-contaminant vocabulary.</w:t>
      </w:r>
      <w:r>
        <w:rPr>
          <w:color w:val="5B7479"/>
          <w:sz w:val="18"/>
          <w:szCs w:val="18"/>
        </w:rPr>
        <w:t>Arizona Water Company Edition  ·  Technical Deep-Dive  ·  Data Identification</w:t>
      </w:r>
    </w:p>
    <w:sectPr w:rsidR="00B74524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7EF8" w14:textId="77777777" w:rsidR="00094A75" w:rsidRDefault="00094A75">
      <w:r>
        <w:separator/>
      </w:r>
    </w:p>
  </w:endnote>
  <w:endnote w:type="continuationSeparator" w:id="0">
    <w:p w14:paraId="0B91CEDF" w14:textId="77777777" w:rsidR="00094A75" w:rsidRDefault="00094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6C30" w14:textId="77777777" w:rsidR="00B74524" w:rsidRDefault="00094A75">
    <w:pPr>
      <w:pBdr>
        <w:top w:val="single" w:sz="4" w:space="6" w:color="C9DADD"/>
      </w:pBdr>
      <w:tabs>
        <w:tab w:val="right" w:pos="9360"/>
      </w:tabs>
    </w:pPr>
    <w:r>
      <w:rPr>
        <w:color w:val="5B7479"/>
        <w:sz w:val="16"/>
        <w:szCs w:val="16"/>
      </w:rPr>
      <w:t>Data Identification  ·  PDC 10.2.11</w:t>
    </w:r>
    <w:r>
      <w:tab/>
    </w:r>
    <w:r>
      <w:rPr>
        <w:color w:val="5B7479"/>
        <w:sz w:val="16"/>
        <w:szCs w:val="16"/>
      </w:rPr>
      <w:t xml:space="preserve">Page </w:t>
    </w:r>
    <w:r>
      <w:rPr>
        <w:color w:val="5B7479"/>
        <w:sz w:val="16"/>
        <w:szCs w:val="16"/>
      </w:rPr>
      <w:fldChar w:fldCharType="begin"/>
    </w:r>
    <w:r>
      <w:rPr>
        <w:color w:val="5B7479"/>
        <w:sz w:val="16"/>
        <w:szCs w:val="16"/>
      </w:rPr>
      <w:instrText>PAGE</w:instrText>
    </w:r>
    <w:r>
      <w:rPr>
        <w:color w:val="5B7479"/>
        <w:sz w:val="16"/>
        <w:szCs w:val="16"/>
      </w:rPr>
      <w:fldChar w:fldCharType="separate"/>
    </w:r>
    <w:r w:rsidR="00F05D49">
      <w:rPr>
        <w:noProof/>
        <w:color w:val="5B7479"/>
        <w:sz w:val="16"/>
        <w:szCs w:val="16"/>
      </w:rPr>
      <w:t>1</w:t>
    </w:r>
    <w:r>
      <w:rPr>
        <w:color w:val="5B74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1E681" w14:textId="77777777" w:rsidR="00094A75" w:rsidRDefault="00094A75">
      <w:r>
        <w:separator/>
      </w:r>
    </w:p>
  </w:footnote>
  <w:footnote w:type="continuationSeparator" w:id="0">
    <w:p w14:paraId="394EB49B" w14:textId="77777777" w:rsidR="00094A75" w:rsidRDefault="00094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F0BBD"/>
    <w:multiLevelType w:val="hybridMultilevel"/>
    <w:tmpl w:val="0F988412"/>
    <w:lvl w:ilvl="0" w:tplc="325442E0">
      <w:start w:val="1"/>
      <w:numFmt w:val="decimal"/>
      <w:lvlText w:val="%1."/>
      <w:lvlJc w:val="left"/>
      <w:pPr>
        <w:ind w:left="460" w:hanging="300"/>
      </w:pPr>
    </w:lvl>
    <w:lvl w:ilvl="1" w:tplc="08E0F7B0">
      <w:numFmt w:val="decimal"/>
      <w:lvlText w:val=""/>
      <w:lvlJc w:val="left"/>
    </w:lvl>
    <w:lvl w:ilvl="2" w:tplc="CD18C072">
      <w:numFmt w:val="decimal"/>
      <w:lvlText w:val=""/>
      <w:lvlJc w:val="left"/>
    </w:lvl>
    <w:lvl w:ilvl="3" w:tplc="5D981E72">
      <w:numFmt w:val="decimal"/>
      <w:lvlText w:val=""/>
      <w:lvlJc w:val="left"/>
    </w:lvl>
    <w:lvl w:ilvl="4" w:tplc="671C0772">
      <w:numFmt w:val="decimal"/>
      <w:lvlText w:val=""/>
      <w:lvlJc w:val="left"/>
    </w:lvl>
    <w:lvl w:ilvl="5" w:tplc="E8A47236">
      <w:numFmt w:val="decimal"/>
      <w:lvlText w:val=""/>
      <w:lvlJc w:val="left"/>
    </w:lvl>
    <w:lvl w:ilvl="6" w:tplc="04FC923A">
      <w:numFmt w:val="decimal"/>
      <w:lvlText w:val=""/>
      <w:lvlJc w:val="left"/>
    </w:lvl>
    <w:lvl w:ilvl="7" w:tplc="4CF2413A">
      <w:numFmt w:val="decimal"/>
      <w:lvlText w:val=""/>
      <w:lvlJc w:val="left"/>
    </w:lvl>
    <w:lvl w:ilvl="8" w:tplc="BAEA449C">
      <w:numFmt w:val="decimal"/>
      <w:lvlText w:val=""/>
      <w:lvlJc w:val="left"/>
    </w:lvl>
  </w:abstractNum>
  <w:abstractNum w:abstractNumId="1" w15:restartNumberingAfterBreak="0">
    <w:nsid w:val="503C51AA"/>
    <w:multiLevelType w:val="hybridMultilevel"/>
    <w:tmpl w:val="34EC910C"/>
    <w:lvl w:ilvl="0" w:tplc="E26A8D1C">
      <w:start w:val="1"/>
      <w:numFmt w:val="bullet"/>
      <w:lvlText w:val="–"/>
      <w:lvlJc w:val="left"/>
      <w:pPr>
        <w:ind w:left="460" w:hanging="260"/>
      </w:pPr>
    </w:lvl>
    <w:lvl w:ilvl="1" w:tplc="DB9CA220">
      <w:numFmt w:val="decimal"/>
      <w:lvlText w:val=""/>
      <w:lvlJc w:val="left"/>
    </w:lvl>
    <w:lvl w:ilvl="2" w:tplc="534857A8">
      <w:numFmt w:val="decimal"/>
      <w:lvlText w:val=""/>
      <w:lvlJc w:val="left"/>
    </w:lvl>
    <w:lvl w:ilvl="3" w:tplc="53E04FC0">
      <w:numFmt w:val="decimal"/>
      <w:lvlText w:val=""/>
      <w:lvlJc w:val="left"/>
    </w:lvl>
    <w:lvl w:ilvl="4" w:tplc="F20C67DC">
      <w:numFmt w:val="decimal"/>
      <w:lvlText w:val=""/>
      <w:lvlJc w:val="left"/>
    </w:lvl>
    <w:lvl w:ilvl="5" w:tplc="C34E18D2">
      <w:numFmt w:val="decimal"/>
      <w:lvlText w:val=""/>
      <w:lvlJc w:val="left"/>
    </w:lvl>
    <w:lvl w:ilvl="6" w:tplc="B0D68BEA">
      <w:numFmt w:val="decimal"/>
      <w:lvlText w:val=""/>
      <w:lvlJc w:val="left"/>
    </w:lvl>
    <w:lvl w:ilvl="7" w:tplc="0FEE719A">
      <w:numFmt w:val="decimal"/>
      <w:lvlText w:val=""/>
      <w:lvlJc w:val="left"/>
    </w:lvl>
    <w:lvl w:ilvl="8" w:tplc="A4526440">
      <w:numFmt w:val="decimal"/>
      <w:lvlText w:val=""/>
      <w:lvlJc w:val="left"/>
    </w:lvl>
  </w:abstractNum>
  <w:abstractNum w:abstractNumId="2" w15:restartNumberingAfterBreak="0">
    <w:nsid w:val="79784795"/>
    <w:multiLevelType w:val="hybridMultilevel"/>
    <w:tmpl w:val="CA16562C"/>
    <w:lvl w:ilvl="0" w:tplc="5DD4271C">
      <w:start w:val="1"/>
      <w:numFmt w:val="bullet"/>
      <w:lvlText w:val="●"/>
      <w:lvlJc w:val="left"/>
      <w:pPr>
        <w:ind w:left="720" w:hanging="360"/>
      </w:pPr>
    </w:lvl>
    <w:lvl w:ilvl="1" w:tplc="B3A42114">
      <w:start w:val="1"/>
      <w:numFmt w:val="bullet"/>
      <w:lvlText w:val="○"/>
      <w:lvlJc w:val="left"/>
      <w:pPr>
        <w:ind w:left="1440" w:hanging="360"/>
      </w:pPr>
    </w:lvl>
    <w:lvl w:ilvl="2" w:tplc="75EC57FC">
      <w:start w:val="1"/>
      <w:numFmt w:val="bullet"/>
      <w:lvlText w:val="■"/>
      <w:lvlJc w:val="left"/>
      <w:pPr>
        <w:ind w:left="2160" w:hanging="360"/>
      </w:pPr>
    </w:lvl>
    <w:lvl w:ilvl="3" w:tplc="E4DECBAC">
      <w:start w:val="1"/>
      <w:numFmt w:val="bullet"/>
      <w:lvlText w:val="●"/>
      <w:lvlJc w:val="left"/>
      <w:pPr>
        <w:ind w:left="2880" w:hanging="360"/>
      </w:pPr>
    </w:lvl>
    <w:lvl w:ilvl="4" w:tplc="3AC287A0">
      <w:start w:val="1"/>
      <w:numFmt w:val="bullet"/>
      <w:lvlText w:val="○"/>
      <w:lvlJc w:val="left"/>
      <w:pPr>
        <w:ind w:left="3600" w:hanging="360"/>
      </w:pPr>
    </w:lvl>
    <w:lvl w:ilvl="5" w:tplc="7C425AB2">
      <w:start w:val="1"/>
      <w:numFmt w:val="bullet"/>
      <w:lvlText w:val="■"/>
      <w:lvlJc w:val="left"/>
      <w:pPr>
        <w:ind w:left="4320" w:hanging="360"/>
      </w:pPr>
    </w:lvl>
    <w:lvl w:ilvl="6" w:tplc="E1065B3A">
      <w:start w:val="1"/>
      <w:numFmt w:val="bullet"/>
      <w:lvlText w:val="●"/>
      <w:lvlJc w:val="left"/>
      <w:pPr>
        <w:ind w:left="5040" w:hanging="360"/>
      </w:pPr>
    </w:lvl>
    <w:lvl w:ilvl="7" w:tplc="2FA8C02C">
      <w:start w:val="1"/>
      <w:numFmt w:val="bullet"/>
      <w:lvlText w:val="●"/>
      <w:lvlJc w:val="left"/>
      <w:pPr>
        <w:ind w:left="5760" w:hanging="360"/>
      </w:pPr>
    </w:lvl>
    <w:lvl w:ilvl="8" w:tplc="E0744EB8">
      <w:start w:val="1"/>
      <w:numFmt w:val="bullet"/>
      <w:lvlText w:val="●"/>
      <w:lvlJc w:val="left"/>
      <w:pPr>
        <w:ind w:left="6480" w:hanging="360"/>
      </w:pPr>
    </w:lvl>
  </w:abstractNum>
  <w:num w:numId="1" w16cid:durableId="917128224">
    <w:abstractNumId w:val="2"/>
    <w:lvlOverride w:ilvl="0">
      <w:startOverride w:val="1"/>
    </w:lvlOverride>
  </w:num>
  <w:num w:numId="2" w16cid:durableId="485318317">
    <w:abstractNumId w:val="1"/>
    <w:lvlOverride w:ilvl="0">
      <w:startOverride w:val="1"/>
    </w:lvlOverride>
  </w:num>
  <w:num w:numId="3" w16cid:durableId="1016231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524"/>
    <w:rsid w:val="00094A75"/>
    <w:rsid w:val="004C20C7"/>
    <w:rsid w:val="00B74524"/>
    <w:rsid w:val="00F0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1FE9"/>
  <w15:docId w15:val="{C87CB26C-A486-44B6-835D-3A9DCCB7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B2E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9DADD"/>
      </w:pBdr>
      <w:spacing w:before="300" w:after="140"/>
      <w:outlineLvl w:val="0"/>
    </w:pPr>
    <w:rPr>
      <w:b/>
      <w:bCs/>
      <w:color w:val="0B5563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90"/>
      <w:outlineLvl w:val="1"/>
    </w:pPr>
    <w:rPr>
      <w:b/>
      <w:bCs/>
      <w:color w:val="127C8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mbria" w:eastAsia="Cambria" w:hAnsi="Cambria" w:cs="Cambria"/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Pentaho Academy</dc:creator>
  <cp:lastModifiedBy>James O'Reilly</cp:lastModifiedBy>
  <cp:revision>2</cp:revision>
  <dcterms:created xsi:type="dcterms:W3CDTF">2026-06-22T22:29:00Z</dcterms:created>
  <dcterms:modified xsi:type="dcterms:W3CDTF">2026-07-02T11:04:00Z</dcterms:modified>
</cp:coreProperties>
</file>