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548B9" w14:textId="77777777" w:rsidR="008D3CFE" w:rsidRDefault="00605B5A">
      <w:pPr>
        <w:spacing w:before="1200"/>
      </w:pPr>
      <w:r>
        <w:rPr>
          <w:b/>
          <w:bCs/>
          <w:color w:val="1C7293"/>
          <w:spacing w:val="30"/>
        </w:rPr>
        <w:t xml:space="preserve">PENTAHO DATA </w:t>
      </w:r>
      <w:r w:rsidR="00667F6B">
        <w:rPr>
          <w:b/>
          <w:bCs/>
          <w:color w:val="1C7293"/>
          <w:spacing w:val="30"/>
        </w:rPr>
        <w:t>CATALOG</w:t>
      </w:r>
      <w:r>
        <w:rPr>
          <w:b/>
          <w:bCs/>
          <w:color w:val="1C7293"/>
          <w:spacing w:val="30"/>
        </w:rPr>
        <w:t xml:space="preserve"> </w:t>
      </w:r>
      <w:proofErr w:type="gramStart"/>
      <w:r>
        <w:rPr>
          <w:b/>
          <w:bCs/>
          <w:color w:val="1C7293"/>
          <w:spacing w:val="30"/>
        </w:rPr>
        <w:t>10.2.11  ·</w:t>
      </w:r>
      <w:proofErr w:type="gramEnd"/>
      <w:r>
        <w:rPr>
          <w:b/>
          <w:bCs/>
          <w:color w:val="1C7293"/>
          <w:spacing w:val="30"/>
        </w:rPr>
        <w:t xml:space="preserve">  BUSINESS ANALYST</w:t>
      </w:r>
    </w:p>
    <w:p w14:paraId="14739D4D" w14:textId="77777777" w:rsidR="009E5D95" w:rsidRDefault="006A46F6">
      <w:pPr>
        <w:spacing w:before="80"/>
      </w:pPr>
      <w:r>
        <w:rPr>
          <w:b/>
          <w:bCs/>
          <w:color w:val="5B7886"/>
          <w:spacing w:val="30"/>
        </w:rPr>
        <w:t xml:space="preserve">PDC </w:t>
      </w:r>
      <w:proofErr w:type="gramStart"/>
      <w:r>
        <w:rPr>
          <w:b/>
          <w:bCs/>
          <w:color w:val="5B7886"/>
          <w:spacing w:val="30"/>
        </w:rPr>
        <w:t>PROCESS  ·</w:t>
      </w:r>
      <w:proofErr w:type="gramEnd"/>
      <w:r>
        <w:rPr>
          <w:b/>
          <w:bCs/>
          <w:color w:val="5B7886"/>
          <w:spacing w:val="30"/>
        </w:rPr>
        <w:t xml:space="preserve">  METADATA INGEST</w:t>
      </w:r>
    </w:p>
    <w:p w14:paraId="32666060" w14:textId="77777777" w:rsidR="008D3CFE" w:rsidRDefault="00605B5A">
      <w:pPr>
        <w:spacing w:before="200"/>
      </w:pPr>
      <w:r>
        <w:rPr>
          <w:b/>
          <w:bCs/>
          <w:color w:val="5B7782"/>
          <w:spacing w:val="20"/>
          <w:sz w:val="32"/>
          <w:szCs w:val="32"/>
        </w:rPr>
        <w:t>WORKSHOP 1</w:t>
      </w:r>
    </w:p>
    <w:p w14:paraId="1C8C0EB4" w14:textId="77777777" w:rsidR="008D3CFE" w:rsidRDefault="00605B5A">
      <w:pPr>
        <w:spacing w:before="320"/>
      </w:pPr>
      <w:r>
        <w:rPr>
          <w:rFonts w:ascii="Cambria" w:eastAsia="Cambria" w:hAnsi="Cambria" w:cs="Cambria"/>
          <w:b/>
          <w:bCs/>
          <w:color w:val="14333F"/>
          <w:sz w:val="56"/>
          <w:szCs w:val="56"/>
        </w:rPr>
        <w:t>Connect the Data Sources</w:t>
      </w:r>
    </w:p>
    <w:p w14:paraId="441CE256" w14:textId="77777777" w:rsidR="008D3CFE" w:rsidRDefault="00605B5A">
      <w:pPr>
        <w:spacing w:before="200"/>
      </w:pPr>
      <w:r>
        <w:rPr>
          <w:color w:val="065A82"/>
          <w:sz w:val="28"/>
          <w:szCs w:val="28"/>
        </w:rPr>
        <w:t xml:space="preserve">Bring the Arizona Water Company database and document store under </w:t>
      </w:r>
      <w:r w:rsidR="00667F6B">
        <w:rPr>
          <w:color w:val="065A82"/>
          <w:sz w:val="28"/>
          <w:szCs w:val="28"/>
        </w:rPr>
        <w:t>Catalog</w:t>
      </w:r>
      <w:r>
        <w:rPr>
          <w:color w:val="065A82"/>
          <w:sz w:val="28"/>
          <w:szCs w:val="28"/>
        </w:rPr>
        <w:t xml:space="preserve"> governance</w:t>
      </w:r>
    </w:p>
    <w:p w14:paraId="2323DA01" w14:textId="77777777" w:rsidR="008D3CFE" w:rsidRDefault="008D3CFE">
      <w:pPr>
        <w:pBdr>
          <w:top w:val="single" w:sz="6" w:space="8" w:color="1C7293"/>
        </w:pBdr>
        <w:spacing w:before="500"/>
      </w:pPr>
    </w:p>
    <w:p w14:paraId="316F2D42" w14:textId="77777777" w:rsidR="008D3CFE" w:rsidRDefault="00605B5A">
      <w:pPr>
        <w:spacing w:before="200"/>
      </w:pPr>
      <w:r>
        <w:rPr>
          <w:b/>
          <w:bCs/>
          <w:color w:val="5B7782"/>
          <w:sz w:val="24"/>
          <w:szCs w:val="24"/>
        </w:rPr>
        <w:t xml:space="preserve">Primary role:  </w:t>
      </w:r>
      <w:r>
        <w:rPr>
          <w:color w:val="14333F"/>
          <w:sz w:val="24"/>
          <w:szCs w:val="24"/>
        </w:rPr>
        <w:t>Data Steward / IT Administrator</w:t>
      </w:r>
    </w:p>
    <w:p w14:paraId="11280F1A" w14:textId="77777777" w:rsidR="008D3CFE" w:rsidRDefault="00605B5A">
      <w:pPr>
        <w:spacing w:before="80"/>
      </w:pPr>
      <w:r>
        <w:rPr>
          <w:b/>
          <w:bCs/>
          <w:color w:val="5B7782"/>
          <w:sz w:val="24"/>
          <w:szCs w:val="24"/>
        </w:rPr>
        <w:t xml:space="preserve">Estimated time:  </w:t>
      </w:r>
      <w:r>
        <w:rPr>
          <w:color w:val="14333F"/>
          <w:sz w:val="24"/>
          <w:szCs w:val="24"/>
        </w:rPr>
        <w:t>15 minutes</w:t>
      </w:r>
    </w:p>
    <w:p w14:paraId="48D80EEB" w14:textId="77777777" w:rsidR="008D3CFE" w:rsidRDefault="00605B5A">
      <w:pPr>
        <w:spacing w:before="80"/>
      </w:pPr>
      <w:r>
        <w:rPr>
          <w:b/>
          <w:bCs/>
          <w:color w:val="5B7782"/>
          <w:sz w:val="24"/>
          <w:szCs w:val="24"/>
        </w:rPr>
        <w:t xml:space="preserve">Dataset:  </w:t>
      </w:r>
      <w:r>
        <w:rPr>
          <w:color w:val="14333F"/>
          <w:sz w:val="24"/>
          <w:szCs w:val="24"/>
        </w:rPr>
        <w:t>Arizona Water Company (</w:t>
      </w:r>
      <w:proofErr w:type="spellStart"/>
      <w:r>
        <w:rPr>
          <w:color w:val="14333F"/>
          <w:sz w:val="24"/>
          <w:szCs w:val="24"/>
        </w:rPr>
        <w:t>awc_operations</w:t>
      </w:r>
      <w:proofErr w:type="spellEnd"/>
      <w:r>
        <w:rPr>
          <w:color w:val="14333F"/>
          <w:sz w:val="24"/>
          <w:szCs w:val="24"/>
        </w:rPr>
        <w:t xml:space="preserve"> + </w:t>
      </w:r>
      <w:proofErr w:type="spellStart"/>
      <w:r>
        <w:rPr>
          <w:color w:val="14333F"/>
          <w:sz w:val="24"/>
          <w:szCs w:val="24"/>
        </w:rPr>
        <w:t>awc</w:t>
      </w:r>
      <w:proofErr w:type="spellEnd"/>
      <w:r w:rsidR="008A5D10">
        <w:rPr>
          <w:color w:val="14333F"/>
          <w:sz w:val="24"/>
          <w:szCs w:val="24"/>
        </w:rPr>
        <w:t>—</w:t>
      </w:r>
      <w:r>
        <w:rPr>
          <w:color w:val="14333F"/>
          <w:sz w:val="24"/>
          <w:szCs w:val="24"/>
        </w:rPr>
        <w:t>documents)</w:t>
      </w:r>
    </w:p>
    <w:p w14:paraId="23C1293C" w14:textId="77777777" w:rsidR="008D3CFE" w:rsidRDefault="00605B5A">
      <w:r>
        <w:br w:type="page"/>
      </w:r>
    </w:p>
    <w:p w14:paraId="4457B0CC" w14:textId="77777777" w:rsidR="008D3CFE" w:rsidRDefault="00605B5A">
      <w:pPr>
        <w:pStyle w:val="Heading1"/>
      </w:pPr>
      <w:r>
        <w:lastRenderedPageBreak/>
        <w:t>Why this workshop matters</w:t>
      </w:r>
    </w:p>
    <w:p w14:paraId="73265F51" w14:textId="77777777" w:rsidR="008D3CFE" w:rsidRDefault="00605B5A">
      <w:pPr>
        <w:spacing w:after="120" w:line="276" w:lineRule="auto"/>
      </w:pPr>
      <w:r>
        <w:t xml:space="preserve">Every governance journey begins the same way: you cannot </w:t>
      </w:r>
      <w:r w:rsidR="00667F6B">
        <w:t>Catalog</w:t>
      </w:r>
      <w:r>
        <w:t xml:space="preserve">, profile, protect, or trace data that the </w:t>
      </w:r>
      <w:r w:rsidR="00667F6B">
        <w:t>Catalog</w:t>
      </w:r>
      <w:r>
        <w:t xml:space="preserve"> cannot see. Workshop 1 is where Pentaho Data </w:t>
      </w:r>
      <w:r w:rsidR="00667F6B">
        <w:t>Catalog</w:t>
      </w:r>
      <w:r>
        <w:t xml:space="preserve"> (PDC) first meets the Arizona Water Company (AWC) data estate. By the end, two very different worlds of data will be visible in one place — and everything you do in the remaining workshops depends on the connections you make here.</w:t>
      </w:r>
    </w:p>
    <w:p w14:paraId="2223A522" w14:textId="77777777" w:rsidR="008D3CFE" w:rsidRDefault="00605B5A">
      <w:pPr>
        <w:spacing w:after="120" w:line="276" w:lineRule="auto"/>
      </w:pPr>
      <w:r>
        <w:t>AWC is a regulated water utility serving 24 systems across Arizona, from the Pinal Valley around Casa Grande to Sedona, Apache Junction, Sierra Vista, and Bisbee. Like every utility, AWC runs on two kinds of information. The first is structured operational data — customers, meters, billing, water</w:t>
      </w:r>
      <w:r w:rsidR="00C227E9">
        <w:t>-</w:t>
      </w:r>
      <w:r>
        <w:t>quality readings — living in a PostgreSQL database. The second, and far larger, is unstructured content: EPA compliance reports, field inspection write</w:t>
      </w:r>
      <w:r w:rsidR="00C227E9">
        <w:t>-</w:t>
      </w:r>
      <w:r>
        <w:t>ups, customer correspondence, SCADA sensor feeds, and GIS exports. Industry studies put unstructured content at 80–90% of what an organization generates, and a utility is no 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3CFE" w14:paraId="6A106A94" w14:textId="77777777">
        <w:tc>
          <w:tcPr>
            <w:tcW w:w="9360" w:type="dxa"/>
            <w:tcBorders>
              <w:top w:val="single" w:sz="1" w:space="0" w:color="EEF6FA"/>
              <w:left w:val="single" w:sz="12" w:space="0" w:color="065A82"/>
              <w:bottom w:val="single" w:sz="1" w:space="0" w:color="EEF6FA"/>
              <w:right w:val="single" w:sz="1" w:space="0" w:color="EEF6FA"/>
            </w:tcBorders>
            <w:shd w:val="clear" w:color="auto" w:fill="EEF6FA"/>
            <w:tcMar>
              <w:top w:w="140" w:type="dxa"/>
              <w:left w:w="200" w:type="dxa"/>
              <w:bottom w:w="140" w:type="dxa"/>
              <w:right w:w="200" w:type="dxa"/>
            </w:tcMar>
          </w:tcPr>
          <w:p w14:paraId="4C82C2D2" w14:textId="77777777" w:rsidR="008D3CFE" w:rsidRDefault="00605B5A">
            <w:pPr>
              <w:spacing w:after="60"/>
            </w:pPr>
            <w:r>
              <w:rPr>
                <w:b/>
                <w:bCs/>
                <w:color w:val="065A82"/>
                <w:sz w:val="21"/>
                <w:szCs w:val="21"/>
              </w:rPr>
              <w:t>The business problem</w:t>
            </w:r>
          </w:p>
          <w:p w14:paraId="4F78D857" w14:textId="77777777" w:rsidR="008D3CFE" w:rsidRDefault="00605B5A">
            <w:pPr>
              <w:spacing w:after="120" w:line="276" w:lineRule="auto"/>
            </w:pPr>
            <w:r>
              <w:t xml:space="preserve">Before PDC, an AWC analyst asked “what do we know about Apache Junction?” had to search the billing database, then a compliance file share, then someone’s email. The answer was scattered, and nobody could be sure it was complete. Connecting both the database and the document store to one </w:t>
            </w:r>
            <w:r w:rsidR="00667F6B">
              <w:t>Catalog</w:t>
            </w:r>
            <w:r>
              <w:t xml:space="preserve"> is the first concrete step toward answering that question in one place — and toward proving, to a regulator, that AWC knows where all of its data lives.</w:t>
            </w:r>
          </w:p>
        </w:tc>
      </w:tr>
    </w:tbl>
    <w:p w14:paraId="12D59BF7" w14:textId="77777777" w:rsidR="008D3CFE" w:rsidRDefault="00605B5A">
      <w:pPr>
        <w:pStyle w:val="Heading1"/>
      </w:pPr>
      <w:r>
        <w:t>What you will learn</w:t>
      </w:r>
    </w:p>
    <w:p w14:paraId="27CD114C" w14:textId="77777777" w:rsidR="008D3CFE" w:rsidRDefault="00605B5A">
      <w:pPr>
        <w:pStyle w:val="ListParagraph"/>
        <w:numPr>
          <w:ilvl w:val="0"/>
          <w:numId w:val="2"/>
        </w:numPr>
        <w:spacing w:after="60" w:line="264" w:lineRule="auto"/>
      </w:pPr>
      <w:r>
        <w:t>How PDC models a data source, and why connection details are encrypted and tested before a source goes live.</w:t>
      </w:r>
    </w:p>
    <w:p w14:paraId="011D5DCA" w14:textId="77777777" w:rsidR="008D3CFE" w:rsidRDefault="00605B5A">
      <w:pPr>
        <w:pStyle w:val="ListParagraph"/>
        <w:numPr>
          <w:ilvl w:val="0"/>
          <w:numId w:val="2"/>
        </w:numPr>
        <w:spacing w:after="60" w:line="264" w:lineRule="auto"/>
      </w:pPr>
      <w:r>
        <w:t xml:space="preserve">How to connect a PostgreSQL database and ingest its schema so the </w:t>
      </w:r>
      <w:proofErr w:type="spellStart"/>
      <w:r>
        <w:t>awc_operations</w:t>
      </w:r>
      <w:proofErr w:type="spellEnd"/>
      <w:r>
        <w:t xml:space="preserve"> tables become </w:t>
      </w:r>
      <w:r w:rsidR="00667F6B">
        <w:t>Catalog</w:t>
      </w:r>
      <w:r>
        <w:t xml:space="preserve"> assets.</w:t>
      </w:r>
    </w:p>
    <w:p w14:paraId="5EA3C54E" w14:textId="77777777" w:rsidR="008D3CFE" w:rsidRDefault="00605B5A">
      <w:pPr>
        <w:pStyle w:val="ListParagraph"/>
        <w:numPr>
          <w:ilvl w:val="0"/>
          <w:numId w:val="2"/>
        </w:numPr>
        <w:spacing w:after="60" w:line="264" w:lineRule="auto"/>
      </w:pPr>
      <w:r>
        <w:t>How file and object</w:t>
      </w:r>
      <w:r w:rsidR="00B65D33">
        <w:t>-</w:t>
      </w:r>
      <w:r>
        <w:t>store sources differ from databases — why they are scanned rather than schema</w:t>
      </w:r>
      <w:r w:rsidR="00B65D33">
        <w:t>-</w:t>
      </w:r>
      <w:r>
        <w:t>ingested, and which engine processes them.</w:t>
      </w:r>
    </w:p>
    <w:p w14:paraId="4BD520A5" w14:textId="77777777" w:rsidR="008D3CFE" w:rsidRDefault="00605B5A">
      <w:pPr>
        <w:pStyle w:val="ListParagraph"/>
        <w:numPr>
          <w:ilvl w:val="0"/>
          <w:numId w:val="2"/>
        </w:numPr>
        <w:spacing w:after="60" w:line="264" w:lineRule="auto"/>
      </w:pPr>
      <w:r>
        <w:t xml:space="preserve">How to connect the </w:t>
      </w:r>
      <w:proofErr w:type="spellStart"/>
      <w:r>
        <w:t>MinIO</w:t>
      </w:r>
      <w:proofErr w:type="spellEnd"/>
      <w:r>
        <w:t xml:space="preserve"> object store holding AWC’s documents, and preview how those documents are processed.</w:t>
      </w:r>
    </w:p>
    <w:p w14:paraId="4A52410B" w14:textId="77777777" w:rsidR="008D3CFE" w:rsidRDefault="00605B5A">
      <w:pPr>
        <w:pStyle w:val="ListParagraph"/>
        <w:numPr>
          <w:ilvl w:val="0"/>
          <w:numId w:val="2"/>
        </w:numPr>
        <w:spacing w:after="60" w:line="264" w:lineRule="auto"/>
      </w:pPr>
      <w:r>
        <w:t>Why a read</w:t>
      </w:r>
      <w:r w:rsidR="00B65D33">
        <w:t>-</w:t>
      </w:r>
      <w:r>
        <w:t xml:space="preserve">only connection user is the right choice for a </w:t>
      </w:r>
      <w:r w:rsidR="00667F6B">
        <w:t>Catalog</w:t>
      </w:r>
      <w:r>
        <w:t>, and how it reflects good governance from step one.</w:t>
      </w:r>
    </w:p>
    <w:p w14:paraId="50961A70" w14:textId="77777777" w:rsidR="00221817" w:rsidRDefault="00221817" w:rsidP="00221817">
      <w:pPr>
        <w:spacing w:after="60" w:line="264" w:lineRule="auto"/>
      </w:pPr>
    </w:p>
    <w:p w14:paraId="2981138E" w14:textId="77777777" w:rsidR="00221817" w:rsidRDefault="00221817" w:rsidP="00221817">
      <w:pPr>
        <w:spacing w:after="60" w:line="264" w:lineRule="auto"/>
      </w:pPr>
    </w:p>
    <w:p w14:paraId="57D7F265" w14:textId="77777777" w:rsidR="00221817" w:rsidRDefault="00221817" w:rsidP="00221817">
      <w:pPr>
        <w:spacing w:after="60" w:line="264" w:lineRule="auto"/>
      </w:pPr>
    </w:p>
    <w:p w14:paraId="127AF54B" w14:textId="77777777" w:rsidR="00221817" w:rsidRDefault="00221817" w:rsidP="00221817">
      <w:pPr>
        <w:spacing w:after="60" w:line="264" w:lineRule="auto"/>
      </w:pPr>
    </w:p>
    <w:p w14:paraId="1221079B" w14:textId="77777777" w:rsidR="008D3CFE" w:rsidRDefault="00605B5A">
      <w:pPr>
        <w:pStyle w:val="Heading1"/>
      </w:pPr>
      <w:r>
        <w:lastRenderedPageBreak/>
        <w:t>Background: how PDC sees data</w:t>
      </w:r>
    </w:p>
    <w:p w14:paraId="182D721E" w14:textId="77777777" w:rsidR="008D3CFE" w:rsidRDefault="00605B5A">
      <w:pPr>
        <w:spacing w:after="120" w:line="276" w:lineRule="auto"/>
      </w:pPr>
      <w:r>
        <w:t xml:space="preserve">A data source in PDC is a stored, encrypted definition of how to reach a system — its type, host, credentials, and options. PDC encrypts the </w:t>
      </w:r>
      <w:proofErr w:type="gramStart"/>
      <w:r>
        <w:t>user</w:t>
      </w:r>
      <w:proofErr w:type="gramEnd"/>
      <w:r>
        <w:t xml:space="preserve"> name and password before storing them, and a source stays OFFLINE until a successful Test Connection proves the details work. This is deliberate: a </w:t>
      </w:r>
      <w:r w:rsidR="00667F6B">
        <w:t>Catalog</w:t>
      </w:r>
      <w:r>
        <w:t xml:space="preserve"> that holds connection secrets for every system in the business must protect them, and must never present a half</w:t>
      </w:r>
      <w:r w:rsidR="00B65D33">
        <w:t>-</w:t>
      </w:r>
      <w:r>
        <w:t>working connection as trustworthy.</w:t>
      </w:r>
    </w:p>
    <w:p w14:paraId="227FB434" w14:textId="77777777" w:rsidR="00AF454C" w:rsidRDefault="00935923">
      <w:pPr>
        <w:spacing w:before="200" w:after="40"/>
        <w:jc w:val="center"/>
      </w:pPr>
      <w:r>
        <w:rPr>
          <w:noProof/>
        </w:rPr>
        <w:drawing>
          <wp:inline distT="0" distB="0" distL="0" distR="0" wp14:anchorId="65BCCCA9" wp14:editId="17046DE0">
            <wp:extent cx="5806440" cy="2177415"/>
            <wp:effectExtent l="0" t="0" r="0" b="0"/>
            <wp:docPr id="1950083437" name="Picture 195008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1_lifecycle.png"/>
                    <pic:cNvPicPr/>
                  </pic:nvPicPr>
                  <pic:blipFill>
                    <a:blip r:embed="rId7"/>
                    <a:stretch>
                      <a:fillRect/>
                    </a:stretch>
                  </pic:blipFill>
                  <pic:spPr>
                    <a:xfrm>
                      <a:off x="0" y="0"/>
                      <a:ext cx="5806440" cy="2177415"/>
                    </a:xfrm>
                    <a:prstGeom prst="rect">
                      <a:avLst/>
                    </a:prstGeom>
                  </pic:spPr>
                </pic:pic>
              </a:graphicData>
            </a:graphic>
          </wp:inline>
        </w:drawing>
      </w:r>
    </w:p>
    <w:p w14:paraId="1830F76D" w14:textId="77777777" w:rsidR="00AF454C" w:rsidRDefault="00935923">
      <w:pPr>
        <w:spacing w:after="280"/>
        <w:jc w:val="center"/>
      </w:pPr>
      <w:r>
        <w:rPr>
          <w:i/>
          <w:color w:val="5B7782"/>
          <w:sz w:val="18"/>
        </w:rPr>
        <w:t>A source is defined with encrypted credentials and stays offline until Test Connection proves it works.</w:t>
      </w:r>
    </w:p>
    <w:p w14:paraId="2990BD7B" w14:textId="77777777" w:rsidR="008D3CFE" w:rsidRDefault="00605B5A">
      <w:pPr>
        <w:pStyle w:val="Heading3"/>
      </w:pPr>
      <w:r>
        <w:t>Two on</w:t>
      </w:r>
      <w:r w:rsidR="008A5D10">
        <w:t>—</w:t>
      </w:r>
      <w:r>
        <w:t>ramps: schema ingest vs. file scan</w:t>
      </w:r>
    </w:p>
    <w:p w14:paraId="30C1E9F5" w14:textId="77777777" w:rsidR="008D3CFE" w:rsidRDefault="00605B5A">
      <w:pPr>
        <w:spacing w:after="120" w:line="276" w:lineRule="auto"/>
      </w:pPr>
      <w:r>
        <w:t>How a source is brought in depends on what kind of data it holds, and this distinction runs through the whole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600"/>
        <w:gridCol w:w="3600"/>
      </w:tblGrid>
      <w:tr w:rsidR="008D3CFE" w14:paraId="5D226ED4" w14:textId="77777777">
        <w:trPr>
          <w:tblHeader/>
        </w:trPr>
        <w:tc>
          <w:tcPr>
            <w:tcW w:w="216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1A39206B" w14:textId="77777777" w:rsidR="008D3CFE" w:rsidRDefault="008D3CFE"/>
        </w:tc>
        <w:tc>
          <w:tcPr>
            <w:tcW w:w="360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1C9D5621" w14:textId="77777777" w:rsidR="008D3CFE" w:rsidRDefault="00605B5A">
            <w:r>
              <w:rPr>
                <w:b/>
                <w:bCs/>
                <w:color w:val="FFFFFF"/>
                <w:sz w:val="20"/>
                <w:szCs w:val="20"/>
              </w:rPr>
              <w:t>Structured database</w:t>
            </w:r>
          </w:p>
        </w:tc>
        <w:tc>
          <w:tcPr>
            <w:tcW w:w="360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5AFDFEBD" w14:textId="77777777" w:rsidR="008D3CFE" w:rsidRDefault="00605B5A">
            <w:r>
              <w:rPr>
                <w:b/>
                <w:bCs/>
                <w:color w:val="FFFFFF"/>
                <w:sz w:val="20"/>
                <w:szCs w:val="20"/>
              </w:rPr>
              <w:t>File / object store</w:t>
            </w:r>
          </w:p>
        </w:tc>
      </w:tr>
      <w:tr w:rsidR="008D3CFE" w14:paraId="50BC101E" w14:textId="77777777">
        <w:tc>
          <w:tcPr>
            <w:tcW w:w="21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0D029083" w14:textId="77777777" w:rsidR="008D3CFE" w:rsidRDefault="00605B5A">
            <w:r>
              <w:rPr>
                <w:sz w:val="20"/>
                <w:szCs w:val="20"/>
              </w:rPr>
              <w:t>Example at AWC</w:t>
            </w:r>
          </w:p>
        </w:tc>
        <w:tc>
          <w:tcPr>
            <w:tcW w:w="36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366EAEBB" w14:textId="77777777" w:rsidR="008D3CFE" w:rsidRDefault="00605B5A">
            <w:r>
              <w:rPr>
                <w:sz w:val="20"/>
                <w:szCs w:val="20"/>
              </w:rPr>
              <w:t xml:space="preserve">PostgreSQL </w:t>
            </w:r>
            <w:proofErr w:type="spellStart"/>
            <w:r>
              <w:rPr>
                <w:sz w:val="20"/>
                <w:szCs w:val="20"/>
              </w:rPr>
              <w:t>awc_operations</w:t>
            </w:r>
            <w:proofErr w:type="spellEnd"/>
          </w:p>
        </w:tc>
        <w:tc>
          <w:tcPr>
            <w:tcW w:w="36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4F321E2A" w14:textId="77777777" w:rsidR="008D3CFE" w:rsidRDefault="00605B5A">
            <w:proofErr w:type="spellStart"/>
            <w:r>
              <w:rPr>
                <w:sz w:val="20"/>
                <w:szCs w:val="20"/>
              </w:rPr>
              <w:t>MinIO</w:t>
            </w:r>
            <w:proofErr w:type="spellEnd"/>
            <w:r>
              <w:rPr>
                <w:sz w:val="20"/>
                <w:szCs w:val="20"/>
              </w:rPr>
              <w:t xml:space="preserve"> </w:t>
            </w:r>
            <w:proofErr w:type="spellStart"/>
            <w:r>
              <w:rPr>
                <w:sz w:val="20"/>
                <w:szCs w:val="20"/>
              </w:rPr>
              <w:t>awc</w:t>
            </w:r>
            <w:proofErr w:type="spellEnd"/>
            <w:r w:rsidR="00B65D33">
              <w:rPr>
                <w:sz w:val="20"/>
                <w:szCs w:val="20"/>
              </w:rPr>
              <w:t>-</w:t>
            </w:r>
            <w:r>
              <w:rPr>
                <w:sz w:val="20"/>
                <w:szCs w:val="20"/>
              </w:rPr>
              <w:t>documents bucket</w:t>
            </w:r>
          </w:p>
        </w:tc>
      </w:tr>
      <w:tr w:rsidR="008D3CFE" w14:paraId="3608CAD5" w14:textId="77777777">
        <w:tc>
          <w:tcPr>
            <w:tcW w:w="21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59C32716" w14:textId="77777777" w:rsidR="008D3CFE" w:rsidRDefault="00605B5A">
            <w:r>
              <w:rPr>
                <w:sz w:val="20"/>
                <w:szCs w:val="20"/>
              </w:rPr>
              <w:t>Load step</w:t>
            </w:r>
          </w:p>
        </w:tc>
        <w:tc>
          <w:tcPr>
            <w:tcW w:w="36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2EBF6F2E" w14:textId="77777777" w:rsidR="008D3CFE" w:rsidRDefault="00605B5A">
            <w:r>
              <w:rPr>
                <w:sz w:val="20"/>
                <w:szCs w:val="20"/>
              </w:rPr>
              <w:t>Ingest Schema</w:t>
            </w:r>
          </w:p>
        </w:tc>
        <w:tc>
          <w:tcPr>
            <w:tcW w:w="36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0118F8AE" w14:textId="77777777" w:rsidR="008D3CFE" w:rsidRDefault="00605B5A">
            <w:r>
              <w:rPr>
                <w:sz w:val="20"/>
                <w:szCs w:val="20"/>
              </w:rPr>
              <w:t>Scan Files</w:t>
            </w:r>
          </w:p>
        </w:tc>
      </w:tr>
      <w:tr w:rsidR="008D3CFE" w14:paraId="08C144E0" w14:textId="77777777">
        <w:tc>
          <w:tcPr>
            <w:tcW w:w="21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0A5A19E3" w14:textId="77777777" w:rsidR="008D3CFE" w:rsidRDefault="00605B5A">
            <w:r>
              <w:rPr>
                <w:sz w:val="20"/>
                <w:szCs w:val="20"/>
              </w:rPr>
              <w:t>What loads</w:t>
            </w:r>
          </w:p>
        </w:tc>
        <w:tc>
          <w:tcPr>
            <w:tcW w:w="36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3D9FC380" w14:textId="77777777" w:rsidR="008D3CFE" w:rsidRDefault="00605B5A">
            <w:r>
              <w:rPr>
                <w:sz w:val="20"/>
                <w:szCs w:val="20"/>
              </w:rPr>
              <w:t>Tables, columns, types, keys</w:t>
            </w:r>
          </w:p>
        </w:tc>
        <w:tc>
          <w:tcPr>
            <w:tcW w:w="36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351BDB85" w14:textId="77777777" w:rsidR="008D3CFE" w:rsidRDefault="00605B5A">
            <w:r>
              <w:rPr>
                <w:sz w:val="20"/>
                <w:szCs w:val="20"/>
              </w:rPr>
              <w:t>Files, formats, sizes, paths</w:t>
            </w:r>
          </w:p>
        </w:tc>
      </w:tr>
      <w:tr w:rsidR="008D3CFE" w14:paraId="77F32830" w14:textId="77777777">
        <w:tc>
          <w:tcPr>
            <w:tcW w:w="21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797C0AC1" w14:textId="77777777" w:rsidR="008D3CFE" w:rsidRDefault="00605B5A">
            <w:r>
              <w:rPr>
                <w:sz w:val="20"/>
                <w:szCs w:val="20"/>
              </w:rPr>
              <w:t>Processing engine</w:t>
            </w:r>
          </w:p>
        </w:tc>
        <w:tc>
          <w:tcPr>
            <w:tcW w:w="36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26B595F6" w14:textId="77777777" w:rsidR="008D3CFE" w:rsidRDefault="00605B5A">
            <w:r>
              <w:rPr>
                <w:sz w:val="20"/>
                <w:szCs w:val="20"/>
              </w:rPr>
              <w:t>Data Integration</w:t>
            </w:r>
          </w:p>
        </w:tc>
        <w:tc>
          <w:tcPr>
            <w:tcW w:w="36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1F46BDFC" w14:textId="77777777" w:rsidR="008D3CFE" w:rsidRDefault="00605B5A">
            <w:r>
              <w:rPr>
                <w:sz w:val="20"/>
                <w:szCs w:val="20"/>
              </w:rPr>
              <w:t>Data Optimizer</w:t>
            </w:r>
          </w:p>
        </w:tc>
      </w:tr>
      <w:tr w:rsidR="008D3CFE" w14:paraId="3435FADC" w14:textId="77777777">
        <w:tc>
          <w:tcPr>
            <w:tcW w:w="21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4659A9C1" w14:textId="77777777" w:rsidR="008D3CFE" w:rsidRDefault="00605B5A">
            <w:r>
              <w:rPr>
                <w:sz w:val="20"/>
                <w:szCs w:val="20"/>
              </w:rPr>
              <w:t>Profiling later</w:t>
            </w:r>
          </w:p>
        </w:tc>
        <w:tc>
          <w:tcPr>
            <w:tcW w:w="36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78D235BD" w14:textId="77777777" w:rsidR="008D3CFE" w:rsidRDefault="00605B5A">
            <w:r>
              <w:rPr>
                <w:sz w:val="20"/>
                <w:szCs w:val="20"/>
              </w:rPr>
              <w:t>Column profiling</w:t>
            </w:r>
          </w:p>
        </w:tc>
        <w:tc>
          <w:tcPr>
            <w:tcW w:w="36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336491B1" w14:textId="77777777" w:rsidR="008D3CFE" w:rsidRDefault="00605B5A">
            <w:r>
              <w:rPr>
                <w:sz w:val="20"/>
                <w:szCs w:val="20"/>
              </w:rPr>
              <w:t>Document Processing</w:t>
            </w:r>
          </w:p>
        </w:tc>
      </w:tr>
    </w:tbl>
    <w:p w14:paraId="15E58F4F" w14:textId="77777777" w:rsidR="00B6121B" w:rsidRDefault="00B6121B">
      <w:pPr>
        <w:spacing w:after="120" w:line="276" w:lineRule="auto"/>
      </w:pPr>
    </w:p>
    <w:p w14:paraId="22B784D2" w14:textId="77777777" w:rsidR="008D3CFE" w:rsidRDefault="00605B5A">
      <w:pPr>
        <w:spacing w:after="120" w:line="276" w:lineRule="auto"/>
      </w:pPr>
      <w:r>
        <w:t xml:space="preserve">Understanding this split is the single most useful concept in Workshop 1. A database is described by its schema, so PDC ingests that schema. A bucket of PDFs and CSVs has no schema, so PDC scans the files and reads their content with a different engine. Same </w:t>
      </w:r>
      <w:r w:rsidR="00667F6B">
        <w:t>Catalog</w:t>
      </w:r>
      <w:r>
        <w:t>, two on</w:t>
      </w:r>
      <w:r w:rsidR="00B65D33">
        <w:t>-</w:t>
      </w:r>
      <w:r>
        <w:t>ramps.</w:t>
      </w:r>
    </w:p>
    <w:p w14:paraId="756F2BD3" w14:textId="77777777" w:rsidR="00FB412F" w:rsidRDefault="00FB412F">
      <w:pPr>
        <w:spacing w:after="120" w:line="276" w:lineRule="auto"/>
      </w:pPr>
    </w:p>
    <w:p w14:paraId="44F13F0E" w14:textId="77777777" w:rsidR="00FB412F" w:rsidRDefault="00FB412F">
      <w:pPr>
        <w:spacing w:after="120" w:line="276" w:lineRule="auto"/>
      </w:pPr>
    </w:p>
    <w:p w14:paraId="760CCA3C" w14:textId="77777777" w:rsidR="00FB412F" w:rsidRDefault="00FB412F">
      <w:pPr>
        <w:spacing w:after="120" w:line="276" w:lineRule="auto"/>
      </w:pPr>
    </w:p>
    <w:p w14:paraId="63B74AF1" w14:textId="77777777" w:rsidR="00FB412F" w:rsidRDefault="00FB412F">
      <w:pPr>
        <w:spacing w:after="120" w:line="276" w:lineRule="auto"/>
      </w:pPr>
    </w:p>
    <w:p w14:paraId="13549111" w14:textId="77777777" w:rsidR="00AF454C" w:rsidRDefault="00935923">
      <w:pPr>
        <w:spacing w:before="200" w:after="40"/>
        <w:jc w:val="center"/>
      </w:pPr>
      <w:r>
        <w:rPr>
          <w:noProof/>
        </w:rPr>
        <w:lastRenderedPageBreak/>
        <w:drawing>
          <wp:inline distT="0" distB="0" distL="0" distR="0" wp14:anchorId="1FF7F53B" wp14:editId="06879D85">
            <wp:extent cx="5806440" cy="2592161"/>
            <wp:effectExtent l="0" t="0" r="0" b="0"/>
            <wp:docPr id="1950083438" name="Picture 195008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1_onramps.png"/>
                    <pic:cNvPicPr/>
                  </pic:nvPicPr>
                  <pic:blipFill>
                    <a:blip r:embed="rId8"/>
                    <a:stretch>
                      <a:fillRect/>
                    </a:stretch>
                  </pic:blipFill>
                  <pic:spPr>
                    <a:xfrm>
                      <a:off x="0" y="0"/>
                      <a:ext cx="5806440" cy="2592161"/>
                    </a:xfrm>
                    <a:prstGeom prst="rect">
                      <a:avLst/>
                    </a:prstGeom>
                  </pic:spPr>
                </pic:pic>
              </a:graphicData>
            </a:graphic>
          </wp:inline>
        </w:drawing>
      </w:r>
    </w:p>
    <w:p w14:paraId="2E4DE336" w14:textId="77777777" w:rsidR="00AF454C" w:rsidRDefault="00935923">
      <w:pPr>
        <w:spacing w:after="280"/>
        <w:jc w:val="center"/>
      </w:pPr>
      <w:r>
        <w:rPr>
          <w:i/>
          <w:color w:val="5B7782"/>
          <w:sz w:val="18"/>
        </w:rPr>
        <w:t>A database is described by its schema, so PDC ingests it; a bucket of files has none, so PDC scans it.</w:t>
      </w:r>
    </w:p>
    <w:p w14:paraId="0FBB2B19" w14:textId="77777777" w:rsidR="002A268E" w:rsidRDefault="002A268E">
      <w:pPr>
        <w:pStyle w:val="Heading1"/>
      </w:pPr>
    </w:p>
    <w:p w14:paraId="7E5F70C2" w14:textId="77777777" w:rsidR="002A268E" w:rsidRDefault="002A268E">
      <w:pPr>
        <w:pStyle w:val="Heading1"/>
      </w:pPr>
    </w:p>
    <w:p w14:paraId="736D44FA" w14:textId="77777777" w:rsidR="002A268E" w:rsidRDefault="002A268E">
      <w:pPr>
        <w:pStyle w:val="Heading1"/>
      </w:pPr>
    </w:p>
    <w:p w14:paraId="009E4748" w14:textId="77777777" w:rsidR="002A268E" w:rsidRDefault="002A268E">
      <w:pPr>
        <w:pStyle w:val="Heading1"/>
      </w:pPr>
    </w:p>
    <w:p w14:paraId="3CCCF8F8" w14:textId="77777777" w:rsidR="002A268E" w:rsidRDefault="002A268E">
      <w:pPr>
        <w:pStyle w:val="Heading1"/>
      </w:pPr>
    </w:p>
    <w:p w14:paraId="7E78CCA7" w14:textId="77777777" w:rsidR="002A268E" w:rsidRDefault="002A268E">
      <w:pPr>
        <w:pStyle w:val="Heading1"/>
      </w:pPr>
    </w:p>
    <w:p w14:paraId="49BBB4C3" w14:textId="77777777" w:rsidR="002A268E" w:rsidRDefault="002A268E">
      <w:pPr>
        <w:pStyle w:val="Heading1"/>
      </w:pPr>
    </w:p>
    <w:p w14:paraId="7CE9BCAC" w14:textId="77777777" w:rsidR="002A268E" w:rsidRDefault="002A268E">
      <w:pPr>
        <w:pStyle w:val="Heading1"/>
      </w:pPr>
    </w:p>
    <w:p w14:paraId="1FFA86CF" w14:textId="77777777" w:rsidR="002A268E" w:rsidRDefault="002A268E">
      <w:pPr>
        <w:pStyle w:val="Heading1"/>
      </w:pPr>
    </w:p>
    <w:p w14:paraId="0452917F" w14:textId="77777777" w:rsidR="002A268E" w:rsidRDefault="002A268E">
      <w:pPr>
        <w:pStyle w:val="Heading1"/>
      </w:pPr>
    </w:p>
    <w:p w14:paraId="31A4DF5C" w14:textId="77777777" w:rsidR="002A268E" w:rsidRDefault="002A268E">
      <w:pPr>
        <w:pStyle w:val="Heading1"/>
      </w:pPr>
    </w:p>
    <w:p w14:paraId="78E18E7A" w14:textId="77777777" w:rsidR="002A268E" w:rsidRDefault="002A268E">
      <w:pPr>
        <w:pStyle w:val="Heading1"/>
      </w:pPr>
    </w:p>
    <w:p w14:paraId="7D1264A2" w14:textId="1D199122" w:rsidR="008D3CFE" w:rsidRDefault="00605B5A">
      <w:pPr>
        <w:pStyle w:val="Heading1"/>
      </w:pPr>
      <w:r>
        <w:lastRenderedPageBreak/>
        <w:t>Before you begin</w:t>
      </w:r>
    </w:p>
    <w:p w14:paraId="45AB88C5" w14:textId="77777777" w:rsidR="008D3CFE" w:rsidRDefault="00605B5A">
      <w:pPr>
        <w:pStyle w:val="Heading2"/>
      </w:pPr>
      <w:r>
        <w:t>Prerequisites</w:t>
      </w:r>
    </w:p>
    <w:p w14:paraId="60AAD963" w14:textId="77777777" w:rsidR="008D3CFE" w:rsidRDefault="00605B5A">
      <w:pPr>
        <w:pStyle w:val="ListParagraph"/>
        <w:numPr>
          <w:ilvl w:val="0"/>
          <w:numId w:val="2"/>
        </w:numPr>
        <w:spacing w:after="60" w:line="264" w:lineRule="auto"/>
      </w:pPr>
      <w:r>
        <w:t xml:space="preserve">The AWC lab stack running (the </w:t>
      </w:r>
      <w:proofErr w:type="spellStart"/>
      <w:r>
        <w:t>awc</w:t>
      </w:r>
      <w:proofErr w:type="spellEnd"/>
      <w:r w:rsidR="00B65D33">
        <w:t>-</w:t>
      </w:r>
      <w:r>
        <w:t xml:space="preserve">lab bundle: `make all`), so PostgreSQL and </w:t>
      </w:r>
      <w:proofErr w:type="spellStart"/>
      <w:r>
        <w:t>MinIO</w:t>
      </w:r>
      <w:proofErr w:type="spellEnd"/>
      <w:r>
        <w:t xml:space="preserve"> are both up.</w:t>
      </w:r>
    </w:p>
    <w:p w14:paraId="1562936B" w14:textId="77777777" w:rsidR="008D3CFE" w:rsidRDefault="00605B5A">
      <w:pPr>
        <w:pStyle w:val="ListParagraph"/>
        <w:numPr>
          <w:ilvl w:val="0"/>
          <w:numId w:val="2"/>
        </w:numPr>
        <w:spacing w:after="60" w:line="264" w:lineRule="auto"/>
      </w:pPr>
      <w:r>
        <w:t>A PDC 10.2.11 login with Data Steward or IT Administrator rights (creating data sources is an administrative action).</w:t>
      </w:r>
    </w:p>
    <w:p w14:paraId="01BE2B4B" w14:textId="77777777" w:rsidR="008D3CFE" w:rsidRDefault="00605B5A">
      <w:pPr>
        <w:pStyle w:val="ListParagraph"/>
        <w:numPr>
          <w:ilvl w:val="0"/>
          <w:numId w:val="2"/>
        </w:numPr>
        <w:spacing w:after="60" w:line="264" w:lineRule="auto"/>
      </w:pPr>
      <w:r>
        <w:t xml:space="preserve">Network reachability from PDC to the two services </w:t>
      </w:r>
      <w:r w:rsidR="00B65D33">
        <w:t>–</w:t>
      </w:r>
      <w:r>
        <w:t xml:space="preserve"> in</w:t>
      </w:r>
      <w:r w:rsidR="00B65D33">
        <w:t>-</w:t>
      </w:r>
      <w:r>
        <w:t xml:space="preserve">container names </w:t>
      </w:r>
      <w:proofErr w:type="spellStart"/>
      <w:r>
        <w:t>az</w:t>
      </w:r>
      <w:proofErr w:type="spellEnd"/>
      <w:r w:rsidR="003F1C27">
        <w:t>-</w:t>
      </w:r>
      <w:r>
        <w:t>water</w:t>
      </w:r>
      <w:r w:rsidR="003F1C27">
        <w:t>-</w:t>
      </w:r>
      <w:r>
        <w:t xml:space="preserve">postgres and </w:t>
      </w:r>
      <w:proofErr w:type="spellStart"/>
      <w:r>
        <w:t>az</w:t>
      </w:r>
      <w:proofErr w:type="spellEnd"/>
      <w:r w:rsidR="003F1C27">
        <w:t>-</w:t>
      </w:r>
      <w:r>
        <w:t>water</w:t>
      </w:r>
      <w:r w:rsidR="003F1C27">
        <w:t>-</w:t>
      </w:r>
      <w:proofErr w:type="spellStart"/>
      <w:r>
        <w:t>minio</w:t>
      </w:r>
      <w:proofErr w:type="spellEnd"/>
      <w:r>
        <w:t xml:space="preserve">, or the VM/host IP. For the </w:t>
      </w:r>
      <w:proofErr w:type="spellStart"/>
      <w:r>
        <w:t>MinIO</w:t>
      </w:r>
      <w:proofErr w:type="spellEnd"/>
      <w:r>
        <w:t xml:space="preserve"> object</w:t>
      </w:r>
      <w:r w:rsidR="00B65D33">
        <w:t>-</w:t>
      </w:r>
      <w:r>
        <w:t>store Endpoint, use the VM/host IP rather than a name (see Part B).</w:t>
      </w:r>
    </w:p>
    <w:p w14:paraId="778F914B" w14:textId="77777777" w:rsidR="008D3CFE" w:rsidRDefault="00605B5A">
      <w:pPr>
        <w:pStyle w:val="Heading2"/>
      </w:pPr>
      <w:r>
        <w:t>Assets used in this workshop</w:t>
      </w:r>
    </w:p>
    <w:p w14:paraId="59C5DB2A" w14:textId="77777777" w:rsidR="008D3CFE" w:rsidRDefault="00605B5A">
      <w:pPr>
        <w:spacing w:after="120" w:line="276" w:lineRule="auto"/>
      </w:pPr>
      <w:r>
        <w:t>This package includes everything Workshop 1 needs:</w:t>
      </w:r>
    </w:p>
    <w:p w14:paraId="1675C0D6" w14:textId="77777777" w:rsidR="008D3CFE" w:rsidRDefault="00605B5A">
      <w:pPr>
        <w:pStyle w:val="ListParagraph"/>
        <w:numPr>
          <w:ilvl w:val="0"/>
          <w:numId w:val="2"/>
        </w:numPr>
        <w:spacing w:after="60" w:line="264" w:lineRule="auto"/>
      </w:pPr>
      <w:r>
        <w:t>Arizona</w:t>
      </w:r>
      <w:r w:rsidR="00DB7674">
        <w:t>-</w:t>
      </w:r>
      <w:r>
        <w:t>Water</w:t>
      </w:r>
      <w:r w:rsidR="00DB7674">
        <w:t>-</w:t>
      </w:r>
      <w:r>
        <w:t>Company</w:t>
      </w:r>
      <w:r w:rsidR="00DB7674">
        <w:t>-</w:t>
      </w:r>
      <w:r>
        <w:t>Realistic</w:t>
      </w:r>
      <w:r w:rsidR="00DB7674">
        <w:t>-</w:t>
      </w:r>
      <w:r>
        <w:t>Sample</w:t>
      </w:r>
      <w:r w:rsidR="00DB7674">
        <w:t>-</w:t>
      </w:r>
      <w:proofErr w:type="spellStart"/>
      <w:r>
        <w:t>Data.sql</w:t>
      </w:r>
      <w:proofErr w:type="spellEnd"/>
      <w:r>
        <w:t xml:space="preserve"> — the operational database (loaded automatically by the lab bundle).</w:t>
      </w:r>
    </w:p>
    <w:p w14:paraId="3E739EC5" w14:textId="77777777" w:rsidR="008D3CFE" w:rsidRDefault="00DB7674">
      <w:pPr>
        <w:pStyle w:val="ListParagraph"/>
        <w:numPr>
          <w:ilvl w:val="0"/>
          <w:numId w:val="2"/>
        </w:numPr>
        <w:spacing w:after="60" w:line="264" w:lineRule="auto"/>
      </w:pPr>
      <w:proofErr w:type="spellStart"/>
      <w:r>
        <w:t>A</w:t>
      </w:r>
      <w:r w:rsidR="00605B5A">
        <w:t>wc</w:t>
      </w:r>
      <w:proofErr w:type="spellEnd"/>
      <w:r>
        <w:t>-</w:t>
      </w:r>
      <w:r w:rsidR="00605B5A">
        <w:t xml:space="preserve">documents/ — the full document set (17 files across compliance, inspections, correspondence, </w:t>
      </w:r>
      <w:proofErr w:type="spellStart"/>
      <w:r w:rsidR="00605B5A">
        <w:t>scada</w:t>
      </w:r>
      <w:proofErr w:type="spellEnd"/>
      <w:r w:rsidR="00605B5A">
        <w:t xml:space="preserve">, and </w:t>
      </w:r>
      <w:proofErr w:type="spellStart"/>
      <w:r w:rsidR="00605B5A">
        <w:t>gis</w:t>
      </w:r>
      <w:proofErr w:type="spellEnd"/>
      <w:r w:rsidR="00605B5A">
        <w:t>).</w:t>
      </w:r>
    </w:p>
    <w:p w14:paraId="749EBAEA" w14:textId="77777777" w:rsidR="008D3CFE" w:rsidRDefault="00605B5A">
      <w:pPr>
        <w:pStyle w:val="ListParagraph"/>
        <w:numPr>
          <w:ilvl w:val="0"/>
          <w:numId w:val="2"/>
        </w:numPr>
        <w:spacing w:after="60" w:line="264" w:lineRule="auto"/>
      </w:pPr>
      <w:r>
        <w:t>Workshop</w:t>
      </w:r>
      <w:r w:rsidR="00DB7674">
        <w:t>-</w:t>
      </w:r>
      <w:r>
        <w:t>1</w:t>
      </w:r>
      <w:r w:rsidR="00DB7674">
        <w:t>-</w:t>
      </w:r>
      <w:r>
        <w:t>Connect</w:t>
      </w:r>
      <w:r w:rsidR="00DB7674">
        <w:t>-</w:t>
      </w:r>
      <w:r>
        <w:t>Database.pptx — the slides for this session.</w:t>
      </w:r>
    </w:p>
    <w:p w14:paraId="08758A90" w14:textId="77777777" w:rsidR="00F558A8" w:rsidRDefault="00381CA3">
      <w:pPr>
        <w:spacing w:before="80" w:after="80"/>
      </w:pPr>
      <w:r>
        <w:rPr>
          <w:sz w:val="21"/>
          <w:szCs w:val="21"/>
        </w:rPr>
        <w:t>Keep these handy — you will enter them in the steps below. Test Connection must succeed before either source comes online.</w:t>
      </w:r>
    </w:p>
    <w:p w14:paraId="20516AFD" w14:textId="77777777" w:rsidR="00F558A8" w:rsidRDefault="00381CA3">
      <w:pPr>
        <w:keepNext/>
        <w:spacing w:before="160" w:after="60"/>
      </w:pPr>
      <w:r>
        <w:rPr>
          <w:b/>
          <w:bCs/>
          <w:color w:val="1C7293"/>
          <w:sz w:val="21"/>
          <w:szCs w:val="21"/>
        </w:rPr>
        <w:t>Database — Arizona_Water_Operations (PostgreSQL)</w:t>
      </w:r>
    </w:p>
    <w:tbl>
      <w:tblPr>
        <w:tblW w:w="9360" w:type="dxa"/>
        <w:tblBorders>
          <w:top w:val="single" w:sz="4" w:space="0" w:color="CED9DF"/>
          <w:left w:val="single" w:sz="4" w:space="0" w:color="CED9DF"/>
          <w:bottom w:val="single" w:sz="4" w:space="0" w:color="CED9DF"/>
          <w:right w:val="single" w:sz="4" w:space="0" w:color="CED9DF"/>
          <w:insideH w:val="single" w:sz="4" w:space="0" w:color="CED9DF"/>
          <w:insideV w:val="single" w:sz="4" w:space="0" w:color="CED9DF"/>
        </w:tblBorders>
        <w:tblLook w:val="04A0" w:firstRow="1" w:lastRow="0" w:firstColumn="1" w:lastColumn="0" w:noHBand="0" w:noVBand="1"/>
      </w:tblPr>
      <w:tblGrid>
        <w:gridCol w:w="2160"/>
        <w:gridCol w:w="3300"/>
        <w:gridCol w:w="3900"/>
      </w:tblGrid>
      <w:tr w:rsidR="00F558A8" w14:paraId="3CAC4863" w14:textId="77777777">
        <w:tc>
          <w:tcPr>
            <w:tcW w:w="2160" w:type="dxa"/>
            <w:shd w:val="clear" w:color="auto" w:fill="1C7293"/>
            <w:tcMar>
              <w:top w:w="60" w:type="dxa"/>
              <w:left w:w="120" w:type="dxa"/>
              <w:bottom w:w="60" w:type="dxa"/>
              <w:right w:w="120" w:type="dxa"/>
            </w:tcMar>
            <w:vAlign w:val="center"/>
          </w:tcPr>
          <w:p w14:paraId="6E8239FC" w14:textId="77777777" w:rsidR="00F558A8" w:rsidRDefault="00381CA3">
            <w:pPr>
              <w:rPr>
                <w:b/>
                <w:bCs/>
                <w:color w:val="FFFFFF"/>
                <w:sz w:val="18"/>
                <w:szCs w:val="18"/>
              </w:rPr>
            </w:pPr>
            <w:r>
              <w:rPr>
                <w:b/>
                <w:bCs/>
                <w:color w:val="FFFFFF"/>
                <w:sz w:val="18"/>
                <w:szCs w:val="18"/>
              </w:rPr>
              <w:t>Field</w:t>
            </w:r>
          </w:p>
        </w:tc>
        <w:tc>
          <w:tcPr>
            <w:tcW w:w="3300" w:type="dxa"/>
            <w:shd w:val="clear" w:color="auto" w:fill="1C7293"/>
            <w:tcMar>
              <w:top w:w="60" w:type="dxa"/>
              <w:left w:w="120" w:type="dxa"/>
              <w:bottom w:w="60" w:type="dxa"/>
              <w:right w:w="120" w:type="dxa"/>
            </w:tcMar>
            <w:vAlign w:val="center"/>
          </w:tcPr>
          <w:p w14:paraId="14F75CBB" w14:textId="77777777" w:rsidR="00F558A8" w:rsidRDefault="00381CA3">
            <w:pPr>
              <w:rPr>
                <w:b/>
                <w:bCs/>
                <w:color w:val="FFFFFF"/>
                <w:sz w:val="18"/>
                <w:szCs w:val="18"/>
              </w:rPr>
            </w:pPr>
            <w:r>
              <w:rPr>
                <w:b/>
                <w:bCs/>
                <w:color w:val="FFFFFF"/>
                <w:sz w:val="18"/>
                <w:szCs w:val="18"/>
              </w:rPr>
              <w:t>Value</w:t>
            </w:r>
          </w:p>
        </w:tc>
        <w:tc>
          <w:tcPr>
            <w:tcW w:w="3900" w:type="dxa"/>
            <w:shd w:val="clear" w:color="auto" w:fill="1C7293"/>
            <w:tcMar>
              <w:top w:w="60" w:type="dxa"/>
              <w:left w:w="120" w:type="dxa"/>
              <w:bottom w:w="60" w:type="dxa"/>
              <w:right w:w="120" w:type="dxa"/>
            </w:tcMar>
            <w:vAlign w:val="center"/>
          </w:tcPr>
          <w:p w14:paraId="70AD1FDD" w14:textId="77777777" w:rsidR="00F558A8" w:rsidRDefault="00381CA3">
            <w:pPr>
              <w:rPr>
                <w:b/>
                <w:bCs/>
                <w:color w:val="FFFFFF"/>
                <w:sz w:val="18"/>
                <w:szCs w:val="18"/>
              </w:rPr>
            </w:pPr>
            <w:r>
              <w:rPr>
                <w:b/>
                <w:bCs/>
                <w:color w:val="FFFFFF"/>
                <w:sz w:val="18"/>
                <w:szCs w:val="18"/>
              </w:rPr>
              <w:t>Notes</w:t>
            </w:r>
          </w:p>
        </w:tc>
      </w:tr>
      <w:tr w:rsidR="00F558A8" w14:paraId="7DEF5C22" w14:textId="77777777">
        <w:tc>
          <w:tcPr>
            <w:tcW w:w="2160" w:type="dxa"/>
            <w:shd w:val="clear" w:color="auto" w:fill="FFFFFF"/>
            <w:tcMar>
              <w:top w:w="60" w:type="dxa"/>
              <w:left w:w="120" w:type="dxa"/>
              <w:bottom w:w="60" w:type="dxa"/>
              <w:right w:w="120" w:type="dxa"/>
            </w:tcMar>
            <w:vAlign w:val="center"/>
          </w:tcPr>
          <w:p w14:paraId="3861D568" w14:textId="77777777" w:rsidR="00F558A8" w:rsidRDefault="00381CA3">
            <w:pPr>
              <w:rPr>
                <w:b/>
                <w:bCs/>
                <w:color w:val="14333F"/>
                <w:sz w:val="18"/>
                <w:szCs w:val="18"/>
              </w:rPr>
            </w:pPr>
            <w:r>
              <w:rPr>
                <w:b/>
                <w:bCs/>
                <w:color w:val="14333F"/>
                <w:sz w:val="18"/>
                <w:szCs w:val="18"/>
              </w:rPr>
              <w:t>Data Source Name</w:t>
            </w:r>
          </w:p>
        </w:tc>
        <w:tc>
          <w:tcPr>
            <w:tcW w:w="3300" w:type="dxa"/>
            <w:shd w:val="clear" w:color="auto" w:fill="FFFFFF"/>
            <w:tcMar>
              <w:top w:w="60" w:type="dxa"/>
              <w:left w:w="120" w:type="dxa"/>
              <w:bottom w:w="60" w:type="dxa"/>
              <w:right w:w="120" w:type="dxa"/>
            </w:tcMar>
            <w:vAlign w:val="center"/>
          </w:tcPr>
          <w:p w14:paraId="1C44CFA6" w14:textId="77777777" w:rsidR="00F558A8" w:rsidRDefault="00381CA3">
            <w:pPr>
              <w:rPr>
                <w:rFonts w:ascii="Consolas" w:hAnsi="Consolas" w:cs="Consolas"/>
                <w:color w:val="3C5A66"/>
                <w:sz w:val="18"/>
                <w:szCs w:val="18"/>
              </w:rPr>
            </w:pPr>
            <w:r>
              <w:rPr>
                <w:rFonts w:ascii="Consolas" w:hAnsi="Consolas" w:cs="Consolas"/>
                <w:color w:val="3C5A66"/>
                <w:sz w:val="18"/>
                <w:szCs w:val="18"/>
              </w:rPr>
              <w:t>Arizona_Water_Operations</w:t>
            </w:r>
          </w:p>
        </w:tc>
        <w:tc>
          <w:tcPr>
            <w:tcW w:w="3900" w:type="dxa"/>
            <w:shd w:val="clear" w:color="auto" w:fill="FFFFFF"/>
            <w:tcMar>
              <w:top w:w="60" w:type="dxa"/>
              <w:left w:w="120" w:type="dxa"/>
              <w:bottom w:w="60" w:type="dxa"/>
              <w:right w:w="120" w:type="dxa"/>
            </w:tcMar>
            <w:vAlign w:val="center"/>
          </w:tcPr>
          <w:p w14:paraId="16DED71E" w14:textId="77777777" w:rsidR="00F558A8" w:rsidRDefault="00381CA3">
            <w:pPr>
              <w:rPr>
                <w:color w:val="3C5A66"/>
                <w:sz w:val="18"/>
                <w:szCs w:val="18"/>
              </w:rPr>
            </w:pPr>
            <w:r>
              <w:rPr>
                <w:color w:val="3C5A66"/>
                <w:sz w:val="18"/>
                <w:szCs w:val="18"/>
              </w:rPr>
              <w:t>Letters, digits, and underscores only — no spaces</w:t>
            </w:r>
          </w:p>
        </w:tc>
      </w:tr>
      <w:tr w:rsidR="00F558A8" w14:paraId="1CE03FA8" w14:textId="77777777">
        <w:tc>
          <w:tcPr>
            <w:tcW w:w="2160" w:type="dxa"/>
            <w:shd w:val="clear" w:color="auto" w:fill="F4F7F9"/>
            <w:tcMar>
              <w:top w:w="60" w:type="dxa"/>
              <w:left w:w="120" w:type="dxa"/>
              <w:bottom w:w="60" w:type="dxa"/>
              <w:right w:w="120" w:type="dxa"/>
            </w:tcMar>
            <w:vAlign w:val="center"/>
          </w:tcPr>
          <w:p w14:paraId="62AE7411" w14:textId="77777777" w:rsidR="00F558A8" w:rsidRDefault="00381CA3">
            <w:pPr>
              <w:rPr>
                <w:b/>
                <w:bCs/>
                <w:color w:val="14333F"/>
                <w:sz w:val="18"/>
                <w:szCs w:val="18"/>
              </w:rPr>
            </w:pPr>
            <w:r>
              <w:rPr>
                <w:b/>
                <w:bCs/>
                <w:color w:val="14333F"/>
                <w:sz w:val="18"/>
                <w:szCs w:val="18"/>
              </w:rPr>
              <w:t>Data Source Type</w:t>
            </w:r>
          </w:p>
        </w:tc>
        <w:tc>
          <w:tcPr>
            <w:tcW w:w="3300" w:type="dxa"/>
            <w:shd w:val="clear" w:color="auto" w:fill="F4F7F9"/>
            <w:tcMar>
              <w:top w:w="60" w:type="dxa"/>
              <w:left w:w="120" w:type="dxa"/>
              <w:bottom w:w="60" w:type="dxa"/>
              <w:right w:w="120" w:type="dxa"/>
            </w:tcMar>
            <w:vAlign w:val="center"/>
          </w:tcPr>
          <w:p w14:paraId="59A7A9C8" w14:textId="77777777" w:rsidR="00F558A8" w:rsidRDefault="00381CA3">
            <w:pPr>
              <w:rPr>
                <w:rFonts w:ascii="Consolas" w:hAnsi="Consolas" w:cs="Consolas"/>
                <w:color w:val="3C5A66"/>
                <w:sz w:val="18"/>
                <w:szCs w:val="18"/>
              </w:rPr>
            </w:pPr>
            <w:r>
              <w:rPr>
                <w:rFonts w:ascii="Consolas" w:hAnsi="Consolas" w:cs="Consolas"/>
                <w:color w:val="3C5A66"/>
                <w:sz w:val="18"/>
                <w:szCs w:val="18"/>
              </w:rPr>
              <w:t>PostgreSQL</w:t>
            </w:r>
          </w:p>
        </w:tc>
        <w:tc>
          <w:tcPr>
            <w:tcW w:w="3900" w:type="dxa"/>
            <w:shd w:val="clear" w:color="auto" w:fill="F4F7F9"/>
            <w:tcMar>
              <w:top w:w="60" w:type="dxa"/>
              <w:left w:w="120" w:type="dxa"/>
              <w:bottom w:w="60" w:type="dxa"/>
              <w:right w:w="120" w:type="dxa"/>
            </w:tcMar>
            <w:vAlign w:val="center"/>
          </w:tcPr>
          <w:p w14:paraId="1029564B" w14:textId="77777777" w:rsidR="00F558A8" w:rsidRDefault="00F558A8">
            <w:pPr>
              <w:rPr>
                <w:color w:val="3C5A66"/>
                <w:sz w:val="18"/>
                <w:szCs w:val="18"/>
              </w:rPr>
            </w:pPr>
          </w:p>
        </w:tc>
      </w:tr>
      <w:tr w:rsidR="00F558A8" w14:paraId="4BC50420" w14:textId="77777777">
        <w:tc>
          <w:tcPr>
            <w:tcW w:w="2160" w:type="dxa"/>
            <w:shd w:val="clear" w:color="auto" w:fill="FFFFFF"/>
            <w:tcMar>
              <w:top w:w="60" w:type="dxa"/>
              <w:left w:w="120" w:type="dxa"/>
              <w:bottom w:w="60" w:type="dxa"/>
              <w:right w:w="120" w:type="dxa"/>
            </w:tcMar>
            <w:vAlign w:val="center"/>
          </w:tcPr>
          <w:p w14:paraId="61F6E3A6" w14:textId="77777777" w:rsidR="00F558A8" w:rsidRDefault="00381CA3">
            <w:pPr>
              <w:rPr>
                <w:b/>
                <w:bCs/>
                <w:color w:val="14333F"/>
                <w:sz w:val="18"/>
                <w:szCs w:val="18"/>
              </w:rPr>
            </w:pPr>
            <w:r>
              <w:rPr>
                <w:b/>
                <w:bCs/>
                <w:color w:val="14333F"/>
                <w:sz w:val="18"/>
                <w:szCs w:val="18"/>
              </w:rPr>
              <w:t>Host</w:t>
            </w:r>
          </w:p>
        </w:tc>
        <w:tc>
          <w:tcPr>
            <w:tcW w:w="3300" w:type="dxa"/>
            <w:shd w:val="clear" w:color="auto" w:fill="FFFFFF"/>
            <w:tcMar>
              <w:top w:w="60" w:type="dxa"/>
              <w:left w:w="120" w:type="dxa"/>
              <w:bottom w:w="60" w:type="dxa"/>
              <w:right w:w="120" w:type="dxa"/>
            </w:tcMar>
            <w:vAlign w:val="center"/>
          </w:tcPr>
          <w:p w14:paraId="57884C6B" w14:textId="77777777" w:rsidR="00F558A8" w:rsidRDefault="00DB7674">
            <w:pPr>
              <w:rPr>
                <w:rFonts w:ascii="Consolas" w:hAnsi="Consolas" w:cs="Consolas"/>
                <w:color w:val="3C5A66"/>
                <w:sz w:val="18"/>
                <w:szCs w:val="18"/>
              </w:rPr>
            </w:pPr>
            <w:proofErr w:type="spellStart"/>
            <w:r>
              <w:rPr>
                <w:rFonts w:ascii="Consolas" w:hAnsi="Consolas" w:cs="Consolas"/>
                <w:color w:val="3C5A66"/>
                <w:sz w:val="18"/>
                <w:szCs w:val="18"/>
              </w:rPr>
              <w:t>a</w:t>
            </w:r>
            <w:r w:rsidR="00381CA3">
              <w:rPr>
                <w:rFonts w:ascii="Consolas" w:hAnsi="Consolas" w:cs="Consolas"/>
                <w:color w:val="3C5A66"/>
                <w:sz w:val="18"/>
                <w:szCs w:val="18"/>
              </w:rPr>
              <w:t>z</w:t>
            </w:r>
            <w:proofErr w:type="spellEnd"/>
            <w:r w:rsidR="003F1C27">
              <w:rPr>
                <w:rFonts w:ascii="Consolas" w:hAnsi="Consolas" w:cs="Consolas"/>
                <w:color w:val="3C5A66"/>
                <w:sz w:val="18"/>
                <w:szCs w:val="18"/>
              </w:rPr>
              <w:t>-</w:t>
            </w:r>
            <w:r w:rsidR="00381CA3">
              <w:rPr>
                <w:rFonts w:ascii="Consolas" w:hAnsi="Consolas" w:cs="Consolas"/>
                <w:color w:val="3C5A66"/>
                <w:sz w:val="18"/>
                <w:szCs w:val="18"/>
              </w:rPr>
              <w:t>water</w:t>
            </w:r>
            <w:r w:rsidR="003F1C27">
              <w:rPr>
                <w:rFonts w:ascii="Consolas" w:hAnsi="Consolas" w:cs="Consolas"/>
                <w:color w:val="3C5A66"/>
                <w:sz w:val="18"/>
                <w:szCs w:val="18"/>
              </w:rPr>
              <w:t>-</w:t>
            </w:r>
            <w:r w:rsidR="00381CA3">
              <w:rPr>
                <w:rFonts w:ascii="Consolas" w:hAnsi="Consolas" w:cs="Consolas"/>
                <w:color w:val="3C5A66"/>
                <w:sz w:val="18"/>
                <w:szCs w:val="18"/>
              </w:rPr>
              <w:t>postgres</w:t>
            </w:r>
          </w:p>
        </w:tc>
        <w:tc>
          <w:tcPr>
            <w:tcW w:w="3900" w:type="dxa"/>
            <w:shd w:val="clear" w:color="auto" w:fill="FFFFFF"/>
            <w:tcMar>
              <w:top w:w="60" w:type="dxa"/>
              <w:left w:w="120" w:type="dxa"/>
              <w:bottom w:w="60" w:type="dxa"/>
              <w:right w:w="120" w:type="dxa"/>
            </w:tcMar>
            <w:vAlign w:val="center"/>
          </w:tcPr>
          <w:p w14:paraId="22E87B0A" w14:textId="77777777" w:rsidR="00F558A8" w:rsidRDefault="00381CA3">
            <w:pPr>
              <w:rPr>
                <w:color w:val="3C5A66"/>
                <w:sz w:val="18"/>
                <w:szCs w:val="18"/>
              </w:rPr>
            </w:pPr>
            <w:r>
              <w:rPr>
                <w:color w:val="3C5A66"/>
                <w:sz w:val="18"/>
                <w:szCs w:val="18"/>
              </w:rPr>
              <w:t>Docker service name; or localhost / the VM IP when reaching it from the host</w:t>
            </w:r>
          </w:p>
        </w:tc>
      </w:tr>
      <w:tr w:rsidR="00F558A8" w14:paraId="65C81D3B" w14:textId="77777777">
        <w:tc>
          <w:tcPr>
            <w:tcW w:w="2160" w:type="dxa"/>
            <w:shd w:val="clear" w:color="auto" w:fill="F4F7F9"/>
            <w:tcMar>
              <w:top w:w="60" w:type="dxa"/>
              <w:left w:w="120" w:type="dxa"/>
              <w:bottom w:w="60" w:type="dxa"/>
              <w:right w:w="120" w:type="dxa"/>
            </w:tcMar>
            <w:vAlign w:val="center"/>
          </w:tcPr>
          <w:p w14:paraId="603C2321" w14:textId="77777777" w:rsidR="00F558A8" w:rsidRDefault="00381CA3">
            <w:pPr>
              <w:rPr>
                <w:b/>
                <w:bCs/>
                <w:color w:val="14333F"/>
                <w:sz w:val="18"/>
                <w:szCs w:val="18"/>
              </w:rPr>
            </w:pPr>
            <w:r>
              <w:rPr>
                <w:b/>
                <w:bCs/>
                <w:color w:val="14333F"/>
                <w:sz w:val="18"/>
                <w:szCs w:val="18"/>
              </w:rPr>
              <w:t>Port</w:t>
            </w:r>
          </w:p>
        </w:tc>
        <w:tc>
          <w:tcPr>
            <w:tcW w:w="3300" w:type="dxa"/>
            <w:shd w:val="clear" w:color="auto" w:fill="F4F7F9"/>
            <w:tcMar>
              <w:top w:w="60" w:type="dxa"/>
              <w:left w:w="120" w:type="dxa"/>
              <w:bottom w:w="60" w:type="dxa"/>
              <w:right w:w="120" w:type="dxa"/>
            </w:tcMar>
            <w:vAlign w:val="center"/>
          </w:tcPr>
          <w:p w14:paraId="7E1C8B37" w14:textId="77777777" w:rsidR="00F558A8" w:rsidRDefault="00381CA3">
            <w:pPr>
              <w:rPr>
                <w:rFonts w:ascii="Consolas" w:hAnsi="Consolas" w:cs="Consolas"/>
                <w:color w:val="3C5A66"/>
                <w:sz w:val="18"/>
                <w:szCs w:val="18"/>
              </w:rPr>
            </w:pPr>
            <w:r>
              <w:rPr>
                <w:rFonts w:ascii="Consolas" w:hAnsi="Consolas" w:cs="Consolas"/>
                <w:color w:val="3C5A66"/>
                <w:sz w:val="18"/>
                <w:szCs w:val="18"/>
              </w:rPr>
              <w:t>5432</w:t>
            </w:r>
          </w:p>
        </w:tc>
        <w:tc>
          <w:tcPr>
            <w:tcW w:w="3900" w:type="dxa"/>
            <w:shd w:val="clear" w:color="auto" w:fill="F4F7F9"/>
            <w:tcMar>
              <w:top w:w="60" w:type="dxa"/>
              <w:left w:w="120" w:type="dxa"/>
              <w:bottom w:w="60" w:type="dxa"/>
              <w:right w:w="120" w:type="dxa"/>
            </w:tcMar>
            <w:vAlign w:val="center"/>
          </w:tcPr>
          <w:p w14:paraId="2815C234" w14:textId="77777777" w:rsidR="00F558A8" w:rsidRDefault="00381CA3">
            <w:pPr>
              <w:rPr>
                <w:color w:val="3C5A66"/>
                <w:sz w:val="18"/>
                <w:szCs w:val="18"/>
              </w:rPr>
            </w:pPr>
            <w:r>
              <w:rPr>
                <w:color w:val="3C5A66"/>
                <w:sz w:val="18"/>
                <w:szCs w:val="18"/>
              </w:rPr>
              <w:t>Default PostgreSQL port</w:t>
            </w:r>
          </w:p>
        </w:tc>
      </w:tr>
      <w:tr w:rsidR="00F558A8" w14:paraId="7561CEFC" w14:textId="77777777">
        <w:tc>
          <w:tcPr>
            <w:tcW w:w="2160" w:type="dxa"/>
            <w:shd w:val="clear" w:color="auto" w:fill="FFFFFF"/>
            <w:tcMar>
              <w:top w:w="60" w:type="dxa"/>
              <w:left w:w="120" w:type="dxa"/>
              <w:bottom w:w="60" w:type="dxa"/>
              <w:right w:w="120" w:type="dxa"/>
            </w:tcMar>
            <w:vAlign w:val="center"/>
          </w:tcPr>
          <w:p w14:paraId="49164031" w14:textId="77777777" w:rsidR="00F558A8" w:rsidRDefault="00381CA3">
            <w:pPr>
              <w:rPr>
                <w:b/>
                <w:bCs/>
                <w:color w:val="14333F"/>
                <w:sz w:val="18"/>
                <w:szCs w:val="18"/>
              </w:rPr>
            </w:pPr>
            <w:r>
              <w:rPr>
                <w:b/>
                <w:bCs/>
                <w:color w:val="14333F"/>
                <w:sz w:val="18"/>
                <w:szCs w:val="18"/>
              </w:rPr>
              <w:t>Database Name</w:t>
            </w:r>
          </w:p>
        </w:tc>
        <w:tc>
          <w:tcPr>
            <w:tcW w:w="3300" w:type="dxa"/>
            <w:shd w:val="clear" w:color="auto" w:fill="FFFFFF"/>
            <w:tcMar>
              <w:top w:w="60" w:type="dxa"/>
              <w:left w:w="120" w:type="dxa"/>
              <w:bottom w:w="60" w:type="dxa"/>
              <w:right w:w="120" w:type="dxa"/>
            </w:tcMar>
            <w:vAlign w:val="center"/>
          </w:tcPr>
          <w:p w14:paraId="75A976E2" w14:textId="77777777" w:rsidR="00F558A8" w:rsidRDefault="00381CA3">
            <w:pPr>
              <w:rPr>
                <w:rFonts w:ascii="Consolas" w:hAnsi="Consolas" w:cs="Consolas"/>
                <w:color w:val="3C5A66"/>
                <w:sz w:val="18"/>
                <w:szCs w:val="18"/>
              </w:rPr>
            </w:pPr>
            <w:proofErr w:type="spellStart"/>
            <w:r>
              <w:rPr>
                <w:rFonts w:ascii="Consolas" w:hAnsi="Consolas" w:cs="Consolas"/>
                <w:color w:val="3C5A66"/>
                <w:sz w:val="18"/>
                <w:szCs w:val="18"/>
              </w:rPr>
              <w:t>awc_operations</w:t>
            </w:r>
            <w:proofErr w:type="spellEnd"/>
          </w:p>
        </w:tc>
        <w:tc>
          <w:tcPr>
            <w:tcW w:w="3900" w:type="dxa"/>
            <w:shd w:val="clear" w:color="auto" w:fill="FFFFFF"/>
            <w:tcMar>
              <w:top w:w="60" w:type="dxa"/>
              <w:left w:w="120" w:type="dxa"/>
              <w:bottom w:w="60" w:type="dxa"/>
              <w:right w:w="120" w:type="dxa"/>
            </w:tcMar>
            <w:vAlign w:val="center"/>
          </w:tcPr>
          <w:p w14:paraId="0142A934" w14:textId="77777777" w:rsidR="00F558A8" w:rsidRDefault="00381CA3">
            <w:pPr>
              <w:rPr>
                <w:color w:val="3C5A66"/>
                <w:sz w:val="18"/>
                <w:szCs w:val="18"/>
              </w:rPr>
            </w:pPr>
            <w:r>
              <w:rPr>
                <w:color w:val="3C5A66"/>
                <w:sz w:val="18"/>
                <w:szCs w:val="18"/>
              </w:rPr>
              <w:t>The AWC operational database</w:t>
            </w:r>
          </w:p>
        </w:tc>
      </w:tr>
      <w:tr w:rsidR="00F558A8" w14:paraId="0DF09F3D" w14:textId="77777777">
        <w:tc>
          <w:tcPr>
            <w:tcW w:w="2160" w:type="dxa"/>
            <w:shd w:val="clear" w:color="auto" w:fill="F4F7F9"/>
            <w:tcMar>
              <w:top w:w="60" w:type="dxa"/>
              <w:left w:w="120" w:type="dxa"/>
              <w:bottom w:w="60" w:type="dxa"/>
              <w:right w:w="120" w:type="dxa"/>
            </w:tcMar>
            <w:vAlign w:val="center"/>
          </w:tcPr>
          <w:p w14:paraId="444E8200" w14:textId="77777777" w:rsidR="00F558A8" w:rsidRDefault="00381CA3">
            <w:pPr>
              <w:rPr>
                <w:b/>
                <w:bCs/>
                <w:color w:val="14333F"/>
                <w:sz w:val="18"/>
                <w:szCs w:val="18"/>
              </w:rPr>
            </w:pPr>
            <w:r>
              <w:rPr>
                <w:b/>
                <w:bCs/>
                <w:color w:val="14333F"/>
                <w:sz w:val="18"/>
                <w:szCs w:val="18"/>
              </w:rPr>
              <w:t>User Name</w:t>
            </w:r>
          </w:p>
        </w:tc>
        <w:tc>
          <w:tcPr>
            <w:tcW w:w="3300" w:type="dxa"/>
            <w:shd w:val="clear" w:color="auto" w:fill="F4F7F9"/>
            <w:tcMar>
              <w:top w:w="60" w:type="dxa"/>
              <w:left w:w="120" w:type="dxa"/>
              <w:bottom w:w="60" w:type="dxa"/>
              <w:right w:w="120" w:type="dxa"/>
            </w:tcMar>
            <w:vAlign w:val="center"/>
          </w:tcPr>
          <w:p w14:paraId="12DE00F6" w14:textId="77777777" w:rsidR="00F558A8" w:rsidRDefault="00381CA3">
            <w:pPr>
              <w:rPr>
                <w:rFonts w:ascii="Consolas" w:hAnsi="Consolas" w:cs="Consolas"/>
                <w:color w:val="3C5A66"/>
                <w:sz w:val="18"/>
                <w:szCs w:val="18"/>
              </w:rPr>
            </w:pPr>
            <w:proofErr w:type="spellStart"/>
            <w:r>
              <w:rPr>
                <w:rFonts w:ascii="Consolas" w:hAnsi="Consolas" w:cs="Consolas"/>
                <w:color w:val="3C5A66"/>
                <w:sz w:val="18"/>
                <w:szCs w:val="18"/>
              </w:rPr>
              <w:t>pdc_user</w:t>
            </w:r>
            <w:proofErr w:type="spellEnd"/>
          </w:p>
        </w:tc>
        <w:tc>
          <w:tcPr>
            <w:tcW w:w="3900" w:type="dxa"/>
            <w:shd w:val="clear" w:color="auto" w:fill="F4F7F9"/>
            <w:tcMar>
              <w:top w:w="60" w:type="dxa"/>
              <w:left w:w="120" w:type="dxa"/>
              <w:bottom w:w="60" w:type="dxa"/>
              <w:right w:w="120" w:type="dxa"/>
            </w:tcMar>
            <w:vAlign w:val="center"/>
          </w:tcPr>
          <w:p w14:paraId="69D7915D" w14:textId="77777777" w:rsidR="00F558A8" w:rsidRDefault="00381CA3">
            <w:pPr>
              <w:rPr>
                <w:color w:val="3C5A66"/>
                <w:sz w:val="18"/>
                <w:szCs w:val="18"/>
              </w:rPr>
            </w:pPr>
            <w:r>
              <w:rPr>
                <w:color w:val="3C5A66"/>
                <w:sz w:val="18"/>
                <w:szCs w:val="18"/>
              </w:rPr>
              <w:t>Read</w:t>
            </w:r>
            <w:r w:rsidR="00DB7674">
              <w:rPr>
                <w:color w:val="3C5A66"/>
                <w:sz w:val="18"/>
                <w:szCs w:val="18"/>
              </w:rPr>
              <w:t>-</w:t>
            </w:r>
            <w:r>
              <w:rPr>
                <w:color w:val="3C5A66"/>
                <w:sz w:val="18"/>
                <w:szCs w:val="18"/>
              </w:rPr>
              <w:t>only — CONNECT, USAGE, SELECT</w:t>
            </w:r>
          </w:p>
        </w:tc>
      </w:tr>
      <w:tr w:rsidR="00F558A8" w14:paraId="6DE78151" w14:textId="77777777">
        <w:tc>
          <w:tcPr>
            <w:tcW w:w="2160" w:type="dxa"/>
            <w:shd w:val="clear" w:color="auto" w:fill="FFFFFF"/>
            <w:tcMar>
              <w:top w:w="60" w:type="dxa"/>
              <w:left w:w="120" w:type="dxa"/>
              <w:bottom w:w="60" w:type="dxa"/>
              <w:right w:w="120" w:type="dxa"/>
            </w:tcMar>
            <w:vAlign w:val="center"/>
          </w:tcPr>
          <w:p w14:paraId="6319A3B3" w14:textId="77777777" w:rsidR="00F558A8" w:rsidRDefault="00381CA3">
            <w:pPr>
              <w:rPr>
                <w:b/>
                <w:bCs/>
                <w:color w:val="14333F"/>
                <w:sz w:val="18"/>
                <w:szCs w:val="18"/>
              </w:rPr>
            </w:pPr>
            <w:r>
              <w:rPr>
                <w:b/>
                <w:bCs/>
                <w:color w:val="14333F"/>
                <w:sz w:val="18"/>
                <w:szCs w:val="18"/>
              </w:rPr>
              <w:t>Password</w:t>
            </w:r>
          </w:p>
        </w:tc>
        <w:tc>
          <w:tcPr>
            <w:tcW w:w="3300" w:type="dxa"/>
            <w:shd w:val="clear" w:color="auto" w:fill="FFFFFF"/>
            <w:tcMar>
              <w:top w:w="60" w:type="dxa"/>
              <w:left w:w="120" w:type="dxa"/>
              <w:bottom w:w="60" w:type="dxa"/>
              <w:right w:w="120" w:type="dxa"/>
            </w:tcMar>
            <w:vAlign w:val="center"/>
          </w:tcPr>
          <w:p w14:paraId="69AA013C" w14:textId="77777777" w:rsidR="00F558A8" w:rsidRDefault="002C6F98">
            <w:pPr>
              <w:rPr>
                <w:rFonts w:ascii="Consolas" w:hAnsi="Consolas" w:cs="Consolas"/>
                <w:color w:val="3C5A66"/>
                <w:sz w:val="18"/>
                <w:szCs w:val="18"/>
              </w:rPr>
            </w:pPr>
            <w:r>
              <w:rPr>
                <w:rFonts w:ascii="Consolas" w:hAnsi="Consolas" w:cs="Consolas"/>
                <w:color w:val="3C5A66"/>
                <w:sz w:val="18"/>
                <w:szCs w:val="18"/>
              </w:rPr>
              <w:t>c</w:t>
            </w:r>
            <w:r w:rsidR="00667F6B">
              <w:rPr>
                <w:rFonts w:ascii="Consolas" w:hAnsi="Consolas" w:cs="Consolas"/>
                <w:color w:val="3C5A66"/>
                <w:sz w:val="18"/>
                <w:szCs w:val="18"/>
              </w:rPr>
              <w:t>atalog</w:t>
            </w:r>
            <w:r w:rsidR="00381CA3">
              <w:rPr>
                <w:rFonts w:ascii="Consolas" w:hAnsi="Consolas" w:cs="Consolas"/>
                <w:color w:val="3C5A66"/>
                <w:sz w:val="18"/>
                <w:szCs w:val="18"/>
              </w:rPr>
              <w:t>123!</w:t>
            </w:r>
          </w:p>
        </w:tc>
        <w:tc>
          <w:tcPr>
            <w:tcW w:w="3900" w:type="dxa"/>
            <w:shd w:val="clear" w:color="auto" w:fill="FFFFFF"/>
            <w:tcMar>
              <w:top w:w="60" w:type="dxa"/>
              <w:left w:w="120" w:type="dxa"/>
              <w:bottom w:w="60" w:type="dxa"/>
              <w:right w:w="120" w:type="dxa"/>
            </w:tcMar>
            <w:vAlign w:val="center"/>
          </w:tcPr>
          <w:p w14:paraId="39FE5AA0" w14:textId="77777777" w:rsidR="00F558A8" w:rsidRDefault="00381CA3">
            <w:pPr>
              <w:rPr>
                <w:color w:val="3C5A66"/>
                <w:sz w:val="18"/>
                <w:szCs w:val="18"/>
              </w:rPr>
            </w:pPr>
            <w:r>
              <w:rPr>
                <w:color w:val="3C5A66"/>
                <w:sz w:val="18"/>
                <w:szCs w:val="18"/>
              </w:rPr>
              <w:t>Lab credential — change in production</w:t>
            </w:r>
          </w:p>
        </w:tc>
      </w:tr>
    </w:tbl>
    <w:p w14:paraId="28220456" w14:textId="77777777" w:rsidR="002A268E" w:rsidRDefault="002A268E" w:rsidP="00C77971">
      <w:pPr>
        <w:keepNext/>
        <w:spacing w:before="160" w:after="60"/>
        <w:rPr>
          <w:b/>
          <w:bCs/>
          <w:color w:val="1C7293"/>
          <w:sz w:val="21"/>
          <w:szCs w:val="21"/>
        </w:rPr>
      </w:pPr>
    </w:p>
    <w:p w14:paraId="5CBFB6BD" w14:textId="77777777" w:rsidR="002A268E" w:rsidRDefault="002A268E" w:rsidP="00C77971">
      <w:pPr>
        <w:keepNext/>
        <w:spacing w:before="160" w:after="60"/>
        <w:rPr>
          <w:b/>
          <w:bCs/>
          <w:color w:val="1C7293"/>
          <w:sz w:val="21"/>
          <w:szCs w:val="21"/>
        </w:rPr>
      </w:pPr>
    </w:p>
    <w:p w14:paraId="1CB1DA72" w14:textId="77777777" w:rsidR="002A268E" w:rsidRDefault="002A268E" w:rsidP="00C77971">
      <w:pPr>
        <w:keepNext/>
        <w:spacing w:before="160" w:after="60"/>
        <w:rPr>
          <w:b/>
          <w:bCs/>
          <w:color w:val="1C7293"/>
          <w:sz w:val="21"/>
          <w:szCs w:val="21"/>
        </w:rPr>
      </w:pPr>
    </w:p>
    <w:p w14:paraId="7E2B3DA2" w14:textId="77777777" w:rsidR="002A268E" w:rsidRDefault="002A268E" w:rsidP="00C77971">
      <w:pPr>
        <w:keepNext/>
        <w:spacing w:before="160" w:after="60"/>
        <w:rPr>
          <w:b/>
          <w:bCs/>
          <w:color w:val="1C7293"/>
          <w:sz w:val="21"/>
          <w:szCs w:val="21"/>
        </w:rPr>
      </w:pPr>
    </w:p>
    <w:p w14:paraId="3AD469EF" w14:textId="77777777" w:rsidR="002A268E" w:rsidRDefault="002A268E" w:rsidP="00C77971">
      <w:pPr>
        <w:keepNext/>
        <w:spacing w:before="160" w:after="60"/>
        <w:rPr>
          <w:b/>
          <w:bCs/>
          <w:color w:val="1C7293"/>
          <w:sz w:val="21"/>
          <w:szCs w:val="21"/>
        </w:rPr>
      </w:pPr>
    </w:p>
    <w:p w14:paraId="6C1C76D1" w14:textId="7B4A270F" w:rsidR="002A268E" w:rsidRPr="002A268E" w:rsidRDefault="002A268E" w:rsidP="00C77971">
      <w:pPr>
        <w:keepNext/>
        <w:spacing w:before="160" w:after="60"/>
      </w:pPr>
      <w:r>
        <w:rPr>
          <w:b/>
          <w:bCs/>
          <w:color w:val="1C7293"/>
          <w:sz w:val="21"/>
          <w:szCs w:val="21"/>
        </w:rPr>
        <w:t xml:space="preserve">Object store — </w:t>
      </w:r>
      <w:proofErr w:type="spellStart"/>
      <w:r>
        <w:rPr>
          <w:b/>
          <w:bCs/>
          <w:color w:val="1C7293"/>
          <w:sz w:val="21"/>
          <w:szCs w:val="21"/>
        </w:rPr>
        <w:t>Arizona_Water_Documents</w:t>
      </w:r>
      <w:proofErr w:type="spellEnd"/>
      <w:r>
        <w:rPr>
          <w:b/>
          <w:bCs/>
          <w:color w:val="1C7293"/>
          <w:sz w:val="21"/>
          <w:szCs w:val="21"/>
        </w:rPr>
        <w:t xml:space="preserve"> (</w:t>
      </w:r>
      <w:proofErr w:type="spellStart"/>
      <w:r>
        <w:rPr>
          <w:b/>
          <w:bCs/>
          <w:color w:val="1C7293"/>
          <w:sz w:val="21"/>
          <w:szCs w:val="21"/>
        </w:rPr>
        <w:t>MinIO</w:t>
      </w:r>
      <w:proofErr w:type="spellEnd"/>
      <w:r>
        <w:rPr>
          <w:b/>
          <w:bCs/>
          <w:color w:val="1C7293"/>
          <w:sz w:val="21"/>
          <w:szCs w:val="21"/>
        </w:rPr>
        <w:t xml:space="preserve"> via the AWS S3 type)</w:t>
      </w:r>
    </w:p>
    <w:tbl>
      <w:tblPr>
        <w:tblW w:w="9360" w:type="dxa"/>
        <w:tblBorders>
          <w:top w:val="single" w:sz="4" w:space="0" w:color="CED9DF"/>
          <w:left w:val="single" w:sz="4" w:space="0" w:color="CED9DF"/>
          <w:bottom w:val="single" w:sz="4" w:space="0" w:color="CED9DF"/>
          <w:right w:val="single" w:sz="4" w:space="0" w:color="CED9DF"/>
          <w:insideH w:val="single" w:sz="4" w:space="0" w:color="CED9DF"/>
          <w:insideV w:val="single" w:sz="4" w:space="0" w:color="CED9DF"/>
        </w:tblBorders>
        <w:tblLook w:val="04A0" w:firstRow="1" w:lastRow="0" w:firstColumn="1" w:lastColumn="0" w:noHBand="0" w:noVBand="1"/>
      </w:tblPr>
      <w:tblGrid>
        <w:gridCol w:w="2160"/>
        <w:gridCol w:w="3300"/>
        <w:gridCol w:w="3900"/>
      </w:tblGrid>
      <w:tr w:rsidR="002A268E" w14:paraId="7E061E03" w14:textId="77777777" w:rsidTr="001730CB">
        <w:tc>
          <w:tcPr>
            <w:tcW w:w="2160" w:type="dxa"/>
            <w:shd w:val="clear" w:color="auto" w:fill="1C7293"/>
            <w:tcMar>
              <w:top w:w="60" w:type="dxa"/>
              <w:left w:w="120" w:type="dxa"/>
              <w:bottom w:w="60" w:type="dxa"/>
              <w:right w:w="120" w:type="dxa"/>
            </w:tcMar>
            <w:vAlign w:val="center"/>
          </w:tcPr>
          <w:p w14:paraId="6AEE28AC" w14:textId="77777777" w:rsidR="002A268E" w:rsidRDefault="002A268E" w:rsidP="001730CB">
            <w:pPr>
              <w:rPr>
                <w:b/>
                <w:bCs/>
                <w:color w:val="FFFFFF"/>
                <w:sz w:val="18"/>
                <w:szCs w:val="18"/>
              </w:rPr>
            </w:pPr>
            <w:r>
              <w:rPr>
                <w:b/>
                <w:bCs/>
                <w:color w:val="FFFFFF"/>
                <w:sz w:val="18"/>
                <w:szCs w:val="18"/>
              </w:rPr>
              <w:t>Field</w:t>
            </w:r>
          </w:p>
        </w:tc>
        <w:tc>
          <w:tcPr>
            <w:tcW w:w="3300" w:type="dxa"/>
            <w:shd w:val="clear" w:color="auto" w:fill="1C7293"/>
            <w:tcMar>
              <w:top w:w="60" w:type="dxa"/>
              <w:left w:w="120" w:type="dxa"/>
              <w:bottom w:w="60" w:type="dxa"/>
              <w:right w:w="120" w:type="dxa"/>
            </w:tcMar>
            <w:vAlign w:val="center"/>
          </w:tcPr>
          <w:p w14:paraId="4D9B3AC1" w14:textId="77777777" w:rsidR="002A268E" w:rsidRDefault="002A268E" w:rsidP="001730CB">
            <w:pPr>
              <w:rPr>
                <w:b/>
                <w:bCs/>
                <w:color w:val="FFFFFF"/>
                <w:sz w:val="18"/>
                <w:szCs w:val="18"/>
              </w:rPr>
            </w:pPr>
            <w:r>
              <w:rPr>
                <w:b/>
                <w:bCs/>
                <w:color w:val="FFFFFF"/>
                <w:sz w:val="18"/>
                <w:szCs w:val="18"/>
              </w:rPr>
              <w:t>Value</w:t>
            </w:r>
          </w:p>
        </w:tc>
        <w:tc>
          <w:tcPr>
            <w:tcW w:w="3900" w:type="dxa"/>
            <w:shd w:val="clear" w:color="auto" w:fill="1C7293"/>
            <w:tcMar>
              <w:top w:w="60" w:type="dxa"/>
              <w:left w:w="120" w:type="dxa"/>
              <w:bottom w:w="60" w:type="dxa"/>
              <w:right w:w="120" w:type="dxa"/>
            </w:tcMar>
            <w:vAlign w:val="center"/>
          </w:tcPr>
          <w:p w14:paraId="5729EA15" w14:textId="77777777" w:rsidR="002A268E" w:rsidRDefault="002A268E" w:rsidP="001730CB">
            <w:pPr>
              <w:rPr>
                <w:b/>
                <w:bCs/>
                <w:color w:val="FFFFFF"/>
                <w:sz w:val="18"/>
                <w:szCs w:val="18"/>
              </w:rPr>
            </w:pPr>
            <w:r>
              <w:rPr>
                <w:b/>
                <w:bCs/>
                <w:color w:val="FFFFFF"/>
                <w:sz w:val="18"/>
                <w:szCs w:val="18"/>
              </w:rPr>
              <w:t>Notes</w:t>
            </w:r>
          </w:p>
        </w:tc>
      </w:tr>
      <w:tr w:rsidR="002A268E" w14:paraId="6479BB25" w14:textId="77777777" w:rsidTr="001730CB">
        <w:tc>
          <w:tcPr>
            <w:tcW w:w="2160" w:type="dxa"/>
            <w:shd w:val="clear" w:color="auto" w:fill="FFFFFF"/>
            <w:tcMar>
              <w:top w:w="60" w:type="dxa"/>
              <w:left w:w="120" w:type="dxa"/>
              <w:bottom w:w="60" w:type="dxa"/>
              <w:right w:w="120" w:type="dxa"/>
            </w:tcMar>
            <w:vAlign w:val="center"/>
          </w:tcPr>
          <w:p w14:paraId="4BBA58FE" w14:textId="77777777" w:rsidR="002A268E" w:rsidRDefault="002A268E" w:rsidP="001730CB">
            <w:pPr>
              <w:rPr>
                <w:b/>
                <w:bCs/>
                <w:color w:val="14333F"/>
                <w:sz w:val="18"/>
                <w:szCs w:val="18"/>
              </w:rPr>
            </w:pPr>
            <w:r>
              <w:rPr>
                <w:b/>
                <w:bCs/>
                <w:color w:val="14333F"/>
                <w:sz w:val="18"/>
                <w:szCs w:val="18"/>
              </w:rPr>
              <w:t>Data Source Name</w:t>
            </w:r>
          </w:p>
        </w:tc>
        <w:tc>
          <w:tcPr>
            <w:tcW w:w="3300" w:type="dxa"/>
            <w:shd w:val="clear" w:color="auto" w:fill="FFFFFF"/>
            <w:tcMar>
              <w:top w:w="60" w:type="dxa"/>
              <w:left w:w="120" w:type="dxa"/>
              <w:bottom w:w="60" w:type="dxa"/>
              <w:right w:w="120" w:type="dxa"/>
            </w:tcMar>
            <w:vAlign w:val="center"/>
          </w:tcPr>
          <w:p w14:paraId="46F4E483" w14:textId="77777777" w:rsidR="002A268E" w:rsidRDefault="002A268E" w:rsidP="001730CB">
            <w:pPr>
              <w:rPr>
                <w:rFonts w:ascii="Consolas" w:hAnsi="Consolas" w:cs="Consolas"/>
                <w:color w:val="3C5A66"/>
                <w:sz w:val="18"/>
                <w:szCs w:val="18"/>
              </w:rPr>
            </w:pPr>
            <w:proofErr w:type="spellStart"/>
            <w:r>
              <w:rPr>
                <w:rFonts w:ascii="Consolas" w:hAnsi="Consolas" w:cs="Consolas"/>
                <w:color w:val="3C5A66"/>
                <w:sz w:val="18"/>
                <w:szCs w:val="18"/>
              </w:rPr>
              <w:t>Arizona_Water_Documents</w:t>
            </w:r>
            <w:proofErr w:type="spellEnd"/>
          </w:p>
        </w:tc>
        <w:tc>
          <w:tcPr>
            <w:tcW w:w="3900" w:type="dxa"/>
            <w:shd w:val="clear" w:color="auto" w:fill="FFFFFF"/>
            <w:tcMar>
              <w:top w:w="60" w:type="dxa"/>
              <w:left w:w="120" w:type="dxa"/>
              <w:bottom w:w="60" w:type="dxa"/>
              <w:right w:w="120" w:type="dxa"/>
            </w:tcMar>
            <w:vAlign w:val="center"/>
          </w:tcPr>
          <w:p w14:paraId="3BEF4012" w14:textId="77777777" w:rsidR="002A268E" w:rsidRDefault="002A268E" w:rsidP="001730CB">
            <w:pPr>
              <w:rPr>
                <w:color w:val="3C5A66"/>
                <w:sz w:val="18"/>
                <w:szCs w:val="18"/>
              </w:rPr>
            </w:pPr>
            <w:r>
              <w:rPr>
                <w:color w:val="3C5A66"/>
                <w:sz w:val="18"/>
                <w:szCs w:val="18"/>
              </w:rPr>
              <w:t>Letters, digits, and underscores only — no spaces</w:t>
            </w:r>
          </w:p>
        </w:tc>
      </w:tr>
      <w:tr w:rsidR="002A268E" w14:paraId="091DB22C" w14:textId="77777777" w:rsidTr="001730CB">
        <w:tc>
          <w:tcPr>
            <w:tcW w:w="2160" w:type="dxa"/>
            <w:shd w:val="clear" w:color="auto" w:fill="F4F7F9"/>
            <w:tcMar>
              <w:top w:w="60" w:type="dxa"/>
              <w:left w:w="120" w:type="dxa"/>
              <w:bottom w:w="60" w:type="dxa"/>
              <w:right w:w="120" w:type="dxa"/>
            </w:tcMar>
            <w:vAlign w:val="center"/>
          </w:tcPr>
          <w:p w14:paraId="2D0D54A8" w14:textId="77777777" w:rsidR="002A268E" w:rsidRDefault="002A268E" w:rsidP="001730CB">
            <w:pPr>
              <w:rPr>
                <w:b/>
                <w:bCs/>
                <w:color w:val="14333F"/>
                <w:sz w:val="18"/>
                <w:szCs w:val="18"/>
              </w:rPr>
            </w:pPr>
            <w:r>
              <w:rPr>
                <w:b/>
                <w:bCs/>
                <w:color w:val="14333F"/>
                <w:sz w:val="18"/>
                <w:szCs w:val="18"/>
              </w:rPr>
              <w:t>Data Source Type</w:t>
            </w:r>
          </w:p>
        </w:tc>
        <w:tc>
          <w:tcPr>
            <w:tcW w:w="3300" w:type="dxa"/>
            <w:shd w:val="clear" w:color="auto" w:fill="F4F7F9"/>
            <w:tcMar>
              <w:top w:w="60" w:type="dxa"/>
              <w:left w:w="120" w:type="dxa"/>
              <w:bottom w:w="60" w:type="dxa"/>
              <w:right w:w="120" w:type="dxa"/>
            </w:tcMar>
            <w:vAlign w:val="center"/>
          </w:tcPr>
          <w:p w14:paraId="73757F2E" w14:textId="77777777" w:rsidR="002A268E" w:rsidRDefault="002A268E" w:rsidP="001730CB">
            <w:pPr>
              <w:rPr>
                <w:rFonts w:ascii="Consolas" w:hAnsi="Consolas" w:cs="Consolas"/>
                <w:color w:val="3C5A66"/>
                <w:sz w:val="18"/>
                <w:szCs w:val="18"/>
              </w:rPr>
            </w:pPr>
            <w:r>
              <w:rPr>
                <w:rFonts w:ascii="Consolas" w:hAnsi="Consolas" w:cs="Consolas"/>
                <w:color w:val="3C5A66"/>
                <w:sz w:val="18"/>
                <w:szCs w:val="18"/>
              </w:rPr>
              <w:t>AWS S3</w:t>
            </w:r>
          </w:p>
        </w:tc>
        <w:tc>
          <w:tcPr>
            <w:tcW w:w="3900" w:type="dxa"/>
            <w:shd w:val="clear" w:color="auto" w:fill="F4F7F9"/>
            <w:tcMar>
              <w:top w:w="60" w:type="dxa"/>
              <w:left w:w="120" w:type="dxa"/>
              <w:bottom w:w="60" w:type="dxa"/>
              <w:right w:w="120" w:type="dxa"/>
            </w:tcMar>
            <w:vAlign w:val="center"/>
          </w:tcPr>
          <w:p w14:paraId="7D9CF2DB" w14:textId="77777777" w:rsidR="002A268E" w:rsidRDefault="002A268E" w:rsidP="001730CB">
            <w:pPr>
              <w:rPr>
                <w:color w:val="3C5A66"/>
                <w:sz w:val="18"/>
                <w:szCs w:val="18"/>
              </w:rPr>
            </w:pPr>
            <w:proofErr w:type="spellStart"/>
            <w:r>
              <w:rPr>
                <w:color w:val="3C5A66"/>
                <w:sz w:val="18"/>
                <w:szCs w:val="18"/>
              </w:rPr>
              <w:t>MinIO</w:t>
            </w:r>
            <w:proofErr w:type="spellEnd"/>
            <w:r>
              <w:rPr>
                <w:color w:val="3C5A66"/>
                <w:sz w:val="18"/>
                <w:szCs w:val="18"/>
              </w:rPr>
              <w:t xml:space="preserve"> is S3—compatible; connect it with the AWS S3 type</w:t>
            </w:r>
          </w:p>
        </w:tc>
      </w:tr>
      <w:tr w:rsidR="002A268E" w14:paraId="5CE6AEDE" w14:textId="77777777" w:rsidTr="001730CB">
        <w:tc>
          <w:tcPr>
            <w:tcW w:w="2160" w:type="dxa"/>
            <w:shd w:val="clear" w:color="auto" w:fill="FFFFFF"/>
            <w:tcMar>
              <w:top w:w="60" w:type="dxa"/>
              <w:left w:w="120" w:type="dxa"/>
              <w:bottom w:w="60" w:type="dxa"/>
              <w:right w:w="120" w:type="dxa"/>
            </w:tcMar>
            <w:vAlign w:val="center"/>
          </w:tcPr>
          <w:p w14:paraId="53490A24" w14:textId="77777777" w:rsidR="002A268E" w:rsidRDefault="002A268E" w:rsidP="001730CB">
            <w:pPr>
              <w:rPr>
                <w:b/>
                <w:bCs/>
                <w:color w:val="14333F"/>
                <w:sz w:val="18"/>
                <w:szCs w:val="18"/>
              </w:rPr>
            </w:pPr>
            <w:r>
              <w:rPr>
                <w:b/>
                <w:bCs/>
                <w:color w:val="14333F"/>
                <w:sz w:val="18"/>
                <w:szCs w:val="18"/>
              </w:rPr>
              <w:t>Region</w:t>
            </w:r>
          </w:p>
        </w:tc>
        <w:tc>
          <w:tcPr>
            <w:tcW w:w="3300" w:type="dxa"/>
            <w:shd w:val="clear" w:color="auto" w:fill="FFFFFF"/>
            <w:tcMar>
              <w:top w:w="60" w:type="dxa"/>
              <w:left w:w="120" w:type="dxa"/>
              <w:bottom w:w="60" w:type="dxa"/>
              <w:right w:w="120" w:type="dxa"/>
            </w:tcMar>
            <w:vAlign w:val="center"/>
          </w:tcPr>
          <w:p w14:paraId="3416DDD9" w14:textId="77777777" w:rsidR="002A268E" w:rsidRDefault="002A268E" w:rsidP="001730CB">
            <w:pPr>
              <w:rPr>
                <w:rFonts w:ascii="Consolas" w:hAnsi="Consolas" w:cs="Consolas"/>
                <w:color w:val="3C5A66"/>
                <w:sz w:val="18"/>
                <w:szCs w:val="18"/>
              </w:rPr>
            </w:pPr>
            <w:r>
              <w:rPr>
                <w:rFonts w:ascii="Consolas" w:hAnsi="Consolas" w:cs="Consolas"/>
                <w:color w:val="3C5A66"/>
                <w:sz w:val="18"/>
                <w:szCs w:val="18"/>
              </w:rPr>
              <w:t>us-east-1</w:t>
            </w:r>
          </w:p>
        </w:tc>
        <w:tc>
          <w:tcPr>
            <w:tcW w:w="3900" w:type="dxa"/>
            <w:shd w:val="clear" w:color="auto" w:fill="FFFFFF"/>
            <w:tcMar>
              <w:top w:w="60" w:type="dxa"/>
              <w:left w:w="120" w:type="dxa"/>
              <w:bottom w:w="60" w:type="dxa"/>
              <w:right w:w="120" w:type="dxa"/>
            </w:tcMar>
            <w:vAlign w:val="center"/>
          </w:tcPr>
          <w:p w14:paraId="6C498E58" w14:textId="77777777" w:rsidR="002A268E" w:rsidRDefault="002A268E" w:rsidP="001730CB">
            <w:pPr>
              <w:rPr>
                <w:color w:val="3C5A66"/>
                <w:sz w:val="18"/>
                <w:szCs w:val="18"/>
              </w:rPr>
            </w:pPr>
            <w:r>
              <w:rPr>
                <w:color w:val="3C5A66"/>
                <w:sz w:val="18"/>
                <w:szCs w:val="18"/>
              </w:rPr>
              <w:t xml:space="preserve">Any value works for </w:t>
            </w:r>
            <w:proofErr w:type="spellStart"/>
            <w:r>
              <w:rPr>
                <w:color w:val="3C5A66"/>
                <w:sz w:val="18"/>
                <w:szCs w:val="18"/>
              </w:rPr>
              <w:t>MinIO</w:t>
            </w:r>
            <w:proofErr w:type="spellEnd"/>
          </w:p>
        </w:tc>
      </w:tr>
      <w:tr w:rsidR="002A268E" w14:paraId="409228DD" w14:textId="77777777" w:rsidTr="001730CB">
        <w:tc>
          <w:tcPr>
            <w:tcW w:w="2160" w:type="dxa"/>
            <w:shd w:val="clear" w:color="auto" w:fill="F4F7F9"/>
            <w:tcMar>
              <w:top w:w="60" w:type="dxa"/>
              <w:left w:w="120" w:type="dxa"/>
              <w:bottom w:w="60" w:type="dxa"/>
              <w:right w:w="120" w:type="dxa"/>
            </w:tcMar>
            <w:vAlign w:val="center"/>
          </w:tcPr>
          <w:p w14:paraId="18CF5FE1" w14:textId="77777777" w:rsidR="002A268E" w:rsidRDefault="002A268E" w:rsidP="001730CB">
            <w:pPr>
              <w:rPr>
                <w:b/>
                <w:bCs/>
                <w:color w:val="14333F"/>
                <w:sz w:val="18"/>
                <w:szCs w:val="18"/>
              </w:rPr>
            </w:pPr>
            <w:r>
              <w:rPr>
                <w:b/>
                <w:bCs/>
                <w:color w:val="14333F"/>
                <w:sz w:val="18"/>
                <w:szCs w:val="18"/>
              </w:rPr>
              <w:t>Bucket Name</w:t>
            </w:r>
          </w:p>
        </w:tc>
        <w:tc>
          <w:tcPr>
            <w:tcW w:w="3300" w:type="dxa"/>
            <w:shd w:val="clear" w:color="auto" w:fill="F4F7F9"/>
            <w:tcMar>
              <w:top w:w="60" w:type="dxa"/>
              <w:left w:w="120" w:type="dxa"/>
              <w:bottom w:w="60" w:type="dxa"/>
              <w:right w:w="120" w:type="dxa"/>
            </w:tcMar>
            <w:vAlign w:val="center"/>
          </w:tcPr>
          <w:p w14:paraId="669DFD6C" w14:textId="77777777" w:rsidR="002A268E" w:rsidRDefault="002A268E" w:rsidP="001730CB">
            <w:pPr>
              <w:rPr>
                <w:rFonts w:ascii="Consolas" w:hAnsi="Consolas" w:cs="Consolas"/>
                <w:color w:val="3C5A66"/>
                <w:sz w:val="18"/>
                <w:szCs w:val="18"/>
              </w:rPr>
            </w:pPr>
            <w:proofErr w:type="spellStart"/>
            <w:r>
              <w:rPr>
                <w:rFonts w:ascii="Consolas" w:hAnsi="Consolas" w:cs="Consolas"/>
                <w:color w:val="3C5A66"/>
                <w:sz w:val="18"/>
                <w:szCs w:val="18"/>
              </w:rPr>
              <w:t>awc</w:t>
            </w:r>
            <w:proofErr w:type="spellEnd"/>
            <w:r>
              <w:rPr>
                <w:rFonts w:ascii="Consolas" w:hAnsi="Consolas" w:cs="Consolas"/>
                <w:color w:val="3C5A66"/>
                <w:sz w:val="18"/>
                <w:szCs w:val="18"/>
              </w:rPr>
              <w:t>-documents</w:t>
            </w:r>
          </w:p>
        </w:tc>
        <w:tc>
          <w:tcPr>
            <w:tcW w:w="3900" w:type="dxa"/>
            <w:shd w:val="clear" w:color="auto" w:fill="F4F7F9"/>
            <w:tcMar>
              <w:top w:w="60" w:type="dxa"/>
              <w:left w:w="120" w:type="dxa"/>
              <w:bottom w:w="60" w:type="dxa"/>
              <w:right w:w="120" w:type="dxa"/>
            </w:tcMar>
            <w:vAlign w:val="center"/>
          </w:tcPr>
          <w:p w14:paraId="56100B66" w14:textId="77777777" w:rsidR="002A268E" w:rsidRDefault="002A268E" w:rsidP="001730CB">
            <w:pPr>
              <w:rPr>
                <w:color w:val="3C5A66"/>
                <w:sz w:val="18"/>
                <w:szCs w:val="18"/>
              </w:rPr>
            </w:pPr>
            <w:r>
              <w:rPr>
                <w:color w:val="3C5A66"/>
                <w:sz w:val="18"/>
                <w:szCs w:val="18"/>
              </w:rPr>
              <w:t>The bucket holding AWC documents</w:t>
            </w:r>
          </w:p>
        </w:tc>
      </w:tr>
      <w:tr w:rsidR="002A268E" w14:paraId="32D35AF9" w14:textId="77777777" w:rsidTr="001730CB">
        <w:tc>
          <w:tcPr>
            <w:tcW w:w="2160" w:type="dxa"/>
            <w:shd w:val="clear" w:color="auto" w:fill="FFFFFF"/>
            <w:tcMar>
              <w:top w:w="60" w:type="dxa"/>
              <w:left w:w="120" w:type="dxa"/>
              <w:bottom w:w="60" w:type="dxa"/>
              <w:right w:w="120" w:type="dxa"/>
            </w:tcMar>
            <w:vAlign w:val="center"/>
          </w:tcPr>
          <w:p w14:paraId="423673D6" w14:textId="77777777" w:rsidR="002A268E" w:rsidRDefault="002A268E" w:rsidP="001730CB">
            <w:pPr>
              <w:rPr>
                <w:b/>
                <w:bCs/>
                <w:color w:val="14333F"/>
                <w:sz w:val="18"/>
                <w:szCs w:val="18"/>
              </w:rPr>
            </w:pPr>
            <w:r>
              <w:rPr>
                <w:b/>
                <w:bCs/>
                <w:color w:val="14333F"/>
                <w:sz w:val="18"/>
                <w:szCs w:val="18"/>
              </w:rPr>
              <w:t>Access Key</w:t>
            </w:r>
          </w:p>
        </w:tc>
        <w:tc>
          <w:tcPr>
            <w:tcW w:w="3300" w:type="dxa"/>
            <w:shd w:val="clear" w:color="auto" w:fill="FFFFFF"/>
            <w:tcMar>
              <w:top w:w="60" w:type="dxa"/>
              <w:left w:w="120" w:type="dxa"/>
              <w:bottom w:w="60" w:type="dxa"/>
              <w:right w:w="120" w:type="dxa"/>
            </w:tcMar>
            <w:vAlign w:val="center"/>
          </w:tcPr>
          <w:p w14:paraId="3E06B282" w14:textId="77777777" w:rsidR="002A268E" w:rsidRDefault="002A268E" w:rsidP="001730CB">
            <w:pPr>
              <w:rPr>
                <w:rFonts w:ascii="Consolas" w:hAnsi="Consolas" w:cs="Consolas"/>
                <w:color w:val="3C5A66"/>
                <w:sz w:val="18"/>
                <w:szCs w:val="18"/>
              </w:rPr>
            </w:pPr>
            <w:proofErr w:type="spellStart"/>
            <w:r>
              <w:rPr>
                <w:rFonts w:ascii="Consolas" w:hAnsi="Consolas" w:cs="Consolas"/>
                <w:color w:val="3C5A66"/>
                <w:sz w:val="18"/>
                <w:szCs w:val="18"/>
              </w:rPr>
              <w:t>awc_minio_user</w:t>
            </w:r>
            <w:proofErr w:type="spellEnd"/>
          </w:p>
        </w:tc>
        <w:tc>
          <w:tcPr>
            <w:tcW w:w="3900" w:type="dxa"/>
            <w:shd w:val="clear" w:color="auto" w:fill="FFFFFF"/>
            <w:tcMar>
              <w:top w:w="60" w:type="dxa"/>
              <w:left w:w="120" w:type="dxa"/>
              <w:bottom w:w="60" w:type="dxa"/>
              <w:right w:w="120" w:type="dxa"/>
            </w:tcMar>
            <w:vAlign w:val="center"/>
          </w:tcPr>
          <w:p w14:paraId="21FAEFEF" w14:textId="77777777" w:rsidR="002A268E" w:rsidRDefault="002A268E" w:rsidP="001730CB">
            <w:pPr>
              <w:rPr>
                <w:color w:val="3C5A66"/>
                <w:sz w:val="18"/>
                <w:szCs w:val="18"/>
              </w:rPr>
            </w:pPr>
            <w:proofErr w:type="spellStart"/>
            <w:r>
              <w:rPr>
                <w:color w:val="3C5A66"/>
                <w:sz w:val="18"/>
                <w:szCs w:val="18"/>
              </w:rPr>
              <w:t>MinIO</w:t>
            </w:r>
            <w:proofErr w:type="spellEnd"/>
            <w:r>
              <w:rPr>
                <w:color w:val="3C5A66"/>
                <w:sz w:val="18"/>
                <w:szCs w:val="18"/>
              </w:rPr>
              <w:t xml:space="preserve"> access key — read-only</w:t>
            </w:r>
          </w:p>
        </w:tc>
      </w:tr>
      <w:tr w:rsidR="002A268E" w14:paraId="33ED8862" w14:textId="77777777" w:rsidTr="001730CB">
        <w:tc>
          <w:tcPr>
            <w:tcW w:w="2160" w:type="dxa"/>
            <w:shd w:val="clear" w:color="auto" w:fill="F4F7F9"/>
            <w:tcMar>
              <w:top w:w="60" w:type="dxa"/>
              <w:left w:w="120" w:type="dxa"/>
              <w:bottom w:w="60" w:type="dxa"/>
              <w:right w:w="120" w:type="dxa"/>
            </w:tcMar>
            <w:vAlign w:val="center"/>
          </w:tcPr>
          <w:p w14:paraId="7155D04E" w14:textId="77777777" w:rsidR="002A268E" w:rsidRDefault="002A268E" w:rsidP="001730CB">
            <w:pPr>
              <w:rPr>
                <w:b/>
                <w:bCs/>
                <w:color w:val="14333F"/>
                <w:sz w:val="18"/>
                <w:szCs w:val="18"/>
              </w:rPr>
            </w:pPr>
            <w:r>
              <w:rPr>
                <w:b/>
                <w:bCs/>
                <w:color w:val="14333F"/>
                <w:sz w:val="18"/>
                <w:szCs w:val="18"/>
              </w:rPr>
              <w:t>Secret Access Key</w:t>
            </w:r>
          </w:p>
        </w:tc>
        <w:tc>
          <w:tcPr>
            <w:tcW w:w="3300" w:type="dxa"/>
            <w:shd w:val="clear" w:color="auto" w:fill="F4F7F9"/>
            <w:tcMar>
              <w:top w:w="60" w:type="dxa"/>
              <w:left w:w="120" w:type="dxa"/>
              <w:bottom w:w="60" w:type="dxa"/>
              <w:right w:w="120" w:type="dxa"/>
            </w:tcMar>
            <w:vAlign w:val="center"/>
          </w:tcPr>
          <w:p w14:paraId="042535FA" w14:textId="77777777" w:rsidR="002A268E" w:rsidRDefault="002A268E" w:rsidP="001730CB">
            <w:pPr>
              <w:rPr>
                <w:rFonts w:ascii="Consolas" w:hAnsi="Consolas" w:cs="Consolas"/>
                <w:color w:val="3C5A66"/>
                <w:sz w:val="18"/>
                <w:szCs w:val="18"/>
              </w:rPr>
            </w:pPr>
            <w:r>
              <w:rPr>
                <w:rFonts w:ascii="Consolas" w:hAnsi="Consolas" w:cs="Consolas"/>
                <w:color w:val="3C5A66"/>
                <w:sz w:val="18"/>
                <w:szCs w:val="18"/>
              </w:rPr>
              <w:t>minio_secret_123!</w:t>
            </w:r>
          </w:p>
        </w:tc>
        <w:tc>
          <w:tcPr>
            <w:tcW w:w="3900" w:type="dxa"/>
            <w:shd w:val="clear" w:color="auto" w:fill="F4F7F9"/>
            <w:tcMar>
              <w:top w:w="60" w:type="dxa"/>
              <w:left w:w="120" w:type="dxa"/>
              <w:bottom w:w="60" w:type="dxa"/>
              <w:right w:w="120" w:type="dxa"/>
            </w:tcMar>
            <w:vAlign w:val="center"/>
          </w:tcPr>
          <w:p w14:paraId="22947231" w14:textId="77777777" w:rsidR="002A268E" w:rsidRDefault="002A268E" w:rsidP="001730CB">
            <w:pPr>
              <w:rPr>
                <w:color w:val="3C5A66"/>
                <w:sz w:val="18"/>
                <w:szCs w:val="18"/>
              </w:rPr>
            </w:pPr>
            <w:r>
              <w:rPr>
                <w:color w:val="3C5A66"/>
                <w:sz w:val="18"/>
                <w:szCs w:val="18"/>
              </w:rPr>
              <w:t>Lab credential — change in production</w:t>
            </w:r>
          </w:p>
        </w:tc>
      </w:tr>
      <w:tr w:rsidR="002A268E" w14:paraId="1DF725C2" w14:textId="77777777" w:rsidTr="001730CB">
        <w:tc>
          <w:tcPr>
            <w:tcW w:w="2160" w:type="dxa"/>
            <w:shd w:val="clear" w:color="auto" w:fill="FFFFFF"/>
            <w:tcMar>
              <w:top w:w="60" w:type="dxa"/>
              <w:left w:w="120" w:type="dxa"/>
              <w:bottom w:w="60" w:type="dxa"/>
              <w:right w:w="120" w:type="dxa"/>
            </w:tcMar>
            <w:vAlign w:val="center"/>
          </w:tcPr>
          <w:p w14:paraId="3A95F57D" w14:textId="77777777" w:rsidR="002A268E" w:rsidRDefault="002A268E" w:rsidP="001730CB">
            <w:pPr>
              <w:rPr>
                <w:b/>
                <w:bCs/>
                <w:color w:val="14333F"/>
                <w:sz w:val="18"/>
                <w:szCs w:val="18"/>
              </w:rPr>
            </w:pPr>
            <w:r>
              <w:rPr>
                <w:b/>
                <w:bCs/>
                <w:color w:val="14333F"/>
                <w:sz w:val="18"/>
                <w:szCs w:val="18"/>
              </w:rPr>
              <w:t>Endpoint</w:t>
            </w:r>
          </w:p>
        </w:tc>
        <w:tc>
          <w:tcPr>
            <w:tcW w:w="3300" w:type="dxa"/>
            <w:shd w:val="clear" w:color="auto" w:fill="FFFFFF"/>
            <w:tcMar>
              <w:top w:w="60" w:type="dxa"/>
              <w:left w:w="120" w:type="dxa"/>
              <w:bottom w:w="60" w:type="dxa"/>
              <w:right w:w="120" w:type="dxa"/>
            </w:tcMar>
            <w:vAlign w:val="center"/>
          </w:tcPr>
          <w:p w14:paraId="25F786BE" w14:textId="77777777" w:rsidR="002A268E" w:rsidRDefault="002A268E" w:rsidP="001730CB">
            <w:pPr>
              <w:rPr>
                <w:rFonts w:ascii="Consolas" w:hAnsi="Consolas" w:cs="Consolas"/>
                <w:color w:val="3C5A66"/>
                <w:sz w:val="18"/>
                <w:szCs w:val="18"/>
              </w:rPr>
            </w:pPr>
            <w:r>
              <w:rPr>
                <w:rFonts w:ascii="Consolas" w:hAnsi="Consolas" w:cs="Consolas"/>
                <w:color w:val="3C5A66"/>
                <w:sz w:val="18"/>
                <w:szCs w:val="18"/>
              </w:rPr>
              <w:t>http://192.168.1.200:9000</w:t>
            </w:r>
          </w:p>
        </w:tc>
        <w:tc>
          <w:tcPr>
            <w:tcW w:w="3900" w:type="dxa"/>
            <w:shd w:val="clear" w:color="auto" w:fill="FFFFFF"/>
            <w:tcMar>
              <w:top w:w="60" w:type="dxa"/>
              <w:left w:w="120" w:type="dxa"/>
              <w:bottom w:w="60" w:type="dxa"/>
              <w:right w:w="120" w:type="dxa"/>
            </w:tcMar>
            <w:vAlign w:val="center"/>
          </w:tcPr>
          <w:p w14:paraId="23F8E1B2" w14:textId="77777777" w:rsidR="002A268E" w:rsidRDefault="002A268E" w:rsidP="001730CB">
            <w:pPr>
              <w:rPr>
                <w:color w:val="3C5A66"/>
                <w:sz w:val="18"/>
                <w:szCs w:val="18"/>
              </w:rPr>
            </w:pPr>
            <w:r>
              <w:rPr>
                <w:color w:val="3C5A66"/>
                <w:sz w:val="18"/>
                <w:szCs w:val="18"/>
              </w:rPr>
              <w:t xml:space="preserve">Use your VM/host IP, not localhost. An IP forces S3 path-style, which </w:t>
            </w:r>
            <w:proofErr w:type="spellStart"/>
            <w:r>
              <w:rPr>
                <w:color w:val="3C5A66"/>
                <w:sz w:val="18"/>
                <w:szCs w:val="18"/>
              </w:rPr>
              <w:t>MinIO</w:t>
            </w:r>
            <w:proofErr w:type="spellEnd"/>
            <w:r>
              <w:rPr>
                <w:color w:val="3C5A66"/>
                <w:sz w:val="18"/>
                <w:szCs w:val="18"/>
              </w:rPr>
              <w:t xml:space="preserve"> requires (the AWS S3 form has no path-style toggle)</w:t>
            </w:r>
          </w:p>
        </w:tc>
      </w:tr>
      <w:tr w:rsidR="002A268E" w14:paraId="148D5487" w14:textId="77777777" w:rsidTr="001730CB">
        <w:tc>
          <w:tcPr>
            <w:tcW w:w="2160" w:type="dxa"/>
            <w:shd w:val="clear" w:color="auto" w:fill="F4F7F9"/>
            <w:tcMar>
              <w:top w:w="60" w:type="dxa"/>
              <w:left w:w="120" w:type="dxa"/>
              <w:bottom w:w="60" w:type="dxa"/>
              <w:right w:w="120" w:type="dxa"/>
            </w:tcMar>
            <w:vAlign w:val="center"/>
          </w:tcPr>
          <w:p w14:paraId="2D7050E1" w14:textId="77777777" w:rsidR="002A268E" w:rsidRDefault="002A268E" w:rsidP="001730CB">
            <w:pPr>
              <w:rPr>
                <w:b/>
                <w:bCs/>
                <w:color w:val="14333F"/>
                <w:sz w:val="18"/>
                <w:szCs w:val="18"/>
              </w:rPr>
            </w:pPr>
            <w:r>
              <w:rPr>
                <w:b/>
                <w:bCs/>
                <w:color w:val="14333F"/>
                <w:sz w:val="18"/>
                <w:szCs w:val="18"/>
              </w:rPr>
              <w:t>Path</w:t>
            </w:r>
          </w:p>
        </w:tc>
        <w:tc>
          <w:tcPr>
            <w:tcW w:w="3300" w:type="dxa"/>
            <w:shd w:val="clear" w:color="auto" w:fill="F4F7F9"/>
            <w:tcMar>
              <w:top w:w="60" w:type="dxa"/>
              <w:left w:w="120" w:type="dxa"/>
              <w:bottom w:w="60" w:type="dxa"/>
              <w:right w:w="120" w:type="dxa"/>
            </w:tcMar>
            <w:vAlign w:val="center"/>
          </w:tcPr>
          <w:p w14:paraId="48DB9391" w14:textId="77777777" w:rsidR="002A268E" w:rsidRDefault="002A268E" w:rsidP="001730CB">
            <w:pPr>
              <w:rPr>
                <w:rFonts w:ascii="Consolas" w:hAnsi="Consolas" w:cs="Consolas"/>
                <w:color w:val="3C5A66"/>
                <w:sz w:val="18"/>
                <w:szCs w:val="18"/>
              </w:rPr>
            </w:pPr>
            <w:r>
              <w:rPr>
                <w:rFonts w:ascii="Consolas" w:hAnsi="Consolas" w:cs="Consolas"/>
                <w:color w:val="3C5A66"/>
                <w:sz w:val="18"/>
                <w:szCs w:val="18"/>
              </w:rPr>
              <w:t>/</w:t>
            </w:r>
          </w:p>
        </w:tc>
        <w:tc>
          <w:tcPr>
            <w:tcW w:w="3900" w:type="dxa"/>
            <w:shd w:val="clear" w:color="auto" w:fill="F4F7F9"/>
            <w:tcMar>
              <w:top w:w="60" w:type="dxa"/>
              <w:left w:w="120" w:type="dxa"/>
              <w:bottom w:w="60" w:type="dxa"/>
              <w:right w:w="120" w:type="dxa"/>
            </w:tcMar>
            <w:vAlign w:val="center"/>
          </w:tcPr>
          <w:p w14:paraId="2AB8F49F" w14:textId="77777777" w:rsidR="002A268E" w:rsidRDefault="002A268E" w:rsidP="001730CB">
            <w:pPr>
              <w:rPr>
                <w:color w:val="3C5A66"/>
                <w:sz w:val="18"/>
                <w:szCs w:val="18"/>
              </w:rPr>
            </w:pPr>
            <w:r>
              <w:rPr>
                <w:color w:val="3C5A66"/>
                <w:sz w:val="18"/>
                <w:szCs w:val="18"/>
              </w:rPr>
              <w:t>Scan the whole bucket from its root</w:t>
            </w:r>
          </w:p>
        </w:tc>
      </w:tr>
    </w:tbl>
    <w:p w14:paraId="79128571" w14:textId="77777777" w:rsidR="002A268E" w:rsidRDefault="002A268E" w:rsidP="00C77971">
      <w:pPr>
        <w:keepNext/>
        <w:spacing w:before="160" w:after="60"/>
        <w:rPr>
          <w:b/>
          <w:bCs/>
          <w:color w:val="1C7293"/>
          <w:sz w:val="21"/>
          <w:szCs w:val="21"/>
        </w:rPr>
      </w:pPr>
    </w:p>
    <w:p w14:paraId="5C17DBC6" w14:textId="77777777" w:rsidR="002A268E" w:rsidRDefault="002A268E" w:rsidP="00C77971">
      <w:pPr>
        <w:keepNext/>
        <w:spacing w:before="160" w:after="60"/>
        <w:rPr>
          <w:b/>
          <w:bCs/>
          <w:color w:val="1C7293"/>
          <w:sz w:val="21"/>
          <w:szCs w:val="21"/>
        </w:rPr>
      </w:pPr>
    </w:p>
    <w:p w14:paraId="1C8A9B4C" w14:textId="77777777" w:rsidR="002A268E" w:rsidRDefault="002A268E" w:rsidP="00C77971">
      <w:pPr>
        <w:keepNext/>
        <w:spacing w:before="160" w:after="60"/>
        <w:rPr>
          <w:b/>
          <w:bCs/>
          <w:color w:val="1C7293"/>
          <w:sz w:val="21"/>
          <w:szCs w:val="21"/>
        </w:rPr>
      </w:pPr>
    </w:p>
    <w:p w14:paraId="6B1AED87" w14:textId="77777777" w:rsidR="002A268E" w:rsidRDefault="002A268E" w:rsidP="00C77971">
      <w:pPr>
        <w:keepNext/>
        <w:spacing w:before="160" w:after="60"/>
        <w:rPr>
          <w:b/>
          <w:bCs/>
          <w:color w:val="1C7293"/>
          <w:sz w:val="21"/>
          <w:szCs w:val="21"/>
        </w:rPr>
      </w:pPr>
    </w:p>
    <w:p w14:paraId="492101D7" w14:textId="77777777" w:rsidR="00C77971" w:rsidRDefault="00C77971" w:rsidP="00C77971">
      <w:pPr>
        <w:pStyle w:val="Heading1"/>
        <w:rPr>
          <w:noProof/>
        </w:rPr>
      </w:pPr>
    </w:p>
    <w:p w14:paraId="12507AC9" w14:textId="77777777" w:rsidR="00B156BE" w:rsidRDefault="00B156BE" w:rsidP="00C77971">
      <w:pPr>
        <w:pStyle w:val="Heading1"/>
        <w:rPr>
          <w:noProof/>
        </w:rPr>
      </w:pPr>
    </w:p>
    <w:p w14:paraId="34833727" w14:textId="77777777" w:rsidR="00B156BE" w:rsidRDefault="00B156BE" w:rsidP="00C77971">
      <w:pPr>
        <w:pStyle w:val="Heading1"/>
        <w:rPr>
          <w:noProof/>
        </w:rPr>
      </w:pPr>
    </w:p>
    <w:p w14:paraId="28E7AD9C" w14:textId="77777777" w:rsidR="00B156BE" w:rsidRDefault="00B156BE" w:rsidP="00C77971">
      <w:pPr>
        <w:pStyle w:val="Heading1"/>
        <w:rPr>
          <w:noProof/>
        </w:rPr>
      </w:pPr>
    </w:p>
    <w:p w14:paraId="5AFBF65D" w14:textId="77777777" w:rsidR="00B156BE" w:rsidRDefault="00B156BE" w:rsidP="00C77971">
      <w:pPr>
        <w:pStyle w:val="Heading1"/>
        <w:rPr>
          <w:noProof/>
        </w:rPr>
      </w:pPr>
    </w:p>
    <w:p w14:paraId="0F272C93" w14:textId="77777777" w:rsidR="00B156BE" w:rsidRDefault="00B156BE" w:rsidP="00C77971">
      <w:pPr>
        <w:pStyle w:val="Heading1"/>
      </w:pPr>
    </w:p>
    <w:p w14:paraId="6CE5AE42" w14:textId="77777777" w:rsidR="00FB412F" w:rsidRDefault="00FB412F">
      <w:pPr>
        <w:pStyle w:val="Heading1"/>
        <w:rPr>
          <w:b w:val="0"/>
          <w:bCs w:val="0"/>
          <w:color w:val="auto"/>
          <w:sz w:val="22"/>
          <w:szCs w:val="22"/>
        </w:rPr>
      </w:pPr>
    </w:p>
    <w:p w14:paraId="7E0C39D2" w14:textId="77777777" w:rsidR="008D3CFE" w:rsidRDefault="00605B5A">
      <w:pPr>
        <w:pStyle w:val="Heading1"/>
      </w:pPr>
      <w:r>
        <w:lastRenderedPageBreak/>
        <w:t>Step</w:t>
      </w:r>
      <w:r w:rsidR="00B156BE">
        <w:t>-</w:t>
      </w:r>
      <w:r>
        <w:t>by</w:t>
      </w:r>
      <w:r w:rsidR="00B156BE">
        <w:t>-</w:t>
      </w:r>
      <w:r>
        <w:t>step</w:t>
      </w:r>
    </w:p>
    <w:p w14:paraId="3613319D" w14:textId="77777777" w:rsidR="008D3CFE" w:rsidRDefault="00605B5A">
      <w:pPr>
        <w:pStyle w:val="Heading2"/>
      </w:pPr>
      <w:r>
        <w:t>Part A — Connect the operational database</w:t>
      </w:r>
    </w:p>
    <w:p w14:paraId="1963257C" w14:textId="77777777" w:rsidR="008D3CFE" w:rsidRDefault="00605B5A">
      <w:pPr>
        <w:pStyle w:val="ListParagraph"/>
        <w:numPr>
          <w:ilvl w:val="0"/>
          <w:numId w:val="3"/>
        </w:numPr>
        <w:spacing w:after="80" w:line="264" w:lineRule="auto"/>
      </w:pPr>
      <w:r>
        <w:t>In the left navigation menu, click Management. The Manage Your Environment page opens.</w:t>
      </w:r>
    </w:p>
    <w:p w14:paraId="0BA1CA89" w14:textId="77777777" w:rsidR="008D3CFE" w:rsidRDefault="00605B5A">
      <w:pPr>
        <w:pStyle w:val="ListParagraph"/>
        <w:numPr>
          <w:ilvl w:val="0"/>
          <w:numId w:val="3"/>
        </w:numPr>
        <w:spacing w:after="80" w:line="264" w:lineRule="auto"/>
      </w:pPr>
      <w:r>
        <w:t>In the Resources card, click Add Data Source. The Create Data Source page opens.</w:t>
      </w:r>
    </w:p>
    <w:p w14:paraId="58E39DFE" w14:textId="77777777" w:rsidR="008D3CFE" w:rsidRDefault="00605B5A">
      <w:pPr>
        <w:pStyle w:val="ListParagraph"/>
        <w:numPr>
          <w:ilvl w:val="0"/>
          <w:numId w:val="3"/>
        </w:numPr>
        <w:spacing w:after="80" w:line="264" w:lineRule="auto"/>
      </w:pPr>
      <w:r>
        <w:t xml:space="preserve">In Data Source Name, enter </w:t>
      </w:r>
      <w:r>
        <w:rPr>
          <w:rFonts w:ascii="Consolas" w:eastAsia="Consolas" w:hAnsi="Consolas" w:cs="Consolas"/>
        </w:rPr>
        <w:t>Arizona_Water_Operations</w:t>
      </w:r>
      <w:r>
        <w:t xml:space="preserve">. Names must start with a letter and contain only letters, digits, and underscores </w:t>
      </w:r>
      <w:r w:rsidR="008A5D10">
        <w:t>—</w:t>
      </w:r>
      <w:r>
        <w:t xml:space="preserve"> spaces are not supported.</w:t>
      </w:r>
    </w:p>
    <w:p w14:paraId="2F310A44" w14:textId="77777777" w:rsidR="008D3CFE" w:rsidRDefault="00605B5A">
      <w:pPr>
        <w:pStyle w:val="ListParagraph"/>
        <w:numPr>
          <w:ilvl w:val="0"/>
          <w:numId w:val="3"/>
        </w:numPr>
        <w:spacing w:after="80" w:line="264" w:lineRule="auto"/>
      </w:pPr>
      <w:r>
        <w:t>In Data Source Type, select PostgreSQL. PDC expands the form with database</w:t>
      </w:r>
      <w:r w:rsidR="00B65D33">
        <w:t>-</w:t>
      </w:r>
      <w:r>
        <w:t>specific fields.</w:t>
      </w:r>
    </w:p>
    <w:p w14:paraId="0763A940" w14:textId="77777777" w:rsidR="008D3CFE" w:rsidRDefault="00605B5A">
      <w:pPr>
        <w:pStyle w:val="ListParagraph"/>
        <w:numPr>
          <w:ilvl w:val="0"/>
          <w:numId w:val="3"/>
        </w:numPr>
        <w:spacing w:after="80" w:line="264" w:lineRule="auto"/>
      </w:pPr>
      <w:r>
        <w:t xml:space="preserve">Enter the connection details: Host </w:t>
      </w:r>
      <w:proofErr w:type="spellStart"/>
      <w:r>
        <w:rPr>
          <w:rFonts w:ascii="Consolas" w:eastAsia="Consolas" w:hAnsi="Consolas" w:cs="Consolas"/>
        </w:rPr>
        <w:t>az</w:t>
      </w:r>
      <w:proofErr w:type="spellEnd"/>
      <w:r w:rsidR="008A5D10">
        <w:rPr>
          <w:rFonts w:ascii="Consolas" w:eastAsia="Consolas" w:hAnsi="Consolas" w:cs="Consolas"/>
        </w:rPr>
        <w:t>—</w:t>
      </w:r>
      <w:r>
        <w:rPr>
          <w:rFonts w:ascii="Consolas" w:eastAsia="Consolas" w:hAnsi="Consolas" w:cs="Consolas"/>
        </w:rPr>
        <w:t>water</w:t>
      </w:r>
      <w:r w:rsidR="008A5D10">
        <w:rPr>
          <w:rFonts w:ascii="Consolas" w:eastAsia="Consolas" w:hAnsi="Consolas" w:cs="Consolas"/>
        </w:rPr>
        <w:t>—</w:t>
      </w:r>
      <w:r>
        <w:rPr>
          <w:rFonts w:ascii="Consolas" w:eastAsia="Consolas" w:hAnsi="Consolas" w:cs="Consolas"/>
        </w:rPr>
        <w:t>postgres</w:t>
      </w:r>
      <w:r>
        <w:t xml:space="preserve"> (or </w:t>
      </w:r>
      <w:r>
        <w:rPr>
          <w:rFonts w:ascii="Consolas" w:eastAsia="Consolas" w:hAnsi="Consolas" w:cs="Consolas"/>
        </w:rPr>
        <w:t>localhost</w:t>
      </w:r>
      <w:r>
        <w:t xml:space="preserve"> if PDC runs on the host), Port </w:t>
      </w:r>
      <w:r>
        <w:rPr>
          <w:rFonts w:ascii="Consolas" w:eastAsia="Consolas" w:hAnsi="Consolas" w:cs="Consolas"/>
        </w:rPr>
        <w:t>5432</w:t>
      </w:r>
      <w:r>
        <w:t xml:space="preserve">, Database Name </w:t>
      </w:r>
      <w:proofErr w:type="spellStart"/>
      <w:r>
        <w:rPr>
          <w:rFonts w:ascii="Consolas" w:eastAsia="Consolas" w:hAnsi="Consolas" w:cs="Consolas"/>
        </w:rPr>
        <w:t>awc_operations</w:t>
      </w:r>
      <w:proofErr w:type="spellEnd"/>
      <w:r>
        <w:t xml:space="preserve">, User Name </w:t>
      </w:r>
      <w:proofErr w:type="spellStart"/>
      <w:r>
        <w:rPr>
          <w:rFonts w:ascii="Consolas" w:eastAsia="Consolas" w:hAnsi="Consolas" w:cs="Consolas"/>
        </w:rPr>
        <w:t>pdc_user</w:t>
      </w:r>
      <w:proofErr w:type="spellEnd"/>
      <w:r>
        <w:t xml:space="preserve">, Password </w:t>
      </w:r>
      <w:r w:rsidR="00F814CE">
        <w:rPr>
          <w:rFonts w:ascii="Consolas" w:eastAsia="Consolas" w:hAnsi="Consolas" w:cs="Consolas"/>
        </w:rPr>
        <w:t>c</w:t>
      </w:r>
      <w:r w:rsidR="00667F6B">
        <w:rPr>
          <w:rFonts w:ascii="Consolas" w:eastAsia="Consolas" w:hAnsi="Consolas" w:cs="Consolas"/>
        </w:rPr>
        <w:t>atalog</w:t>
      </w:r>
      <w:proofErr w:type="gramStart"/>
      <w:r>
        <w:rPr>
          <w:rFonts w:ascii="Consolas" w:eastAsia="Consolas" w:hAnsi="Consolas" w:cs="Consolas"/>
        </w:rPr>
        <w:t>123!</w:t>
      </w:r>
      <w:r>
        <w:t>.</w:t>
      </w:r>
      <w:proofErr w:type="gramEnd"/>
    </w:p>
    <w:p w14:paraId="1560A7DC" w14:textId="77777777" w:rsidR="00F814CE" w:rsidRDefault="00F814CE" w:rsidP="00F814CE">
      <w:pPr>
        <w:pStyle w:val="ListParagraph"/>
        <w:spacing w:after="80" w:line="264" w:lineRule="auto"/>
      </w:pPr>
      <w:r>
        <w:rPr>
          <w:noProof/>
        </w:rPr>
        <w:drawing>
          <wp:inline distT="0" distB="0" distL="0" distR="0" wp14:anchorId="3928F849" wp14:editId="13B260EA">
            <wp:extent cx="5943600" cy="2887980"/>
            <wp:effectExtent l="0" t="0" r="0" b="7620"/>
            <wp:docPr id="80571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11066" name=""/>
                    <pic:cNvPicPr/>
                  </pic:nvPicPr>
                  <pic:blipFill>
                    <a:blip r:embed="rId9"/>
                    <a:stretch>
                      <a:fillRect/>
                    </a:stretch>
                  </pic:blipFill>
                  <pic:spPr>
                    <a:xfrm>
                      <a:off x="0" y="0"/>
                      <a:ext cx="5943600" cy="2887980"/>
                    </a:xfrm>
                    <a:prstGeom prst="rect">
                      <a:avLst/>
                    </a:prstGeom>
                  </pic:spPr>
                </pic:pic>
              </a:graphicData>
            </a:graphic>
          </wp:inline>
        </w:drawing>
      </w:r>
    </w:p>
    <w:p w14:paraId="381471D2" w14:textId="77777777" w:rsidR="00057988" w:rsidRPr="002A268E" w:rsidRDefault="00F814CE" w:rsidP="00F814CE">
      <w:pPr>
        <w:pStyle w:val="ListParagraph"/>
        <w:spacing w:after="80" w:line="264" w:lineRule="auto"/>
        <w:ind w:left="600"/>
        <w:jc w:val="center"/>
        <w:rPr>
          <w:i/>
          <w:iCs/>
          <w:sz w:val="18"/>
          <w:szCs w:val="18"/>
        </w:rPr>
      </w:pPr>
      <w:r w:rsidRPr="002A268E">
        <w:rPr>
          <w:i/>
          <w:iCs/>
          <w:noProof/>
          <w:sz w:val="18"/>
          <w:szCs w:val="18"/>
        </w:rPr>
        <w:t>AWC Postgres connection</w:t>
      </w:r>
    </w:p>
    <w:p w14:paraId="035F6966" w14:textId="77777777" w:rsidR="00057988" w:rsidRDefault="00057988" w:rsidP="00057988">
      <w:pPr>
        <w:pStyle w:val="ListParagraph"/>
        <w:spacing w:after="80" w:line="264" w:lineRule="auto"/>
        <w:ind w:left="600"/>
      </w:pPr>
    </w:p>
    <w:p w14:paraId="7E5B14F0" w14:textId="77777777" w:rsidR="008D3CFE" w:rsidRDefault="00605B5A">
      <w:pPr>
        <w:pStyle w:val="ListParagraph"/>
        <w:numPr>
          <w:ilvl w:val="0"/>
          <w:numId w:val="3"/>
        </w:numPr>
        <w:spacing w:after="80" w:line="264" w:lineRule="auto"/>
      </w:pPr>
      <w:r>
        <w:t xml:space="preserve">Click Test Connection. Wait for the confirmation message. The source remains OFFLINE until this succeeds </w:t>
      </w:r>
      <w:r w:rsidR="008A5D10">
        <w:t>—</w:t>
      </w:r>
      <w:r>
        <w:t xml:space="preserve"> if it fails, the message tells you what to fix (usually host or credentials).</w:t>
      </w:r>
    </w:p>
    <w:p w14:paraId="073F45CF" w14:textId="77777777" w:rsidR="00011554" w:rsidRDefault="00011554" w:rsidP="00011554">
      <w:pPr>
        <w:spacing w:after="80" w:line="264" w:lineRule="auto"/>
      </w:pPr>
    </w:p>
    <w:p w14:paraId="2165CB2D" w14:textId="77777777" w:rsidR="00F814CE" w:rsidRDefault="00F814CE" w:rsidP="00011554">
      <w:pPr>
        <w:spacing w:after="80" w:line="264" w:lineRule="auto"/>
      </w:pPr>
    </w:p>
    <w:p w14:paraId="593040EF" w14:textId="77777777" w:rsidR="00F814CE" w:rsidRDefault="00F814CE" w:rsidP="00011554">
      <w:pPr>
        <w:spacing w:after="80" w:line="264" w:lineRule="auto"/>
      </w:pPr>
    </w:p>
    <w:p w14:paraId="2B37E485" w14:textId="77777777" w:rsidR="00F814CE" w:rsidRDefault="00F814CE" w:rsidP="00011554">
      <w:pPr>
        <w:spacing w:after="80" w:line="264" w:lineRule="auto"/>
      </w:pPr>
    </w:p>
    <w:p w14:paraId="1A469809" w14:textId="77777777" w:rsidR="00F814CE" w:rsidRDefault="00F814CE" w:rsidP="00011554">
      <w:pPr>
        <w:spacing w:after="80" w:line="264" w:lineRule="auto"/>
      </w:pPr>
    </w:p>
    <w:p w14:paraId="21436351" w14:textId="77777777" w:rsidR="00011554" w:rsidRDefault="00011554" w:rsidP="00011554">
      <w:pPr>
        <w:spacing w:after="80" w:line="264" w:lineRule="auto"/>
      </w:pPr>
    </w:p>
    <w:p w14:paraId="3145F04B" w14:textId="77777777" w:rsidR="00011554" w:rsidRDefault="00011554" w:rsidP="00011554">
      <w:pPr>
        <w:spacing w:after="80" w:line="264" w:lineRule="auto"/>
      </w:pPr>
    </w:p>
    <w:p w14:paraId="63204D3A" w14:textId="77777777" w:rsidR="008D3CFE" w:rsidRDefault="00605B5A">
      <w:pPr>
        <w:pStyle w:val="ListParagraph"/>
        <w:numPr>
          <w:ilvl w:val="0"/>
          <w:numId w:val="3"/>
        </w:numPr>
        <w:spacing w:after="80" w:line="264" w:lineRule="auto"/>
      </w:pPr>
      <w:r>
        <w:lastRenderedPageBreak/>
        <w:t xml:space="preserve">Click Ingest Schema. In the Select schemas dialog, choose the </w:t>
      </w:r>
      <w:proofErr w:type="spellStart"/>
      <w:r>
        <w:t>awc_operations</w:t>
      </w:r>
      <w:proofErr w:type="spellEnd"/>
      <w:r>
        <w:t xml:space="preserve"> schema. You can use include/exclude patterns to filter tables; for this lab, ingest everything in </w:t>
      </w:r>
      <w:proofErr w:type="spellStart"/>
      <w:r>
        <w:t>awc_operations</w:t>
      </w:r>
      <w:proofErr w:type="spellEnd"/>
      <w:r>
        <w:t>.</w:t>
      </w:r>
    </w:p>
    <w:p w14:paraId="693F9E0F" w14:textId="77777777" w:rsidR="00011554" w:rsidRDefault="00011554" w:rsidP="00011554">
      <w:pPr>
        <w:pStyle w:val="ListParagraph"/>
        <w:spacing w:after="80" w:line="264" w:lineRule="auto"/>
        <w:ind w:left="600"/>
      </w:pPr>
      <w:r>
        <w:rPr>
          <w:noProof/>
        </w:rPr>
        <w:drawing>
          <wp:inline distT="0" distB="0" distL="0" distR="0" wp14:anchorId="1C47897B" wp14:editId="05FE9297">
            <wp:extent cx="3829050" cy="2312720"/>
            <wp:effectExtent l="0" t="0" r="0" b="0"/>
            <wp:docPr id="163368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88345" name=""/>
                    <pic:cNvPicPr/>
                  </pic:nvPicPr>
                  <pic:blipFill>
                    <a:blip r:embed="rId10"/>
                    <a:stretch>
                      <a:fillRect/>
                    </a:stretch>
                  </pic:blipFill>
                  <pic:spPr>
                    <a:xfrm>
                      <a:off x="0" y="0"/>
                      <a:ext cx="3859321" cy="2331003"/>
                    </a:xfrm>
                    <a:prstGeom prst="rect">
                      <a:avLst/>
                    </a:prstGeom>
                  </pic:spPr>
                </pic:pic>
              </a:graphicData>
            </a:graphic>
          </wp:inline>
        </w:drawing>
      </w:r>
    </w:p>
    <w:p w14:paraId="489F862E" w14:textId="77777777" w:rsidR="00F814CE" w:rsidRPr="002A268E" w:rsidRDefault="00F814CE" w:rsidP="00F814CE">
      <w:pPr>
        <w:pStyle w:val="ListParagraph"/>
        <w:spacing w:after="80" w:line="264" w:lineRule="auto"/>
        <w:ind w:left="600"/>
        <w:rPr>
          <w:i/>
          <w:iCs/>
          <w:sz w:val="18"/>
          <w:szCs w:val="18"/>
        </w:rPr>
      </w:pPr>
      <w:r w:rsidRPr="002A268E">
        <w:rPr>
          <w:i/>
          <w:iCs/>
          <w:sz w:val="18"/>
          <w:szCs w:val="18"/>
        </w:rPr>
        <w:t xml:space="preserve">                                            Ingest schema</w:t>
      </w:r>
    </w:p>
    <w:p w14:paraId="2AEB7FA9" w14:textId="77777777" w:rsidR="008D3CFE" w:rsidRDefault="00605B5A">
      <w:pPr>
        <w:pStyle w:val="ListParagraph"/>
        <w:numPr>
          <w:ilvl w:val="0"/>
          <w:numId w:val="3"/>
        </w:numPr>
        <w:spacing w:after="80" w:line="264" w:lineRule="auto"/>
      </w:pPr>
      <w:r>
        <w:t xml:space="preserve">Click Ingest, then Create Data Source. PDC loads the six tables and their columns as </w:t>
      </w:r>
      <w:r w:rsidR="00667F6B">
        <w:t>Catalog</w:t>
      </w:r>
      <w:r>
        <w:t xml:space="preserve">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3CFE" w14:paraId="76CF660E" w14:textId="77777777">
        <w:tc>
          <w:tcPr>
            <w:tcW w:w="9360" w:type="dxa"/>
            <w:tcBorders>
              <w:top w:val="single" w:sz="1" w:space="0" w:color="EEF6FA"/>
              <w:left w:val="single" w:sz="12" w:space="0" w:color="1B998B"/>
              <w:bottom w:val="single" w:sz="1" w:space="0" w:color="EEF6FA"/>
              <w:right w:val="single" w:sz="1" w:space="0" w:color="EEF6FA"/>
            </w:tcBorders>
            <w:shd w:val="clear" w:color="auto" w:fill="EEF6FA"/>
            <w:tcMar>
              <w:top w:w="140" w:type="dxa"/>
              <w:left w:w="200" w:type="dxa"/>
              <w:bottom w:w="140" w:type="dxa"/>
              <w:right w:w="200" w:type="dxa"/>
            </w:tcMar>
          </w:tcPr>
          <w:p w14:paraId="278D2DEB" w14:textId="77777777" w:rsidR="008D3CFE" w:rsidRDefault="00605B5A">
            <w:pPr>
              <w:spacing w:after="60"/>
            </w:pPr>
            <w:r>
              <w:rPr>
                <w:b/>
                <w:bCs/>
                <w:color w:val="1B998B"/>
                <w:sz w:val="21"/>
                <w:szCs w:val="21"/>
              </w:rPr>
              <w:t>Why a read</w:t>
            </w:r>
            <w:r w:rsidR="008A5D10">
              <w:rPr>
                <w:b/>
                <w:bCs/>
                <w:color w:val="1B998B"/>
                <w:sz w:val="21"/>
                <w:szCs w:val="21"/>
              </w:rPr>
              <w:t>—</w:t>
            </w:r>
            <w:r>
              <w:rPr>
                <w:b/>
                <w:bCs/>
                <w:color w:val="1B998B"/>
                <w:sz w:val="21"/>
                <w:szCs w:val="21"/>
              </w:rPr>
              <w:t>only user?</w:t>
            </w:r>
          </w:p>
          <w:p w14:paraId="6E275AB3" w14:textId="77777777" w:rsidR="008D3CFE" w:rsidRDefault="00605B5A">
            <w:pPr>
              <w:spacing w:after="120" w:line="276" w:lineRule="auto"/>
            </w:pPr>
            <w:r>
              <w:t xml:space="preserve">You are connecting as </w:t>
            </w:r>
            <w:proofErr w:type="spellStart"/>
            <w:r>
              <w:t>pdc_user</w:t>
            </w:r>
            <w:proofErr w:type="spellEnd"/>
            <w:r>
              <w:t xml:space="preserve">, which has only CONNECT, USAGE, and SELECT. The </w:t>
            </w:r>
            <w:r w:rsidR="00667F6B">
              <w:t>Catalog</w:t>
            </w:r>
            <w:r>
              <w:t xml:space="preserve"> only ever needs to read </w:t>
            </w:r>
            <w:r w:rsidR="008A5D10">
              <w:t>—</w:t>
            </w:r>
            <w:r>
              <w:t xml:space="preserve"> it profiles and describes data, it never changes it. Using a least</w:t>
            </w:r>
            <w:r w:rsidR="00B65D33">
              <w:t>-</w:t>
            </w:r>
            <w:r>
              <w:t xml:space="preserve">privilege user means the </w:t>
            </w:r>
            <w:r w:rsidR="00667F6B">
              <w:t>Catalog</w:t>
            </w:r>
            <w:r>
              <w:t xml:space="preserve"> literally cannot modify AWC’s billing or customer records, which is exactly the separation of duties Workshop 4 will discuss. Good governance starts at the connection screen.</w:t>
            </w:r>
          </w:p>
        </w:tc>
      </w:tr>
    </w:tbl>
    <w:p w14:paraId="0D8B2FFC" w14:textId="77777777" w:rsidR="00221817" w:rsidRDefault="00221817">
      <w:pPr>
        <w:pStyle w:val="Heading2"/>
      </w:pPr>
    </w:p>
    <w:p w14:paraId="2FBC84A1" w14:textId="77777777" w:rsidR="00221817" w:rsidRDefault="00221817">
      <w:pPr>
        <w:pStyle w:val="Heading2"/>
      </w:pPr>
    </w:p>
    <w:p w14:paraId="6E38E329" w14:textId="77777777" w:rsidR="00221817" w:rsidRDefault="00221817">
      <w:pPr>
        <w:pStyle w:val="Heading2"/>
      </w:pPr>
    </w:p>
    <w:p w14:paraId="176F9176" w14:textId="77777777" w:rsidR="00FB412F" w:rsidRDefault="00FB412F">
      <w:pPr>
        <w:pStyle w:val="Heading2"/>
      </w:pPr>
    </w:p>
    <w:p w14:paraId="2E2C0F32" w14:textId="77777777" w:rsidR="00FB412F" w:rsidRDefault="00FB412F">
      <w:pPr>
        <w:pStyle w:val="Heading2"/>
      </w:pPr>
    </w:p>
    <w:p w14:paraId="6B4FB4E6" w14:textId="77777777" w:rsidR="00FB412F" w:rsidRDefault="00FB412F">
      <w:pPr>
        <w:pStyle w:val="Heading2"/>
      </w:pPr>
    </w:p>
    <w:p w14:paraId="6BDBBD2F" w14:textId="77777777" w:rsidR="00F814CE" w:rsidRDefault="00F814CE">
      <w:pPr>
        <w:pStyle w:val="Heading2"/>
      </w:pPr>
    </w:p>
    <w:p w14:paraId="67F5A7FC" w14:textId="77777777" w:rsidR="00F814CE" w:rsidRDefault="00F814CE">
      <w:pPr>
        <w:pStyle w:val="Heading2"/>
      </w:pPr>
    </w:p>
    <w:p w14:paraId="563A6EC0" w14:textId="77777777" w:rsidR="00FB412F" w:rsidRDefault="00FB412F">
      <w:pPr>
        <w:pStyle w:val="Heading2"/>
      </w:pPr>
    </w:p>
    <w:p w14:paraId="5D0765D5" w14:textId="77777777" w:rsidR="002A268E" w:rsidRDefault="002A268E">
      <w:pPr>
        <w:pStyle w:val="Heading2"/>
      </w:pPr>
    </w:p>
    <w:p w14:paraId="1AB78D6D" w14:textId="77777777" w:rsidR="008D3CFE" w:rsidRDefault="00605B5A">
      <w:pPr>
        <w:pStyle w:val="Heading2"/>
      </w:pPr>
      <w:r>
        <w:lastRenderedPageBreak/>
        <w:t>Part B — Connect the document store</w:t>
      </w:r>
    </w:p>
    <w:p w14:paraId="0EB941A1" w14:textId="77777777" w:rsidR="008D3CFE" w:rsidRDefault="00605B5A">
      <w:pPr>
        <w:spacing w:after="120" w:line="276" w:lineRule="auto"/>
      </w:pPr>
      <w:proofErr w:type="spellStart"/>
      <w:r>
        <w:t>MinIO</w:t>
      </w:r>
      <w:proofErr w:type="spellEnd"/>
      <w:r>
        <w:t xml:space="preserve"> is an S3</w:t>
      </w:r>
      <w:r w:rsidR="00C227E9">
        <w:t>-</w:t>
      </w:r>
      <w:r>
        <w:t>compatible object store, already running in the lab stack. PDC connects to it as an object</w:t>
      </w:r>
      <w:r w:rsidR="00C227E9">
        <w:t>-</w:t>
      </w:r>
      <w:r>
        <w:t>store data source — a different on</w:t>
      </w:r>
      <w:r w:rsidR="00C227E9">
        <w:t>-</w:t>
      </w:r>
      <w:r>
        <w:t>ramp from the database.</w:t>
      </w:r>
    </w:p>
    <w:p w14:paraId="74176559" w14:textId="77777777" w:rsidR="008D3CFE" w:rsidRDefault="00605B5A" w:rsidP="00011554">
      <w:pPr>
        <w:pStyle w:val="ListParagraph"/>
        <w:numPr>
          <w:ilvl w:val="0"/>
          <w:numId w:val="5"/>
        </w:numPr>
        <w:spacing w:after="80" w:line="264" w:lineRule="auto"/>
      </w:pPr>
      <w:r>
        <w:t xml:space="preserve">Back in Management → Resources, click Add Data Source. Name it </w:t>
      </w:r>
      <w:proofErr w:type="spellStart"/>
      <w:r>
        <w:rPr>
          <w:rFonts w:ascii="Consolas" w:eastAsia="Consolas" w:hAnsi="Consolas" w:cs="Consolas"/>
        </w:rPr>
        <w:t>Arizona_Water_Documents</w:t>
      </w:r>
      <w:proofErr w:type="spellEnd"/>
      <w:r>
        <w:t>.</w:t>
      </w:r>
    </w:p>
    <w:p w14:paraId="4097F973" w14:textId="77777777" w:rsidR="008D3CFE" w:rsidRDefault="00605B5A" w:rsidP="00011554">
      <w:pPr>
        <w:pStyle w:val="ListParagraph"/>
        <w:numPr>
          <w:ilvl w:val="0"/>
          <w:numId w:val="5"/>
        </w:numPr>
        <w:spacing w:after="80" w:line="264" w:lineRule="auto"/>
      </w:pPr>
      <w:r>
        <w:t>In Data Source Type, select the S3</w:t>
      </w:r>
      <w:r w:rsidR="00B65D33">
        <w:t>-</w:t>
      </w:r>
      <w:r>
        <w:t>compatible / object</w:t>
      </w:r>
      <w:r w:rsidR="00B65D33">
        <w:t>-</w:t>
      </w:r>
      <w:r>
        <w:t>store type. The form changes to ask for bucket details rather than a database name.</w:t>
      </w:r>
    </w:p>
    <w:p w14:paraId="21497CD5" w14:textId="77777777" w:rsidR="008D3CFE" w:rsidRDefault="00605B5A" w:rsidP="00011554">
      <w:pPr>
        <w:pStyle w:val="ListParagraph"/>
        <w:numPr>
          <w:ilvl w:val="0"/>
          <w:numId w:val="5"/>
        </w:numPr>
        <w:spacing w:after="80" w:line="264" w:lineRule="auto"/>
      </w:pPr>
      <w:r>
        <w:t xml:space="preserve">Enter: Endpoint </w:t>
      </w:r>
      <w:r>
        <w:rPr>
          <w:rFonts w:ascii="Consolas" w:eastAsia="Consolas" w:hAnsi="Consolas" w:cs="Consolas"/>
        </w:rPr>
        <w:t>http://192.168.1.200:9000</w:t>
      </w:r>
      <w:r>
        <w:t xml:space="preserve">, Access Key </w:t>
      </w:r>
      <w:proofErr w:type="spellStart"/>
      <w:r>
        <w:rPr>
          <w:rFonts w:ascii="Consolas" w:eastAsia="Consolas" w:hAnsi="Consolas" w:cs="Consolas"/>
        </w:rPr>
        <w:t>awc_minio_user</w:t>
      </w:r>
      <w:proofErr w:type="spellEnd"/>
      <w:r>
        <w:t xml:space="preserve">, Secret Key </w:t>
      </w:r>
      <w:r>
        <w:rPr>
          <w:rFonts w:ascii="Consolas" w:eastAsia="Consolas" w:hAnsi="Consolas" w:cs="Consolas"/>
        </w:rPr>
        <w:t>minio_secret_</w:t>
      </w:r>
      <w:proofErr w:type="gramStart"/>
      <w:r>
        <w:rPr>
          <w:rFonts w:ascii="Consolas" w:eastAsia="Consolas" w:hAnsi="Consolas" w:cs="Consolas"/>
        </w:rPr>
        <w:t>123!</w:t>
      </w:r>
      <w:r>
        <w:t>,</w:t>
      </w:r>
      <w:proofErr w:type="gramEnd"/>
      <w:r>
        <w:t xml:space="preserve"> Bucket </w:t>
      </w:r>
      <w:proofErr w:type="spellStart"/>
      <w:r>
        <w:rPr>
          <w:rFonts w:ascii="Consolas" w:eastAsia="Consolas" w:hAnsi="Consolas" w:cs="Consolas"/>
        </w:rPr>
        <w:t>awc</w:t>
      </w:r>
      <w:proofErr w:type="spellEnd"/>
      <w:r w:rsidR="00B65D33">
        <w:rPr>
          <w:rFonts w:ascii="Consolas" w:eastAsia="Consolas" w:hAnsi="Consolas" w:cs="Consolas"/>
        </w:rPr>
        <w:t>-</w:t>
      </w:r>
      <w:r>
        <w:rPr>
          <w:rFonts w:ascii="Consolas" w:eastAsia="Consolas" w:hAnsi="Consolas" w:cs="Consolas"/>
        </w:rPr>
        <w:t>documents</w:t>
      </w:r>
      <w:r>
        <w:t>. Use your VM/host IP for the Endpoint (here 192.168.1.200), not localhost — from inside the PDC container localhost is PDC itself, and an IP endpoint forces S3 path</w:t>
      </w:r>
      <w:r w:rsidR="00B65D33">
        <w:t>-</w:t>
      </w:r>
      <w:r>
        <w:t xml:space="preserve">style, which </w:t>
      </w:r>
      <w:proofErr w:type="spellStart"/>
      <w:r>
        <w:t>MinIO</w:t>
      </w:r>
      <w:proofErr w:type="spellEnd"/>
      <w:r>
        <w:t xml:space="preserve"> requires. The AWS S3 form has no path</w:t>
      </w:r>
      <w:r w:rsidR="00B65D33">
        <w:t>-</w:t>
      </w:r>
      <w:r>
        <w:t>style toggle, so the IP is what makes it work.</w:t>
      </w:r>
    </w:p>
    <w:p w14:paraId="1B46B8DE" w14:textId="77777777" w:rsidR="00F814CE" w:rsidRDefault="00F814CE" w:rsidP="00F814CE">
      <w:pPr>
        <w:pStyle w:val="ListParagraph"/>
        <w:spacing w:after="80" w:line="264" w:lineRule="auto"/>
      </w:pPr>
      <w:r>
        <w:rPr>
          <w:noProof/>
        </w:rPr>
        <w:drawing>
          <wp:inline distT="0" distB="0" distL="0" distR="0" wp14:anchorId="2C7CD684" wp14:editId="7E748044">
            <wp:extent cx="5943600" cy="4191000"/>
            <wp:effectExtent l="0" t="0" r="0" b="0"/>
            <wp:docPr id="84873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39368" name=""/>
                    <pic:cNvPicPr/>
                  </pic:nvPicPr>
                  <pic:blipFill>
                    <a:blip r:embed="rId11"/>
                    <a:stretch>
                      <a:fillRect/>
                    </a:stretch>
                  </pic:blipFill>
                  <pic:spPr>
                    <a:xfrm>
                      <a:off x="0" y="0"/>
                      <a:ext cx="5943600" cy="4191000"/>
                    </a:xfrm>
                    <a:prstGeom prst="rect">
                      <a:avLst/>
                    </a:prstGeom>
                  </pic:spPr>
                </pic:pic>
              </a:graphicData>
            </a:graphic>
          </wp:inline>
        </w:drawing>
      </w:r>
    </w:p>
    <w:p w14:paraId="032EED0D" w14:textId="77777777" w:rsidR="00F814CE" w:rsidRPr="002A268E" w:rsidRDefault="00F814CE" w:rsidP="00F814CE">
      <w:pPr>
        <w:pStyle w:val="ListParagraph"/>
        <w:spacing w:after="80" w:line="264" w:lineRule="auto"/>
        <w:jc w:val="center"/>
        <w:rPr>
          <w:i/>
          <w:iCs/>
          <w:sz w:val="18"/>
          <w:szCs w:val="18"/>
        </w:rPr>
      </w:pPr>
      <w:r w:rsidRPr="002A268E">
        <w:rPr>
          <w:i/>
          <w:iCs/>
          <w:sz w:val="18"/>
          <w:szCs w:val="18"/>
        </w:rPr>
        <w:t xml:space="preserve">AWC </w:t>
      </w:r>
      <w:r w:rsidR="00B65D33" w:rsidRPr="002A268E">
        <w:rPr>
          <w:i/>
          <w:iCs/>
          <w:sz w:val="18"/>
          <w:szCs w:val="18"/>
        </w:rPr>
        <w:t>-</w:t>
      </w:r>
      <w:r w:rsidRPr="002A268E">
        <w:rPr>
          <w:i/>
          <w:iCs/>
          <w:sz w:val="18"/>
          <w:szCs w:val="18"/>
        </w:rPr>
        <w:t xml:space="preserve"> </w:t>
      </w:r>
      <w:proofErr w:type="spellStart"/>
      <w:r w:rsidRPr="002A268E">
        <w:rPr>
          <w:i/>
          <w:iCs/>
          <w:sz w:val="18"/>
          <w:szCs w:val="18"/>
        </w:rPr>
        <w:t>minIO</w:t>
      </w:r>
      <w:proofErr w:type="spellEnd"/>
      <w:r w:rsidRPr="002A268E">
        <w:rPr>
          <w:i/>
          <w:iCs/>
          <w:sz w:val="18"/>
          <w:szCs w:val="18"/>
        </w:rPr>
        <w:t xml:space="preserve"> connection</w:t>
      </w:r>
    </w:p>
    <w:p w14:paraId="3A48BB61" w14:textId="77777777" w:rsidR="008D3CFE" w:rsidRDefault="00605B5A" w:rsidP="00011554">
      <w:pPr>
        <w:pStyle w:val="ListParagraph"/>
        <w:numPr>
          <w:ilvl w:val="0"/>
          <w:numId w:val="5"/>
        </w:numPr>
        <w:spacing w:after="80" w:line="264" w:lineRule="auto"/>
      </w:pPr>
      <w:r>
        <w:t>Click Test Connection. As with the database, the source stays OFFLINE until the test passes.</w:t>
      </w:r>
    </w:p>
    <w:p w14:paraId="13493FCD" w14:textId="77777777" w:rsidR="00F814CE" w:rsidRDefault="00F814CE" w:rsidP="00F814CE">
      <w:pPr>
        <w:pStyle w:val="ListParagraph"/>
        <w:spacing w:after="80" w:line="264" w:lineRule="auto"/>
        <w:ind w:left="600"/>
      </w:pPr>
    </w:p>
    <w:p w14:paraId="7C21517E" w14:textId="77777777" w:rsidR="00F814CE" w:rsidRDefault="00F814CE" w:rsidP="00F814CE">
      <w:pPr>
        <w:pStyle w:val="ListParagraph"/>
        <w:spacing w:after="80" w:line="264" w:lineRule="auto"/>
        <w:ind w:left="600"/>
      </w:pPr>
    </w:p>
    <w:p w14:paraId="25404D8E" w14:textId="77777777" w:rsidR="008D3CFE" w:rsidRDefault="00605B5A" w:rsidP="00011554">
      <w:pPr>
        <w:pStyle w:val="ListParagraph"/>
        <w:numPr>
          <w:ilvl w:val="0"/>
          <w:numId w:val="5"/>
        </w:numPr>
        <w:spacing w:after="80" w:line="264" w:lineRule="auto"/>
      </w:pPr>
      <w:r>
        <w:lastRenderedPageBreak/>
        <w:t>Click Scan Files. In the Scan Files dialog, accept the defaults for a first full scan. Note the options for later: Incremental Ingest (12 hours to 3 months), Include/Exclude patterns to scope folders, and Delete Empty Folders.</w:t>
      </w:r>
    </w:p>
    <w:p w14:paraId="2EEC00F3" w14:textId="77777777" w:rsidR="00011554" w:rsidRDefault="00011554" w:rsidP="00011554">
      <w:pPr>
        <w:pStyle w:val="ListParagraph"/>
        <w:spacing w:after="80" w:line="264" w:lineRule="auto"/>
        <w:ind w:left="600"/>
      </w:pPr>
      <w:r>
        <w:rPr>
          <w:noProof/>
        </w:rPr>
        <w:drawing>
          <wp:inline distT="0" distB="0" distL="0" distR="0" wp14:anchorId="54FAB0B0" wp14:editId="333CC9BC">
            <wp:extent cx="5498982" cy="3714750"/>
            <wp:effectExtent l="0" t="0" r="6985" b="0"/>
            <wp:docPr id="195008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3436" name=""/>
                    <pic:cNvPicPr/>
                  </pic:nvPicPr>
                  <pic:blipFill>
                    <a:blip r:embed="rId12"/>
                    <a:stretch>
                      <a:fillRect/>
                    </a:stretch>
                  </pic:blipFill>
                  <pic:spPr>
                    <a:xfrm>
                      <a:off x="0" y="0"/>
                      <a:ext cx="5513577" cy="3724610"/>
                    </a:xfrm>
                    <a:prstGeom prst="rect">
                      <a:avLst/>
                    </a:prstGeom>
                  </pic:spPr>
                </pic:pic>
              </a:graphicData>
            </a:graphic>
          </wp:inline>
        </w:drawing>
      </w:r>
    </w:p>
    <w:p w14:paraId="01A7254A" w14:textId="7B37DB8E" w:rsidR="002A268E" w:rsidRPr="002A268E" w:rsidRDefault="002A268E" w:rsidP="002A268E">
      <w:pPr>
        <w:pStyle w:val="ListParagraph"/>
        <w:spacing w:after="80" w:line="264" w:lineRule="auto"/>
        <w:ind w:left="600"/>
        <w:jc w:val="center"/>
        <w:rPr>
          <w:i/>
          <w:iCs/>
          <w:sz w:val="18"/>
          <w:szCs w:val="18"/>
        </w:rPr>
      </w:pPr>
      <w:r w:rsidRPr="002A268E">
        <w:rPr>
          <w:i/>
          <w:iCs/>
          <w:sz w:val="18"/>
          <w:szCs w:val="18"/>
        </w:rPr>
        <w:t>Scan files</w:t>
      </w:r>
    </w:p>
    <w:p w14:paraId="2EED453E" w14:textId="77777777" w:rsidR="008D3CFE" w:rsidRDefault="00605B5A" w:rsidP="00011554">
      <w:pPr>
        <w:pStyle w:val="ListParagraph"/>
        <w:numPr>
          <w:ilvl w:val="0"/>
          <w:numId w:val="5"/>
        </w:numPr>
        <w:spacing w:after="80" w:line="264" w:lineRule="auto"/>
      </w:pPr>
      <w:r>
        <w:t xml:space="preserve">Monitor progress on the Workers page. When the scan completes, the </w:t>
      </w:r>
      <w:proofErr w:type="spellStart"/>
      <w:r>
        <w:t>awc</w:t>
      </w:r>
      <w:proofErr w:type="spellEnd"/>
      <w:r w:rsidR="00B65D33">
        <w:t>-</w:t>
      </w:r>
      <w:r>
        <w:t>documents folders appear in the Data Canvas next to the database tables.</w:t>
      </w:r>
    </w:p>
    <w:p w14:paraId="5F8622A1" w14:textId="77777777" w:rsidR="00011554" w:rsidRDefault="00011554" w:rsidP="00011554">
      <w:pPr>
        <w:spacing w:after="80" w:line="264" w:lineRule="auto"/>
      </w:pPr>
    </w:p>
    <w:p w14:paraId="37EB62CA" w14:textId="77777777" w:rsidR="00011554" w:rsidRDefault="00011554" w:rsidP="00011554">
      <w:pPr>
        <w:spacing w:after="80" w:line="264" w:lineRule="auto"/>
      </w:pPr>
    </w:p>
    <w:p w14:paraId="5C39B33A" w14:textId="77777777" w:rsidR="00011554" w:rsidRDefault="00011554" w:rsidP="00011554">
      <w:pPr>
        <w:spacing w:after="80" w:line="264" w:lineRule="auto"/>
      </w:pPr>
    </w:p>
    <w:p w14:paraId="2C9D9BBA" w14:textId="77777777" w:rsidR="00011554" w:rsidRDefault="00011554" w:rsidP="00011554">
      <w:pPr>
        <w:spacing w:after="80" w:line="264" w:lineRule="auto"/>
      </w:pPr>
    </w:p>
    <w:p w14:paraId="356BF860" w14:textId="77777777" w:rsidR="00011554" w:rsidRDefault="00011554" w:rsidP="00011554">
      <w:pPr>
        <w:spacing w:after="80" w:line="264" w:lineRule="auto"/>
      </w:pPr>
    </w:p>
    <w:p w14:paraId="0A24517F" w14:textId="77777777" w:rsidR="00011554" w:rsidRDefault="00011554" w:rsidP="00011554">
      <w:pPr>
        <w:spacing w:after="80" w:line="264" w:lineRule="auto"/>
      </w:pPr>
    </w:p>
    <w:p w14:paraId="2E5727B7" w14:textId="77777777" w:rsidR="00011554" w:rsidRDefault="00011554" w:rsidP="00011554">
      <w:pPr>
        <w:spacing w:after="80" w:line="264" w:lineRule="auto"/>
      </w:pPr>
    </w:p>
    <w:p w14:paraId="609B6242" w14:textId="77777777" w:rsidR="00011554" w:rsidRDefault="00011554" w:rsidP="00011554">
      <w:pPr>
        <w:spacing w:after="80" w:line="264" w:lineRule="auto"/>
      </w:pPr>
    </w:p>
    <w:p w14:paraId="44156275" w14:textId="77777777" w:rsidR="00011554" w:rsidRDefault="00011554" w:rsidP="00011554">
      <w:pPr>
        <w:spacing w:after="80" w:line="264" w:lineRule="auto"/>
      </w:pPr>
    </w:p>
    <w:p w14:paraId="036EEC3D" w14:textId="77777777" w:rsidR="00F814CE" w:rsidRDefault="00F814CE" w:rsidP="00011554">
      <w:pPr>
        <w:spacing w:after="80" w:line="264" w:lineRule="auto"/>
      </w:pPr>
    </w:p>
    <w:p w14:paraId="51698972" w14:textId="77777777" w:rsidR="00011554" w:rsidRDefault="00011554" w:rsidP="00011554">
      <w:pPr>
        <w:spacing w:after="80" w:line="264" w:lineRule="auto"/>
      </w:pPr>
    </w:p>
    <w:p w14:paraId="58CAB779" w14:textId="77777777" w:rsidR="00011554" w:rsidRDefault="00011554" w:rsidP="00011554">
      <w:pPr>
        <w:spacing w:after="80" w:line="264" w:lineRule="auto"/>
      </w:pPr>
    </w:p>
    <w:p w14:paraId="73ED8DB9" w14:textId="77777777" w:rsidR="00011554" w:rsidRDefault="00011554" w:rsidP="00011554">
      <w:pPr>
        <w:spacing w:after="80" w:line="264" w:lineRule="auto"/>
      </w:pPr>
    </w:p>
    <w:p w14:paraId="1A5A0197" w14:textId="77777777" w:rsidR="008D3CFE" w:rsidRDefault="00605B5A">
      <w:pPr>
        <w:pStyle w:val="Heading2"/>
      </w:pPr>
      <w:r>
        <w:lastRenderedPageBreak/>
        <w:t>Part C — Preview processing</w:t>
      </w:r>
    </w:p>
    <w:p w14:paraId="09FBCBB6" w14:textId="77777777" w:rsidR="008D3CFE" w:rsidRDefault="00605B5A">
      <w:pPr>
        <w:spacing w:after="120" w:line="276" w:lineRule="auto"/>
      </w:pPr>
      <w:r>
        <w:t>Scanning loads file metadata; processing reads content. You will do this fully in Workshop 3, but preview it now so the two on</w:t>
      </w:r>
      <w:r w:rsidR="00B65D33">
        <w:t>-</w:t>
      </w:r>
      <w:r>
        <w:t>ramps are clear end to end.</w:t>
      </w:r>
    </w:p>
    <w:p w14:paraId="1BC2AE08" w14:textId="77777777" w:rsidR="00011554" w:rsidRDefault="00011554" w:rsidP="00011554">
      <w:pPr>
        <w:pStyle w:val="ListParagraph"/>
        <w:numPr>
          <w:ilvl w:val="0"/>
          <w:numId w:val="6"/>
        </w:numPr>
      </w:pPr>
      <w:r w:rsidRPr="00011554">
        <w:t xml:space="preserve">Run Metadata Ingest first </w:t>
      </w:r>
      <w:r w:rsidR="008A5D10">
        <w:t>—</w:t>
      </w:r>
      <w:r w:rsidRPr="00011554">
        <w:t xml:space="preserve"> it reads the files’ metadata into the </w:t>
      </w:r>
      <w:r w:rsidR="00667F6B">
        <w:t>Catalog</w:t>
      </w:r>
      <w:r w:rsidRPr="00011554">
        <w:t xml:space="preserve">. Then open the Choose Process pane (select the folder, then Process) to see the other jobs PDC 10.2.11 offers: Calculate Trust Score, Data Discovery, Data Identification, and PII Detection. </w:t>
      </w:r>
      <w:r w:rsidR="00835BBF">
        <w:t>We’re going to l</w:t>
      </w:r>
      <w:r w:rsidRPr="00011554">
        <w:t>eave the deeper processing for Workshop 3.</w:t>
      </w:r>
    </w:p>
    <w:p w14:paraId="169B2321" w14:textId="77777777" w:rsidR="006A68F2" w:rsidRDefault="006A68F2" w:rsidP="006A68F2">
      <w:pPr>
        <w:pStyle w:val="ListParagraph"/>
        <w:ind w:left="600"/>
      </w:pPr>
    </w:p>
    <w:p w14:paraId="589F61A2" w14:textId="77777777" w:rsidR="006A68F2" w:rsidRDefault="006A68F2" w:rsidP="006A68F2">
      <w:pPr>
        <w:pStyle w:val="ListParagraph"/>
      </w:pPr>
      <w:r>
        <w:rPr>
          <w:noProof/>
        </w:rPr>
        <w:drawing>
          <wp:inline distT="0" distB="0" distL="0" distR="0" wp14:anchorId="49AEB46F" wp14:editId="02EC2A10">
            <wp:extent cx="5943600" cy="5178425"/>
            <wp:effectExtent l="0" t="0" r="0" b="3175"/>
            <wp:docPr id="184085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51410" name=""/>
                    <pic:cNvPicPr/>
                  </pic:nvPicPr>
                  <pic:blipFill>
                    <a:blip r:embed="rId13"/>
                    <a:stretch>
                      <a:fillRect/>
                    </a:stretch>
                  </pic:blipFill>
                  <pic:spPr>
                    <a:xfrm>
                      <a:off x="0" y="0"/>
                      <a:ext cx="5943600" cy="5178425"/>
                    </a:xfrm>
                    <a:prstGeom prst="rect">
                      <a:avLst/>
                    </a:prstGeom>
                  </pic:spPr>
                </pic:pic>
              </a:graphicData>
            </a:graphic>
          </wp:inline>
        </w:drawing>
      </w:r>
    </w:p>
    <w:p w14:paraId="757169FA" w14:textId="77777777" w:rsidR="00835BBF" w:rsidRDefault="00835BBF" w:rsidP="00835BBF">
      <w:pPr>
        <w:pStyle w:val="ListParagraph"/>
        <w:ind w:left="600"/>
      </w:pPr>
    </w:p>
    <w:p w14:paraId="1AFB8BC4" w14:textId="77777777" w:rsidR="006A68F2" w:rsidRPr="002A268E" w:rsidRDefault="006A68F2" w:rsidP="006A68F2">
      <w:pPr>
        <w:pStyle w:val="ListParagraph"/>
        <w:ind w:left="600"/>
        <w:jc w:val="center"/>
        <w:rPr>
          <w:i/>
          <w:iCs/>
          <w:sz w:val="18"/>
          <w:szCs w:val="18"/>
        </w:rPr>
      </w:pPr>
      <w:r w:rsidRPr="002A268E">
        <w:rPr>
          <w:i/>
          <w:iCs/>
          <w:sz w:val="18"/>
          <w:szCs w:val="18"/>
        </w:rPr>
        <w:t>Process structured</w:t>
      </w:r>
    </w:p>
    <w:p w14:paraId="3F2DA011" w14:textId="77777777" w:rsidR="00FA7A07" w:rsidRDefault="00835BBF" w:rsidP="00FA7A07">
      <w:pPr>
        <w:spacing w:after="80" w:line="264" w:lineRule="auto"/>
      </w:pPr>
      <w:r>
        <w:rPr>
          <w:noProof/>
        </w:rPr>
        <w:lastRenderedPageBreak/>
        <w:drawing>
          <wp:inline distT="0" distB="0" distL="0" distR="0" wp14:anchorId="0FA760E8" wp14:editId="1B5E28C3">
            <wp:extent cx="5943600" cy="4786630"/>
            <wp:effectExtent l="0" t="0" r="0" b="0"/>
            <wp:docPr id="117459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98892" name=""/>
                    <pic:cNvPicPr/>
                  </pic:nvPicPr>
                  <pic:blipFill>
                    <a:blip r:embed="rId14"/>
                    <a:stretch>
                      <a:fillRect/>
                    </a:stretch>
                  </pic:blipFill>
                  <pic:spPr>
                    <a:xfrm>
                      <a:off x="0" y="0"/>
                      <a:ext cx="5943600" cy="4786630"/>
                    </a:xfrm>
                    <a:prstGeom prst="rect">
                      <a:avLst/>
                    </a:prstGeom>
                  </pic:spPr>
                </pic:pic>
              </a:graphicData>
            </a:graphic>
          </wp:inline>
        </w:drawing>
      </w:r>
    </w:p>
    <w:p w14:paraId="5462790D" w14:textId="77777777" w:rsidR="00FA7A07" w:rsidRPr="002A268E" w:rsidRDefault="006A68F2" w:rsidP="006A68F2">
      <w:pPr>
        <w:spacing w:after="80" w:line="264" w:lineRule="auto"/>
        <w:jc w:val="center"/>
        <w:rPr>
          <w:i/>
          <w:iCs/>
          <w:sz w:val="18"/>
          <w:szCs w:val="18"/>
        </w:rPr>
      </w:pPr>
      <w:r w:rsidRPr="002A268E">
        <w:rPr>
          <w:i/>
          <w:iCs/>
          <w:sz w:val="18"/>
          <w:szCs w:val="18"/>
        </w:rPr>
        <w:t>Process Unstructured</w:t>
      </w:r>
    </w:p>
    <w:p w14:paraId="60CACF7F" w14:textId="77777777" w:rsidR="00FA7A07" w:rsidRDefault="00FA7A07" w:rsidP="00FA7A07">
      <w:pPr>
        <w:spacing w:after="80" w:line="264" w:lineRule="auto"/>
      </w:pPr>
    </w:p>
    <w:p w14:paraId="5F872AEE" w14:textId="77777777" w:rsidR="00FA7A07" w:rsidRDefault="00FA7A07" w:rsidP="00FA7A07">
      <w:pPr>
        <w:spacing w:after="80" w:line="264" w:lineRule="auto"/>
      </w:pPr>
    </w:p>
    <w:p w14:paraId="5F86C699" w14:textId="77777777" w:rsidR="00835BBF" w:rsidRDefault="00835BBF" w:rsidP="00FA7A07">
      <w:pPr>
        <w:spacing w:after="80" w:line="264" w:lineRule="auto"/>
      </w:pPr>
    </w:p>
    <w:p w14:paraId="507DC920" w14:textId="77777777" w:rsidR="00FA7A07" w:rsidRDefault="00FA7A07" w:rsidP="00FA7A07">
      <w:pPr>
        <w:spacing w:after="80" w:line="264" w:lineRule="auto"/>
      </w:pPr>
    </w:p>
    <w:p w14:paraId="0499BFE6" w14:textId="77777777" w:rsidR="006A68F2" w:rsidRDefault="006A68F2" w:rsidP="00FA7A07">
      <w:pPr>
        <w:spacing w:after="80" w:line="264" w:lineRule="auto"/>
      </w:pPr>
    </w:p>
    <w:p w14:paraId="196383EB" w14:textId="77777777" w:rsidR="006A68F2" w:rsidRDefault="006A68F2" w:rsidP="00FA7A07">
      <w:pPr>
        <w:spacing w:after="80" w:line="264" w:lineRule="auto"/>
      </w:pPr>
    </w:p>
    <w:p w14:paraId="19C88C0A" w14:textId="77777777" w:rsidR="006A68F2" w:rsidRDefault="006A68F2" w:rsidP="00FA7A07">
      <w:pPr>
        <w:spacing w:after="80" w:line="264" w:lineRule="auto"/>
      </w:pPr>
    </w:p>
    <w:p w14:paraId="3DB121EB" w14:textId="77777777" w:rsidR="006A68F2" w:rsidRDefault="006A68F2" w:rsidP="00FA7A07">
      <w:pPr>
        <w:spacing w:after="80" w:line="264" w:lineRule="auto"/>
      </w:pPr>
    </w:p>
    <w:p w14:paraId="4F6EF662" w14:textId="77777777" w:rsidR="006A68F2" w:rsidRDefault="006A68F2" w:rsidP="00FA7A07">
      <w:pPr>
        <w:spacing w:after="80" w:line="264" w:lineRule="auto"/>
      </w:pPr>
    </w:p>
    <w:p w14:paraId="6EEEE86A" w14:textId="77777777" w:rsidR="006A68F2" w:rsidRDefault="006A68F2" w:rsidP="00FA7A07">
      <w:pPr>
        <w:spacing w:after="80" w:line="264" w:lineRule="auto"/>
      </w:pPr>
    </w:p>
    <w:p w14:paraId="5E570A0A" w14:textId="77777777" w:rsidR="00F558A8" w:rsidRDefault="00381CA3">
      <w:pPr>
        <w:keepNext/>
        <w:spacing w:before="160" w:after="60"/>
      </w:pPr>
      <w:r>
        <w:rPr>
          <w:b/>
          <w:bCs/>
          <w:color w:val="1C7293"/>
          <w:sz w:val="21"/>
          <w:szCs w:val="21"/>
        </w:rPr>
        <w:lastRenderedPageBreak/>
        <w:t>Choose Process: the jobs you can run on the documents</w:t>
      </w:r>
    </w:p>
    <w:p w14:paraId="4C291240" w14:textId="77777777" w:rsidR="00F558A8" w:rsidRDefault="00381CA3">
      <w:pPr>
        <w:spacing w:before="40" w:after="80" w:line="276" w:lineRule="auto"/>
      </w:pPr>
      <w:r>
        <w:t xml:space="preserve">After Metadata Ingest, select the folder and choose Process to open the Choose Process pane. In PDC 10.2.11 it offers the jobs below </w:t>
      </w:r>
      <w:r w:rsidR="008A5D10">
        <w:t>—</w:t>
      </w:r>
      <w:r>
        <w:t xml:space="preserve"> there is no LLM document summarizer in this build. Each job runs on the Workers page and writes its results back onto the asset. You run these in depth in Workshop 3.</w:t>
      </w:r>
    </w:p>
    <w:tbl>
      <w:tblPr>
        <w:tblW w:w="9360" w:type="dxa"/>
        <w:tblBorders>
          <w:top w:val="single" w:sz="4" w:space="0" w:color="CED9DF"/>
          <w:left w:val="single" w:sz="4" w:space="0" w:color="CED9DF"/>
          <w:bottom w:val="single" w:sz="4" w:space="0" w:color="CED9DF"/>
          <w:right w:val="single" w:sz="4" w:space="0" w:color="CED9DF"/>
          <w:insideH w:val="single" w:sz="4" w:space="0" w:color="CED9DF"/>
          <w:insideV w:val="single" w:sz="4" w:space="0" w:color="CED9DF"/>
        </w:tblBorders>
        <w:tblLook w:val="04A0" w:firstRow="1" w:lastRow="0" w:firstColumn="1" w:lastColumn="0" w:noHBand="0" w:noVBand="1"/>
      </w:tblPr>
      <w:tblGrid>
        <w:gridCol w:w="2200"/>
        <w:gridCol w:w="7160"/>
      </w:tblGrid>
      <w:tr w:rsidR="00F558A8" w14:paraId="32CAEA9B" w14:textId="77777777">
        <w:tc>
          <w:tcPr>
            <w:tcW w:w="2200" w:type="dxa"/>
            <w:shd w:val="clear" w:color="auto" w:fill="1C7293"/>
            <w:tcMar>
              <w:top w:w="70" w:type="dxa"/>
              <w:left w:w="120" w:type="dxa"/>
              <w:bottom w:w="70" w:type="dxa"/>
              <w:right w:w="120" w:type="dxa"/>
            </w:tcMar>
            <w:vAlign w:val="center"/>
          </w:tcPr>
          <w:p w14:paraId="5EADFB50" w14:textId="77777777" w:rsidR="00F558A8" w:rsidRDefault="00381CA3">
            <w:pPr>
              <w:spacing w:line="252" w:lineRule="auto"/>
              <w:rPr>
                <w:b/>
                <w:bCs/>
                <w:color w:val="FFFFFF"/>
                <w:sz w:val="18"/>
                <w:szCs w:val="18"/>
              </w:rPr>
            </w:pPr>
            <w:r>
              <w:rPr>
                <w:b/>
                <w:bCs/>
                <w:color w:val="FFFFFF"/>
                <w:sz w:val="18"/>
                <w:szCs w:val="18"/>
              </w:rPr>
              <w:t>Process</w:t>
            </w:r>
          </w:p>
        </w:tc>
        <w:tc>
          <w:tcPr>
            <w:tcW w:w="7160" w:type="dxa"/>
            <w:shd w:val="clear" w:color="auto" w:fill="1C7293"/>
            <w:tcMar>
              <w:top w:w="70" w:type="dxa"/>
              <w:left w:w="120" w:type="dxa"/>
              <w:bottom w:w="70" w:type="dxa"/>
              <w:right w:w="120" w:type="dxa"/>
            </w:tcMar>
            <w:vAlign w:val="center"/>
          </w:tcPr>
          <w:p w14:paraId="538F12A3" w14:textId="77777777" w:rsidR="00F558A8" w:rsidRDefault="00381CA3">
            <w:pPr>
              <w:spacing w:line="252" w:lineRule="auto"/>
              <w:rPr>
                <w:b/>
                <w:bCs/>
                <w:color w:val="FFFFFF"/>
                <w:sz w:val="18"/>
                <w:szCs w:val="18"/>
              </w:rPr>
            </w:pPr>
            <w:r>
              <w:rPr>
                <w:b/>
                <w:bCs/>
                <w:color w:val="FFFFFF"/>
                <w:sz w:val="18"/>
                <w:szCs w:val="18"/>
              </w:rPr>
              <w:t>What it does, and where its results appear</w:t>
            </w:r>
          </w:p>
        </w:tc>
      </w:tr>
      <w:tr w:rsidR="00F558A8" w14:paraId="22A71605" w14:textId="77777777">
        <w:tc>
          <w:tcPr>
            <w:tcW w:w="2200" w:type="dxa"/>
            <w:shd w:val="clear" w:color="auto" w:fill="FFFFFF"/>
            <w:tcMar>
              <w:top w:w="70" w:type="dxa"/>
              <w:left w:w="120" w:type="dxa"/>
              <w:bottom w:w="70" w:type="dxa"/>
              <w:right w:w="120" w:type="dxa"/>
            </w:tcMar>
            <w:vAlign w:val="center"/>
          </w:tcPr>
          <w:p w14:paraId="2D970BA9" w14:textId="77777777" w:rsidR="00F558A8" w:rsidRDefault="00381CA3">
            <w:pPr>
              <w:spacing w:line="252" w:lineRule="auto"/>
              <w:rPr>
                <w:b/>
                <w:bCs/>
                <w:color w:val="14333F"/>
                <w:sz w:val="18"/>
                <w:szCs w:val="18"/>
              </w:rPr>
            </w:pPr>
            <w:r>
              <w:rPr>
                <w:b/>
                <w:bCs/>
                <w:color w:val="14333F"/>
                <w:sz w:val="18"/>
                <w:szCs w:val="18"/>
              </w:rPr>
              <w:t>Metadata Ingest</w:t>
            </w:r>
          </w:p>
        </w:tc>
        <w:tc>
          <w:tcPr>
            <w:tcW w:w="7160" w:type="dxa"/>
            <w:shd w:val="clear" w:color="auto" w:fill="FFFFFF"/>
            <w:tcMar>
              <w:top w:w="70" w:type="dxa"/>
              <w:left w:w="120" w:type="dxa"/>
              <w:bottom w:w="70" w:type="dxa"/>
              <w:right w:w="120" w:type="dxa"/>
            </w:tcMar>
            <w:vAlign w:val="center"/>
          </w:tcPr>
          <w:p w14:paraId="16A71396" w14:textId="77777777" w:rsidR="00F558A8" w:rsidRDefault="00381CA3">
            <w:pPr>
              <w:spacing w:line="252" w:lineRule="auto"/>
              <w:rPr>
                <w:color w:val="3C5A66"/>
                <w:sz w:val="18"/>
                <w:szCs w:val="18"/>
              </w:rPr>
            </w:pPr>
            <w:r>
              <w:rPr>
                <w:color w:val="3C5A66"/>
                <w:sz w:val="18"/>
                <w:szCs w:val="18"/>
              </w:rPr>
              <w:t xml:space="preserve">Reads each file’s metadata (name, type, size, timestamps, path) into the </w:t>
            </w:r>
            <w:r w:rsidR="00667F6B">
              <w:rPr>
                <w:color w:val="3C5A66"/>
                <w:sz w:val="18"/>
                <w:szCs w:val="18"/>
              </w:rPr>
              <w:t>Catalog</w:t>
            </w:r>
            <w:r>
              <w:rPr>
                <w:color w:val="3C5A66"/>
                <w:sz w:val="18"/>
                <w:szCs w:val="18"/>
              </w:rPr>
              <w:t>. Run it first — every other job depends on it.</w:t>
            </w:r>
          </w:p>
        </w:tc>
      </w:tr>
      <w:tr w:rsidR="00F558A8" w14:paraId="2266C75C" w14:textId="77777777">
        <w:tc>
          <w:tcPr>
            <w:tcW w:w="2200" w:type="dxa"/>
            <w:shd w:val="clear" w:color="auto" w:fill="F4F7F9"/>
            <w:tcMar>
              <w:top w:w="70" w:type="dxa"/>
              <w:left w:w="120" w:type="dxa"/>
              <w:bottom w:w="70" w:type="dxa"/>
              <w:right w:w="120" w:type="dxa"/>
            </w:tcMar>
            <w:vAlign w:val="center"/>
          </w:tcPr>
          <w:p w14:paraId="7F047DF4" w14:textId="77777777" w:rsidR="00F558A8" w:rsidRDefault="00381CA3">
            <w:pPr>
              <w:spacing w:line="252" w:lineRule="auto"/>
              <w:rPr>
                <w:b/>
                <w:bCs/>
                <w:color w:val="14333F"/>
                <w:sz w:val="18"/>
                <w:szCs w:val="18"/>
              </w:rPr>
            </w:pPr>
            <w:r>
              <w:rPr>
                <w:b/>
                <w:bCs/>
                <w:color w:val="14333F"/>
                <w:sz w:val="18"/>
                <w:szCs w:val="18"/>
              </w:rPr>
              <w:t>Calculate Trust Score</w:t>
            </w:r>
          </w:p>
        </w:tc>
        <w:tc>
          <w:tcPr>
            <w:tcW w:w="7160" w:type="dxa"/>
            <w:shd w:val="clear" w:color="auto" w:fill="F4F7F9"/>
            <w:tcMar>
              <w:top w:w="70" w:type="dxa"/>
              <w:left w:w="120" w:type="dxa"/>
              <w:bottom w:w="70" w:type="dxa"/>
              <w:right w:w="120" w:type="dxa"/>
            </w:tcMar>
            <w:vAlign w:val="center"/>
          </w:tcPr>
          <w:p w14:paraId="6A60E60F" w14:textId="77777777" w:rsidR="00F558A8" w:rsidRDefault="00381CA3">
            <w:pPr>
              <w:spacing w:line="252" w:lineRule="auto"/>
              <w:rPr>
                <w:color w:val="3C5A66"/>
                <w:sz w:val="18"/>
                <w:szCs w:val="18"/>
              </w:rPr>
            </w:pPr>
            <w:r>
              <w:rPr>
                <w:color w:val="3C5A66"/>
                <w:sz w:val="18"/>
                <w:szCs w:val="18"/>
              </w:rPr>
              <w:t>Computes an asset</w:t>
            </w:r>
            <w:r w:rsidR="008A5D10">
              <w:rPr>
                <w:color w:val="3C5A66"/>
                <w:sz w:val="18"/>
                <w:szCs w:val="18"/>
              </w:rPr>
              <w:t>—</w:t>
            </w:r>
            <w:r>
              <w:rPr>
                <w:color w:val="3C5A66"/>
                <w:sz w:val="18"/>
                <w:szCs w:val="18"/>
              </w:rPr>
              <w:t>reliability score from data quality (completeness, accuracy, validity, uniqueness, consistency), user ratings (1–5 stars), data lineage (verified or not), and whether a glossary term is assigned. Shown in the asset’s Key Metrics panel; works for tables and files.</w:t>
            </w:r>
          </w:p>
        </w:tc>
      </w:tr>
      <w:tr w:rsidR="00F558A8" w14:paraId="127466D5" w14:textId="77777777">
        <w:tc>
          <w:tcPr>
            <w:tcW w:w="2200" w:type="dxa"/>
            <w:shd w:val="clear" w:color="auto" w:fill="FFFFFF"/>
            <w:tcMar>
              <w:top w:w="70" w:type="dxa"/>
              <w:left w:w="120" w:type="dxa"/>
              <w:bottom w:w="70" w:type="dxa"/>
              <w:right w:w="120" w:type="dxa"/>
            </w:tcMar>
            <w:vAlign w:val="center"/>
          </w:tcPr>
          <w:p w14:paraId="5BFADC34" w14:textId="77777777" w:rsidR="00F558A8" w:rsidRDefault="00381CA3">
            <w:pPr>
              <w:spacing w:line="252" w:lineRule="auto"/>
              <w:rPr>
                <w:b/>
                <w:bCs/>
                <w:color w:val="14333F"/>
                <w:sz w:val="18"/>
                <w:szCs w:val="18"/>
              </w:rPr>
            </w:pPr>
            <w:r>
              <w:rPr>
                <w:b/>
                <w:bCs/>
                <w:color w:val="14333F"/>
                <w:sz w:val="18"/>
                <w:szCs w:val="18"/>
              </w:rPr>
              <w:t>Data Discovery</w:t>
            </w:r>
          </w:p>
        </w:tc>
        <w:tc>
          <w:tcPr>
            <w:tcW w:w="7160" w:type="dxa"/>
            <w:shd w:val="clear" w:color="auto" w:fill="FFFFFF"/>
            <w:tcMar>
              <w:top w:w="70" w:type="dxa"/>
              <w:left w:w="120" w:type="dxa"/>
              <w:bottom w:w="70" w:type="dxa"/>
              <w:right w:w="120" w:type="dxa"/>
            </w:tcMar>
            <w:vAlign w:val="center"/>
          </w:tcPr>
          <w:p w14:paraId="41DE912E" w14:textId="77777777" w:rsidR="00F558A8" w:rsidRDefault="00381CA3">
            <w:pPr>
              <w:spacing w:line="252" w:lineRule="auto"/>
              <w:rPr>
                <w:color w:val="3C5A66"/>
                <w:sz w:val="18"/>
                <w:szCs w:val="18"/>
              </w:rPr>
            </w:pPr>
            <w:r>
              <w:rPr>
                <w:color w:val="3C5A66"/>
                <w:sz w:val="18"/>
                <w:szCs w:val="18"/>
              </w:rPr>
              <w:t>Generates statistics, data patterns, and samples in a single pass through the data. It is the prerequisite for most downstream analytics — this is the data</w:t>
            </w:r>
            <w:r w:rsidR="008A5D10">
              <w:rPr>
                <w:color w:val="3C5A66"/>
                <w:sz w:val="18"/>
                <w:szCs w:val="18"/>
              </w:rPr>
              <w:t>—</w:t>
            </w:r>
            <w:r>
              <w:rPr>
                <w:color w:val="3C5A66"/>
                <w:sz w:val="18"/>
                <w:szCs w:val="18"/>
              </w:rPr>
              <w:t>profiling step.</w:t>
            </w:r>
          </w:p>
        </w:tc>
      </w:tr>
      <w:tr w:rsidR="00F558A8" w14:paraId="17E8C095" w14:textId="77777777">
        <w:tc>
          <w:tcPr>
            <w:tcW w:w="2200" w:type="dxa"/>
            <w:shd w:val="clear" w:color="auto" w:fill="F4F7F9"/>
            <w:tcMar>
              <w:top w:w="70" w:type="dxa"/>
              <w:left w:w="120" w:type="dxa"/>
              <w:bottom w:w="70" w:type="dxa"/>
              <w:right w:w="120" w:type="dxa"/>
            </w:tcMar>
            <w:vAlign w:val="center"/>
          </w:tcPr>
          <w:p w14:paraId="1699BA0B" w14:textId="77777777" w:rsidR="00F558A8" w:rsidRDefault="00381CA3">
            <w:pPr>
              <w:spacing w:line="252" w:lineRule="auto"/>
              <w:rPr>
                <w:b/>
                <w:bCs/>
                <w:color w:val="14333F"/>
                <w:sz w:val="18"/>
                <w:szCs w:val="18"/>
              </w:rPr>
            </w:pPr>
            <w:r>
              <w:rPr>
                <w:b/>
                <w:bCs/>
                <w:color w:val="14333F"/>
                <w:sz w:val="18"/>
                <w:szCs w:val="18"/>
              </w:rPr>
              <w:t>Data Identification</w:t>
            </w:r>
          </w:p>
        </w:tc>
        <w:tc>
          <w:tcPr>
            <w:tcW w:w="7160" w:type="dxa"/>
            <w:shd w:val="clear" w:color="auto" w:fill="F4F7F9"/>
            <w:tcMar>
              <w:top w:w="70" w:type="dxa"/>
              <w:left w:w="120" w:type="dxa"/>
              <w:bottom w:w="70" w:type="dxa"/>
              <w:right w:w="120" w:type="dxa"/>
            </w:tcMar>
            <w:vAlign w:val="center"/>
          </w:tcPr>
          <w:p w14:paraId="22830879" w14:textId="77777777" w:rsidR="00F558A8" w:rsidRDefault="00381CA3">
            <w:pPr>
              <w:spacing w:line="252" w:lineRule="auto"/>
              <w:rPr>
                <w:color w:val="3C5A66"/>
                <w:sz w:val="18"/>
                <w:szCs w:val="18"/>
              </w:rPr>
            </w:pPr>
            <w:r>
              <w:rPr>
                <w:color w:val="3C5A66"/>
                <w:sz w:val="18"/>
                <w:szCs w:val="18"/>
              </w:rPr>
              <w:t>Automatically classifies content and applies tags using dictionaries and data</w:t>
            </w:r>
            <w:r w:rsidR="008A5D10">
              <w:rPr>
                <w:color w:val="3C5A66"/>
                <w:sz w:val="18"/>
                <w:szCs w:val="18"/>
              </w:rPr>
              <w:t>—</w:t>
            </w:r>
            <w:r>
              <w:rPr>
                <w:color w:val="3C5A66"/>
                <w:sz w:val="18"/>
                <w:szCs w:val="18"/>
              </w:rPr>
              <w:t>pattern analysis — the built</w:t>
            </w:r>
            <w:r w:rsidR="008A5D10">
              <w:rPr>
                <w:color w:val="3C5A66"/>
                <w:sz w:val="18"/>
                <w:szCs w:val="18"/>
              </w:rPr>
              <w:t>—</w:t>
            </w:r>
            <w:r>
              <w:rPr>
                <w:color w:val="3C5A66"/>
                <w:sz w:val="18"/>
                <w:szCs w:val="18"/>
              </w:rPr>
              <w:t>in sets plus any custom dictionaries or patterns you add. This is PDC’s classification mechanism, and it is rule</w:t>
            </w:r>
            <w:r w:rsidR="00B65D33">
              <w:rPr>
                <w:color w:val="3C5A66"/>
                <w:sz w:val="18"/>
                <w:szCs w:val="18"/>
              </w:rPr>
              <w:t>-</w:t>
            </w:r>
            <w:r>
              <w:rPr>
                <w:color w:val="3C5A66"/>
                <w:sz w:val="18"/>
                <w:szCs w:val="18"/>
              </w:rPr>
              <w:t>based, not an LLM.</w:t>
            </w:r>
          </w:p>
        </w:tc>
      </w:tr>
      <w:tr w:rsidR="00F558A8" w14:paraId="02B9CF4A" w14:textId="77777777">
        <w:tc>
          <w:tcPr>
            <w:tcW w:w="2200" w:type="dxa"/>
            <w:shd w:val="clear" w:color="auto" w:fill="FFFFFF"/>
            <w:tcMar>
              <w:top w:w="70" w:type="dxa"/>
              <w:left w:w="120" w:type="dxa"/>
              <w:bottom w:w="70" w:type="dxa"/>
              <w:right w:w="120" w:type="dxa"/>
            </w:tcMar>
            <w:vAlign w:val="center"/>
          </w:tcPr>
          <w:p w14:paraId="5730D790" w14:textId="77777777" w:rsidR="00F558A8" w:rsidRDefault="00381CA3">
            <w:pPr>
              <w:spacing w:line="252" w:lineRule="auto"/>
              <w:rPr>
                <w:b/>
                <w:bCs/>
                <w:color w:val="14333F"/>
                <w:sz w:val="18"/>
                <w:szCs w:val="18"/>
              </w:rPr>
            </w:pPr>
            <w:r>
              <w:rPr>
                <w:b/>
                <w:bCs/>
                <w:color w:val="14333F"/>
                <w:sz w:val="18"/>
                <w:szCs w:val="18"/>
              </w:rPr>
              <w:t>PII Detection</w:t>
            </w:r>
          </w:p>
        </w:tc>
        <w:tc>
          <w:tcPr>
            <w:tcW w:w="7160" w:type="dxa"/>
            <w:shd w:val="clear" w:color="auto" w:fill="FFFFFF"/>
            <w:tcMar>
              <w:top w:w="70" w:type="dxa"/>
              <w:left w:w="120" w:type="dxa"/>
              <w:bottom w:w="70" w:type="dxa"/>
              <w:right w:w="120" w:type="dxa"/>
            </w:tcMar>
            <w:vAlign w:val="center"/>
          </w:tcPr>
          <w:p w14:paraId="07CA9B70" w14:textId="77777777" w:rsidR="00F558A8" w:rsidRDefault="00381CA3">
            <w:pPr>
              <w:spacing w:line="252" w:lineRule="auto"/>
              <w:rPr>
                <w:color w:val="3C5A66"/>
                <w:sz w:val="18"/>
                <w:szCs w:val="18"/>
              </w:rPr>
            </w:pPr>
            <w:r>
              <w:rPr>
                <w:color w:val="3C5A66"/>
                <w:sz w:val="18"/>
                <w:szCs w:val="18"/>
              </w:rPr>
              <w:t>An ML check that identifies PII column names and tags them into an auto</w:t>
            </w:r>
            <w:r w:rsidR="00B65D33">
              <w:rPr>
                <w:color w:val="3C5A66"/>
                <w:sz w:val="18"/>
                <w:szCs w:val="18"/>
              </w:rPr>
              <w:t>-</w:t>
            </w:r>
            <w:r>
              <w:rPr>
                <w:color w:val="3C5A66"/>
                <w:sz w:val="18"/>
                <w:szCs w:val="18"/>
              </w:rPr>
              <w:t>created ML_PII glossary, shown in the Business Terms panel. Note the scope: only JDBC tables and CSV/TSV files with Korean or Japanese content — so it does not act on AWC’s English PDFs.</w:t>
            </w:r>
          </w:p>
        </w:tc>
      </w:tr>
    </w:tbl>
    <w:p w14:paraId="2D51F4D1" w14:textId="77777777" w:rsidR="00835BBF" w:rsidRDefault="00835BBF">
      <w:pPr>
        <w:spacing w:before="60" w:after="120" w:line="276" w:lineRule="auto"/>
        <w:rPr>
          <w:b/>
          <w:bCs/>
          <w:color w:val="1C7293"/>
        </w:rPr>
      </w:pPr>
    </w:p>
    <w:p w14:paraId="3C29D2D7" w14:textId="77777777" w:rsidR="00F558A8" w:rsidRDefault="00381CA3">
      <w:pPr>
        <w:spacing w:before="60" w:after="120" w:line="276" w:lineRule="auto"/>
      </w:pPr>
      <w:r>
        <w:rPr>
          <w:b/>
          <w:bCs/>
          <w:color w:val="1C7293"/>
        </w:rPr>
        <w:t xml:space="preserve">For the compliance/ folder: </w:t>
      </w:r>
      <w:r>
        <w:t>the realistic sequence is Metadata Ingest, then Data Discovery, then Data Identification, optionally Calculate Trust Score. PII Detection appears on the card but, given its language and format limits, will not apply to these English PDFs.</w:t>
      </w:r>
    </w:p>
    <w:p w14:paraId="2B8A5594" w14:textId="77777777" w:rsidR="00835BBF" w:rsidRDefault="00835BBF">
      <w:pPr>
        <w:keepNext/>
        <w:spacing w:before="120" w:after="60"/>
        <w:rPr>
          <w:b/>
          <w:bCs/>
          <w:color w:val="1C7293"/>
          <w:sz w:val="21"/>
          <w:szCs w:val="21"/>
        </w:rPr>
      </w:pPr>
    </w:p>
    <w:p w14:paraId="7501CF93" w14:textId="77777777" w:rsidR="00F558A8" w:rsidRDefault="00381CA3">
      <w:pPr>
        <w:keepNext/>
        <w:spacing w:before="120" w:after="60"/>
      </w:pPr>
      <w:r>
        <w:rPr>
          <w:b/>
          <w:bCs/>
          <w:color w:val="1C7293"/>
          <w:sz w:val="21"/>
          <w:szCs w:val="21"/>
        </w:rPr>
        <w:t>Scan &amp; ingest scope options</w:t>
      </w:r>
    </w:p>
    <w:tbl>
      <w:tblPr>
        <w:tblW w:w="9360" w:type="dxa"/>
        <w:tblBorders>
          <w:top w:val="single" w:sz="4" w:space="0" w:color="CED9DF"/>
          <w:left w:val="single" w:sz="4" w:space="0" w:color="CED9DF"/>
          <w:bottom w:val="single" w:sz="4" w:space="0" w:color="CED9DF"/>
          <w:right w:val="single" w:sz="4" w:space="0" w:color="CED9DF"/>
          <w:insideH w:val="single" w:sz="4" w:space="0" w:color="CED9DF"/>
          <w:insideV w:val="single" w:sz="4" w:space="0" w:color="CED9DF"/>
        </w:tblBorders>
        <w:tblLook w:val="04A0" w:firstRow="1" w:lastRow="0" w:firstColumn="1" w:lastColumn="0" w:noHBand="0" w:noVBand="1"/>
      </w:tblPr>
      <w:tblGrid>
        <w:gridCol w:w="2600"/>
        <w:gridCol w:w="6760"/>
      </w:tblGrid>
      <w:tr w:rsidR="00F558A8" w14:paraId="4B203AE7" w14:textId="77777777">
        <w:tc>
          <w:tcPr>
            <w:tcW w:w="2600" w:type="dxa"/>
            <w:shd w:val="clear" w:color="auto" w:fill="1C7293"/>
            <w:tcMar>
              <w:top w:w="60" w:type="dxa"/>
              <w:left w:w="120" w:type="dxa"/>
              <w:bottom w:w="60" w:type="dxa"/>
              <w:right w:w="120" w:type="dxa"/>
            </w:tcMar>
            <w:vAlign w:val="center"/>
          </w:tcPr>
          <w:p w14:paraId="61853F2C" w14:textId="77777777" w:rsidR="00F558A8" w:rsidRDefault="00381CA3">
            <w:pPr>
              <w:rPr>
                <w:b/>
                <w:bCs/>
                <w:color w:val="FFFFFF"/>
                <w:sz w:val="18"/>
                <w:szCs w:val="18"/>
              </w:rPr>
            </w:pPr>
            <w:r>
              <w:rPr>
                <w:b/>
                <w:bCs/>
                <w:color w:val="FFFFFF"/>
                <w:sz w:val="18"/>
                <w:szCs w:val="18"/>
              </w:rPr>
              <w:t>Option</w:t>
            </w:r>
          </w:p>
        </w:tc>
        <w:tc>
          <w:tcPr>
            <w:tcW w:w="6760" w:type="dxa"/>
            <w:shd w:val="clear" w:color="auto" w:fill="1C7293"/>
            <w:tcMar>
              <w:top w:w="60" w:type="dxa"/>
              <w:left w:w="120" w:type="dxa"/>
              <w:bottom w:w="60" w:type="dxa"/>
              <w:right w:w="120" w:type="dxa"/>
            </w:tcMar>
            <w:vAlign w:val="center"/>
          </w:tcPr>
          <w:p w14:paraId="4FD57617" w14:textId="77777777" w:rsidR="00F558A8" w:rsidRDefault="00381CA3">
            <w:pPr>
              <w:rPr>
                <w:b/>
                <w:bCs/>
                <w:color w:val="FFFFFF"/>
                <w:sz w:val="18"/>
                <w:szCs w:val="18"/>
              </w:rPr>
            </w:pPr>
            <w:r>
              <w:rPr>
                <w:b/>
                <w:bCs/>
                <w:color w:val="FFFFFF"/>
                <w:sz w:val="18"/>
                <w:szCs w:val="18"/>
              </w:rPr>
              <w:t>What it means</w:t>
            </w:r>
          </w:p>
        </w:tc>
      </w:tr>
      <w:tr w:rsidR="00F558A8" w14:paraId="6D74FBCB" w14:textId="77777777">
        <w:tc>
          <w:tcPr>
            <w:tcW w:w="2600" w:type="dxa"/>
            <w:shd w:val="clear" w:color="auto" w:fill="FFFFFF"/>
            <w:tcMar>
              <w:top w:w="60" w:type="dxa"/>
              <w:left w:w="120" w:type="dxa"/>
              <w:bottom w:w="60" w:type="dxa"/>
              <w:right w:w="120" w:type="dxa"/>
            </w:tcMar>
            <w:vAlign w:val="center"/>
          </w:tcPr>
          <w:p w14:paraId="2E8094FF" w14:textId="77777777" w:rsidR="00F558A8" w:rsidRDefault="00381CA3">
            <w:pPr>
              <w:rPr>
                <w:b/>
                <w:bCs/>
                <w:color w:val="14333F"/>
                <w:sz w:val="18"/>
                <w:szCs w:val="18"/>
              </w:rPr>
            </w:pPr>
            <w:r>
              <w:rPr>
                <w:b/>
                <w:bCs/>
                <w:color w:val="14333F"/>
                <w:sz w:val="18"/>
                <w:szCs w:val="18"/>
              </w:rPr>
              <w:t>Delete Empty Folders</w:t>
            </w:r>
          </w:p>
        </w:tc>
        <w:tc>
          <w:tcPr>
            <w:tcW w:w="6760" w:type="dxa"/>
            <w:shd w:val="clear" w:color="auto" w:fill="FFFFFF"/>
            <w:tcMar>
              <w:top w:w="60" w:type="dxa"/>
              <w:left w:w="120" w:type="dxa"/>
              <w:bottom w:w="60" w:type="dxa"/>
              <w:right w:w="120" w:type="dxa"/>
            </w:tcMar>
            <w:vAlign w:val="center"/>
          </w:tcPr>
          <w:p w14:paraId="15E0D5C1" w14:textId="77777777" w:rsidR="00F558A8" w:rsidRDefault="00381CA3">
            <w:pPr>
              <w:rPr>
                <w:color w:val="3C5A66"/>
                <w:sz w:val="18"/>
                <w:szCs w:val="18"/>
              </w:rPr>
            </w:pPr>
            <w:r>
              <w:rPr>
                <w:color w:val="3C5A66"/>
                <w:sz w:val="18"/>
                <w:szCs w:val="18"/>
              </w:rPr>
              <w:t xml:space="preserve">Removes folders that have no files under them from the </w:t>
            </w:r>
            <w:proofErr w:type="spellStart"/>
            <w:r w:rsidR="00667F6B">
              <w:rPr>
                <w:color w:val="3C5A66"/>
                <w:sz w:val="18"/>
                <w:szCs w:val="18"/>
              </w:rPr>
              <w:t>Catalog</w:t>
            </w:r>
            <w:r>
              <w:rPr>
                <w:color w:val="3C5A66"/>
                <w:sz w:val="18"/>
                <w:szCs w:val="18"/>
              </w:rPr>
              <w:t>’s</w:t>
            </w:r>
            <w:proofErr w:type="spellEnd"/>
            <w:r>
              <w:rPr>
                <w:color w:val="3C5A66"/>
                <w:sz w:val="18"/>
                <w:szCs w:val="18"/>
              </w:rPr>
              <w:t xml:space="preserve"> metadata store, so empty directories don’t clutter the Data Canvas. It applies to full scans/ingests only.</w:t>
            </w:r>
          </w:p>
        </w:tc>
      </w:tr>
      <w:tr w:rsidR="00F558A8" w14:paraId="1F52E951" w14:textId="77777777">
        <w:tc>
          <w:tcPr>
            <w:tcW w:w="2600" w:type="dxa"/>
            <w:shd w:val="clear" w:color="auto" w:fill="F4F7F9"/>
            <w:tcMar>
              <w:top w:w="60" w:type="dxa"/>
              <w:left w:w="120" w:type="dxa"/>
              <w:bottom w:w="60" w:type="dxa"/>
              <w:right w:w="120" w:type="dxa"/>
            </w:tcMar>
            <w:vAlign w:val="center"/>
          </w:tcPr>
          <w:p w14:paraId="3BEC7ACE" w14:textId="77777777" w:rsidR="00F558A8" w:rsidRDefault="00381CA3">
            <w:pPr>
              <w:rPr>
                <w:b/>
                <w:bCs/>
                <w:color w:val="14333F"/>
                <w:sz w:val="18"/>
                <w:szCs w:val="18"/>
              </w:rPr>
            </w:pPr>
            <w:r>
              <w:rPr>
                <w:b/>
                <w:bCs/>
                <w:color w:val="14333F"/>
                <w:sz w:val="18"/>
                <w:szCs w:val="18"/>
              </w:rPr>
              <w:t>Incremental Ingest</w:t>
            </w:r>
          </w:p>
        </w:tc>
        <w:tc>
          <w:tcPr>
            <w:tcW w:w="6760" w:type="dxa"/>
            <w:shd w:val="clear" w:color="auto" w:fill="F4F7F9"/>
            <w:tcMar>
              <w:top w:w="60" w:type="dxa"/>
              <w:left w:w="120" w:type="dxa"/>
              <w:bottom w:w="60" w:type="dxa"/>
              <w:right w:w="120" w:type="dxa"/>
            </w:tcMar>
            <w:vAlign w:val="center"/>
          </w:tcPr>
          <w:p w14:paraId="7A300594" w14:textId="77777777" w:rsidR="00F558A8" w:rsidRDefault="00381CA3">
            <w:pPr>
              <w:rPr>
                <w:color w:val="3C5A66"/>
                <w:sz w:val="18"/>
                <w:szCs w:val="18"/>
              </w:rPr>
            </w:pPr>
            <w:r>
              <w:rPr>
                <w:color w:val="3C5A66"/>
                <w:sz w:val="18"/>
                <w:szCs w:val="18"/>
              </w:rPr>
              <w:t xml:space="preserve">Ingests only the files whose created or modified timestamp falls within the period you choose — last 12 hours, 24 hours, 1 week, 1 month, or 3 months. It adds to what is already </w:t>
            </w:r>
            <w:proofErr w:type="spellStart"/>
            <w:r w:rsidR="00667F6B">
              <w:rPr>
                <w:color w:val="3C5A66"/>
                <w:sz w:val="18"/>
                <w:szCs w:val="18"/>
              </w:rPr>
              <w:t>Catalog</w:t>
            </w:r>
            <w:r>
              <w:rPr>
                <w:color w:val="3C5A66"/>
                <w:sz w:val="18"/>
                <w:szCs w:val="18"/>
              </w:rPr>
              <w:t>ed</w:t>
            </w:r>
            <w:proofErr w:type="spellEnd"/>
            <w:r>
              <w:rPr>
                <w:color w:val="3C5A66"/>
                <w:sz w:val="18"/>
                <w:szCs w:val="18"/>
              </w:rPr>
              <w:t xml:space="preserve"> and never removes earlier results, so it is a quick way to pick up recent changes without re</w:t>
            </w:r>
            <w:r w:rsidR="00B65D33">
              <w:rPr>
                <w:color w:val="3C5A66"/>
                <w:sz w:val="18"/>
                <w:szCs w:val="18"/>
              </w:rPr>
              <w:t>-</w:t>
            </w:r>
            <w:r>
              <w:rPr>
                <w:color w:val="3C5A66"/>
                <w:sz w:val="18"/>
                <w:szCs w:val="18"/>
              </w:rPr>
              <w:t>reading the whole bucket.</w:t>
            </w:r>
          </w:p>
        </w:tc>
      </w:tr>
    </w:tbl>
    <w:p w14:paraId="4ACD874A" w14:textId="77777777" w:rsidR="00835BBF" w:rsidRDefault="00835BBF">
      <w:pPr>
        <w:spacing w:before="60" w:after="120" w:line="276" w:lineRule="auto"/>
        <w:rPr>
          <w:b/>
          <w:bCs/>
          <w:color w:val="1C7293"/>
        </w:rPr>
      </w:pPr>
    </w:p>
    <w:p w14:paraId="49CC0AEF" w14:textId="77777777" w:rsidR="00F558A8" w:rsidRDefault="00381CA3">
      <w:pPr>
        <w:spacing w:before="60" w:after="120" w:line="276" w:lineRule="auto"/>
      </w:pPr>
      <w:r>
        <w:rPr>
          <w:b/>
          <w:bCs/>
          <w:color w:val="1C7293"/>
        </w:rPr>
        <w:t xml:space="preserve">The two are mutually exclusive </w:t>
      </w:r>
      <w:r w:rsidR="00B65D33">
        <w:rPr>
          <w:b/>
          <w:bCs/>
          <w:color w:val="1C7293"/>
        </w:rPr>
        <w:t>-</w:t>
      </w:r>
      <w:r>
        <w:rPr>
          <w:b/>
          <w:bCs/>
          <w:color w:val="1C7293"/>
        </w:rPr>
        <w:t xml:space="preserve"> </w:t>
      </w:r>
      <w:r>
        <w:t>Delete Empty Folders works on full ingests only, so it is unavailable while Incremental Ingest is selected. For the compliance/ folder in this lab, leave Incremental Ingest off (a full ingest) so every EPA document is read.</w:t>
      </w:r>
    </w:p>
    <w:p w14:paraId="33CC3FA0" w14:textId="77777777" w:rsidR="00C77971" w:rsidRDefault="00C77971">
      <w:pPr>
        <w:spacing w:before="60" w:after="120" w:line="276" w:lineRule="auto"/>
      </w:pPr>
    </w:p>
    <w:p w14:paraId="3DB1BDEF" w14:textId="77777777" w:rsidR="00C77971" w:rsidRDefault="00C77971">
      <w:pPr>
        <w:spacing w:before="60" w:after="120" w:line="276" w:lineRule="auto"/>
      </w:pPr>
    </w:p>
    <w:p w14:paraId="66D0475F" w14:textId="77777777" w:rsidR="00C77971" w:rsidRDefault="00C77971">
      <w:pPr>
        <w:spacing w:before="60" w:after="120" w:line="276" w:lineRule="auto"/>
      </w:pPr>
    </w:p>
    <w:p w14:paraId="5F4F07A3" w14:textId="77777777" w:rsidR="00C77971" w:rsidRDefault="00C77971">
      <w:pPr>
        <w:spacing w:before="60" w:after="120" w:line="276" w:lineRule="auto"/>
      </w:pPr>
    </w:p>
    <w:p w14:paraId="75E4E947" w14:textId="77777777" w:rsidR="00F558A8" w:rsidRDefault="00381CA3">
      <w:pPr>
        <w:pStyle w:val="Heading1"/>
      </w:pPr>
      <w:r>
        <w:lastRenderedPageBreak/>
        <w:t>Optional settings: Physical Location, capacity, and cost</w:t>
      </w:r>
    </w:p>
    <w:p w14:paraId="69D64CAA" w14:textId="77777777" w:rsidR="00F558A8" w:rsidRDefault="00381CA3">
      <w:pPr>
        <w:spacing w:before="80" w:after="120" w:line="276" w:lineRule="auto"/>
      </w:pPr>
      <w:r>
        <w:t xml:space="preserve">After Test Connection succeeds — and after Scan Files (object stores) or Ingest Schema (databases) — the Create Data Source page shows a group of optional fields before the final Create Data Source button. None are required to </w:t>
      </w:r>
      <w:r w:rsidR="00667F6B">
        <w:t>Catalog</w:t>
      </w:r>
      <w:r>
        <w:t xml:space="preserve"> data: they describe where the data lives and what it costs, and they feed Pentaho Data Optimizer, the intelligent tiering engine that can migrate, delete, and rehydrate files to reduce storage cost. The three storage</w:t>
      </w:r>
      <w:r w:rsidR="00B65D33">
        <w:t>-</w:t>
      </w:r>
      <w:r>
        <w:t>optimization toggles require a Data Optimizer license.</w:t>
      </w:r>
    </w:p>
    <w:tbl>
      <w:tblPr>
        <w:tblW w:w="9360" w:type="dxa"/>
        <w:tblBorders>
          <w:top w:val="single" w:sz="4" w:space="0" w:color="CED9DF"/>
          <w:left w:val="single" w:sz="4" w:space="0" w:color="CED9DF"/>
          <w:bottom w:val="single" w:sz="4" w:space="0" w:color="CED9DF"/>
          <w:right w:val="single" w:sz="4" w:space="0" w:color="CED9DF"/>
          <w:insideH w:val="single" w:sz="4" w:space="0" w:color="CED9DF"/>
          <w:insideV w:val="single" w:sz="4" w:space="0" w:color="CED9DF"/>
        </w:tblBorders>
        <w:tblLook w:val="04A0" w:firstRow="1" w:lastRow="0" w:firstColumn="1" w:lastColumn="0" w:noHBand="0" w:noVBand="1"/>
      </w:tblPr>
      <w:tblGrid>
        <w:gridCol w:w="2600"/>
        <w:gridCol w:w="6760"/>
      </w:tblGrid>
      <w:tr w:rsidR="00F558A8" w14:paraId="102C3A85" w14:textId="77777777">
        <w:tc>
          <w:tcPr>
            <w:tcW w:w="2600" w:type="dxa"/>
            <w:shd w:val="clear" w:color="auto" w:fill="1C7293"/>
            <w:tcMar>
              <w:top w:w="60" w:type="dxa"/>
              <w:left w:w="120" w:type="dxa"/>
              <w:bottom w:w="60" w:type="dxa"/>
              <w:right w:w="120" w:type="dxa"/>
            </w:tcMar>
            <w:vAlign w:val="center"/>
          </w:tcPr>
          <w:p w14:paraId="5D4809F8" w14:textId="77777777" w:rsidR="00F558A8" w:rsidRDefault="00381CA3">
            <w:pPr>
              <w:rPr>
                <w:b/>
                <w:bCs/>
                <w:color w:val="FFFFFF"/>
                <w:sz w:val="18"/>
                <w:szCs w:val="18"/>
              </w:rPr>
            </w:pPr>
            <w:r>
              <w:rPr>
                <w:b/>
                <w:bCs/>
                <w:color w:val="FFFFFF"/>
                <w:sz w:val="18"/>
                <w:szCs w:val="18"/>
              </w:rPr>
              <w:t>Field</w:t>
            </w:r>
          </w:p>
        </w:tc>
        <w:tc>
          <w:tcPr>
            <w:tcW w:w="6760" w:type="dxa"/>
            <w:shd w:val="clear" w:color="auto" w:fill="1C7293"/>
            <w:tcMar>
              <w:top w:w="60" w:type="dxa"/>
              <w:left w:w="120" w:type="dxa"/>
              <w:bottom w:w="60" w:type="dxa"/>
              <w:right w:w="120" w:type="dxa"/>
            </w:tcMar>
            <w:vAlign w:val="center"/>
          </w:tcPr>
          <w:p w14:paraId="2FB364BC" w14:textId="77777777" w:rsidR="00F558A8" w:rsidRDefault="00381CA3">
            <w:pPr>
              <w:rPr>
                <w:b/>
                <w:bCs/>
                <w:color w:val="FFFFFF"/>
                <w:sz w:val="18"/>
                <w:szCs w:val="18"/>
              </w:rPr>
            </w:pPr>
            <w:r>
              <w:rPr>
                <w:b/>
                <w:bCs/>
                <w:color w:val="FFFFFF"/>
                <w:sz w:val="18"/>
                <w:szCs w:val="18"/>
              </w:rPr>
              <w:t>What it does</w:t>
            </w:r>
          </w:p>
        </w:tc>
      </w:tr>
      <w:tr w:rsidR="00F558A8" w14:paraId="4C8320B7" w14:textId="77777777">
        <w:tc>
          <w:tcPr>
            <w:tcW w:w="2600" w:type="dxa"/>
            <w:shd w:val="clear" w:color="auto" w:fill="FFFFFF"/>
            <w:tcMar>
              <w:top w:w="60" w:type="dxa"/>
              <w:left w:w="120" w:type="dxa"/>
              <w:bottom w:w="60" w:type="dxa"/>
              <w:right w:w="120" w:type="dxa"/>
            </w:tcMar>
            <w:vAlign w:val="center"/>
          </w:tcPr>
          <w:p w14:paraId="0BCDB8F7" w14:textId="77777777" w:rsidR="00F558A8" w:rsidRDefault="00381CA3">
            <w:pPr>
              <w:rPr>
                <w:b/>
                <w:bCs/>
                <w:color w:val="14333F"/>
                <w:sz w:val="18"/>
                <w:szCs w:val="18"/>
              </w:rPr>
            </w:pPr>
            <w:r>
              <w:rPr>
                <w:b/>
                <w:bCs/>
                <w:color w:val="14333F"/>
                <w:sz w:val="18"/>
                <w:szCs w:val="18"/>
              </w:rPr>
              <w:t>Physical Location</w:t>
            </w:r>
          </w:p>
        </w:tc>
        <w:tc>
          <w:tcPr>
            <w:tcW w:w="6760" w:type="dxa"/>
            <w:shd w:val="clear" w:color="auto" w:fill="FFFFFF"/>
            <w:tcMar>
              <w:top w:w="60" w:type="dxa"/>
              <w:left w:w="120" w:type="dxa"/>
              <w:bottom w:w="60" w:type="dxa"/>
              <w:right w:w="120" w:type="dxa"/>
            </w:tcMar>
            <w:vAlign w:val="center"/>
          </w:tcPr>
          <w:p w14:paraId="6E3D9B7E" w14:textId="77777777" w:rsidR="00F558A8" w:rsidRDefault="00381CA3">
            <w:pPr>
              <w:rPr>
                <w:color w:val="3C5A66"/>
                <w:sz w:val="18"/>
                <w:szCs w:val="18"/>
              </w:rPr>
            </w:pPr>
            <w:r>
              <w:rPr>
                <w:color w:val="3C5A66"/>
                <w:sz w:val="18"/>
                <w:szCs w:val="18"/>
              </w:rPr>
              <w:t>Where the data physically lives — a label plus address fields (name, street, city, state/province, postal code, country). Recorded for data</w:t>
            </w:r>
            <w:r w:rsidR="008A5D10">
              <w:rPr>
                <w:color w:val="3C5A66"/>
                <w:sz w:val="18"/>
                <w:szCs w:val="18"/>
              </w:rPr>
              <w:t>—</w:t>
            </w:r>
            <w:r>
              <w:rPr>
                <w:color w:val="3C5A66"/>
                <w:sz w:val="18"/>
                <w:szCs w:val="18"/>
              </w:rPr>
              <w:t>residency and compliance context and for reporting. It does not affect the connection.</w:t>
            </w:r>
          </w:p>
        </w:tc>
      </w:tr>
      <w:tr w:rsidR="00F558A8" w14:paraId="79EB5843" w14:textId="77777777">
        <w:tc>
          <w:tcPr>
            <w:tcW w:w="2600" w:type="dxa"/>
            <w:shd w:val="clear" w:color="auto" w:fill="F4F7F9"/>
            <w:tcMar>
              <w:top w:w="60" w:type="dxa"/>
              <w:left w:w="120" w:type="dxa"/>
              <w:bottom w:w="60" w:type="dxa"/>
              <w:right w:w="120" w:type="dxa"/>
            </w:tcMar>
            <w:vAlign w:val="center"/>
          </w:tcPr>
          <w:p w14:paraId="5D8AF4B4" w14:textId="77777777" w:rsidR="00F558A8" w:rsidRDefault="00381CA3">
            <w:pPr>
              <w:rPr>
                <w:b/>
                <w:bCs/>
                <w:color w:val="14333F"/>
                <w:sz w:val="18"/>
                <w:szCs w:val="18"/>
              </w:rPr>
            </w:pPr>
            <w:r>
              <w:rPr>
                <w:b/>
                <w:bCs/>
                <w:color w:val="14333F"/>
                <w:sz w:val="18"/>
                <w:szCs w:val="18"/>
              </w:rPr>
              <w:t>Available for Migration</w:t>
            </w:r>
          </w:p>
        </w:tc>
        <w:tc>
          <w:tcPr>
            <w:tcW w:w="6760" w:type="dxa"/>
            <w:shd w:val="clear" w:color="auto" w:fill="F4F7F9"/>
            <w:tcMar>
              <w:top w:w="60" w:type="dxa"/>
              <w:left w:w="120" w:type="dxa"/>
              <w:bottom w:w="60" w:type="dxa"/>
              <w:right w:w="120" w:type="dxa"/>
            </w:tcMar>
            <w:vAlign w:val="center"/>
          </w:tcPr>
          <w:p w14:paraId="36DA90A2" w14:textId="77777777" w:rsidR="00F558A8" w:rsidRDefault="00381CA3">
            <w:pPr>
              <w:rPr>
                <w:color w:val="3C5A66"/>
                <w:sz w:val="18"/>
                <w:szCs w:val="18"/>
              </w:rPr>
            </w:pPr>
            <w:r>
              <w:rPr>
                <w:color w:val="3C5A66"/>
                <w:sz w:val="18"/>
                <w:szCs w:val="18"/>
              </w:rPr>
              <w:t>Includes this source in Pentaho Data Optimizer tiering. When enabled, Data Optimizer can migrate (tier) its files to lower</w:t>
            </w:r>
            <w:r w:rsidR="008A5D10">
              <w:rPr>
                <w:color w:val="3C5A66"/>
                <w:sz w:val="18"/>
                <w:szCs w:val="18"/>
              </w:rPr>
              <w:t>—</w:t>
            </w:r>
            <w:r>
              <w:rPr>
                <w:color w:val="3C5A66"/>
                <w:sz w:val="18"/>
                <w:szCs w:val="18"/>
              </w:rPr>
              <w:t>cost or archival storage. Requires a Data Optimizer license.</w:t>
            </w:r>
          </w:p>
        </w:tc>
      </w:tr>
      <w:tr w:rsidR="00F558A8" w14:paraId="228594F5" w14:textId="77777777">
        <w:tc>
          <w:tcPr>
            <w:tcW w:w="2600" w:type="dxa"/>
            <w:shd w:val="clear" w:color="auto" w:fill="FFFFFF"/>
            <w:tcMar>
              <w:top w:w="60" w:type="dxa"/>
              <w:left w:w="120" w:type="dxa"/>
              <w:bottom w:w="60" w:type="dxa"/>
              <w:right w:w="120" w:type="dxa"/>
            </w:tcMar>
            <w:vAlign w:val="center"/>
          </w:tcPr>
          <w:p w14:paraId="54A5F222" w14:textId="77777777" w:rsidR="00F558A8" w:rsidRDefault="00381CA3">
            <w:pPr>
              <w:rPr>
                <w:b/>
                <w:bCs/>
                <w:color w:val="14333F"/>
                <w:sz w:val="18"/>
                <w:szCs w:val="18"/>
              </w:rPr>
            </w:pPr>
            <w:r>
              <w:rPr>
                <w:b/>
                <w:bCs/>
                <w:color w:val="14333F"/>
                <w:sz w:val="18"/>
                <w:szCs w:val="18"/>
              </w:rPr>
              <w:t>Available for Writing</w:t>
            </w:r>
          </w:p>
        </w:tc>
        <w:tc>
          <w:tcPr>
            <w:tcW w:w="6760" w:type="dxa"/>
            <w:shd w:val="clear" w:color="auto" w:fill="FFFFFF"/>
            <w:tcMar>
              <w:top w:w="60" w:type="dxa"/>
              <w:left w:w="120" w:type="dxa"/>
              <w:bottom w:w="60" w:type="dxa"/>
              <w:right w:w="120" w:type="dxa"/>
            </w:tcMar>
            <w:vAlign w:val="center"/>
          </w:tcPr>
          <w:p w14:paraId="7D46DC7D" w14:textId="77777777" w:rsidR="00F558A8" w:rsidRDefault="00381CA3">
            <w:pPr>
              <w:rPr>
                <w:color w:val="3C5A66"/>
                <w:sz w:val="18"/>
                <w:szCs w:val="18"/>
              </w:rPr>
            </w:pPr>
            <w:proofErr w:type="spellStart"/>
            <w:proofErr w:type="gramStart"/>
            <w:r>
              <w:rPr>
                <w:color w:val="3C5A66"/>
                <w:sz w:val="18"/>
                <w:szCs w:val="18"/>
              </w:rPr>
              <w:t>Lets</w:t>
            </w:r>
            <w:proofErr w:type="spellEnd"/>
            <w:proofErr w:type="gramEnd"/>
            <w:r>
              <w:rPr>
                <w:color w:val="3C5A66"/>
                <w:sz w:val="18"/>
                <w:szCs w:val="18"/>
              </w:rPr>
              <w:t xml:space="preserve"> Data Optimizer write back to the source — needed to rehydrate (restore) tiered files. Turning it on also enables migration.</w:t>
            </w:r>
          </w:p>
        </w:tc>
      </w:tr>
      <w:tr w:rsidR="00F558A8" w14:paraId="1775FB1D" w14:textId="77777777">
        <w:tc>
          <w:tcPr>
            <w:tcW w:w="2600" w:type="dxa"/>
            <w:shd w:val="clear" w:color="auto" w:fill="F4F7F9"/>
            <w:tcMar>
              <w:top w:w="60" w:type="dxa"/>
              <w:left w:w="120" w:type="dxa"/>
              <w:bottom w:w="60" w:type="dxa"/>
              <w:right w:w="120" w:type="dxa"/>
            </w:tcMar>
            <w:vAlign w:val="center"/>
          </w:tcPr>
          <w:p w14:paraId="79B0440E" w14:textId="77777777" w:rsidR="00F558A8" w:rsidRDefault="00381CA3">
            <w:pPr>
              <w:rPr>
                <w:b/>
                <w:bCs/>
                <w:color w:val="14333F"/>
                <w:sz w:val="18"/>
                <w:szCs w:val="18"/>
              </w:rPr>
            </w:pPr>
            <w:r>
              <w:rPr>
                <w:b/>
                <w:bCs/>
                <w:color w:val="14333F"/>
                <w:sz w:val="18"/>
                <w:szCs w:val="18"/>
              </w:rPr>
              <w:t>Available for Data Mastering</w:t>
            </w:r>
          </w:p>
        </w:tc>
        <w:tc>
          <w:tcPr>
            <w:tcW w:w="6760" w:type="dxa"/>
            <w:shd w:val="clear" w:color="auto" w:fill="F4F7F9"/>
            <w:tcMar>
              <w:top w:w="60" w:type="dxa"/>
              <w:left w:w="120" w:type="dxa"/>
              <w:bottom w:w="60" w:type="dxa"/>
              <w:right w:w="120" w:type="dxa"/>
            </w:tcMar>
            <w:vAlign w:val="center"/>
          </w:tcPr>
          <w:p w14:paraId="7A2FD11B" w14:textId="77777777" w:rsidR="00F558A8" w:rsidRDefault="00381CA3">
            <w:pPr>
              <w:rPr>
                <w:color w:val="3C5A66"/>
                <w:sz w:val="18"/>
                <w:szCs w:val="18"/>
              </w:rPr>
            </w:pPr>
            <w:r>
              <w:rPr>
                <w:color w:val="3C5A66"/>
                <w:sz w:val="18"/>
                <w:szCs w:val="18"/>
              </w:rPr>
              <w:t>Includes the source in data</w:t>
            </w:r>
            <w:r w:rsidR="008A5D10">
              <w:rPr>
                <w:color w:val="3C5A66"/>
                <w:sz w:val="18"/>
                <w:szCs w:val="18"/>
              </w:rPr>
              <w:t>—</w:t>
            </w:r>
            <w:r>
              <w:rPr>
                <w:color w:val="3C5A66"/>
                <w:sz w:val="18"/>
                <w:szCs w:val="18"/>
              </w:rPr>
              <w:t>mastering activities.</w:t>
            </w:r>
          </w:p>
        </w:tc>
      </w:tr>
      <w:tr w:rsidR="00F558A8" w14:paraId="221DA03B" w14:textId="77777777">
        <w:tc>
          <w:tcPr>
            <w:tcW w:w="2600" w:type="dxa"/>
            <w:shd w:val="clear" w:color="auto" w:fill="FFFFFF"/>
            <w:tcMar>
              <w:top w:w="60" w:type="dxa"/>
              <w:left w:w="120" w:type="dxa"/>
              <w:bottom w:w="60" w:type="dxa"/>
              <w:right w:w="120" w:type="dxa"/>
            </w:tcMar>
            <w:vAlign w:val="center"/>
          </w:tcPr>
          <w:p w14:paraId="242F3638" w14:textId="77777777" w:rsidR="00F558A8" w:rsidRDefault="00381CA3">
            <w:pPr>
              <w:rPr>
                <w:b/>
                <w:bCs/>
                <w:color w:val="14333F"/>
                <w:sz w:val="18"/>
                <w:szCs w:val="18"/>
              </w:rPr>
            </w:pPr>
            <w:r>
              <w:rPr>
                <w:b/>
                <w:bCs/>
                <w:color w:val="14333F"/>
                <w:sz w:val="18"/>
                <w:szCs w:val="18"/>
              </w:rPr>
              <w:t>Cost per Terabyte</w:t>
            </w:r>
          </w:p>
        </w:tc>
        <w:tc>
          <w:tcPr>
            <w:tcW w:w="6760" w:type="dxa"/>
            <w:shd w:val="clear" w:color="auto" w:fill="FFFFFF"/>
            <w:tcMar>
              <w:top w:w="60" w:type="dxa"/>
              <w:left w:w="120" w:type="dxa"/>
              <w:bottom w:w="60" w:type="dxa"/>
              <w:right w:w="120" w:type="dxa"/>
            </w:tcMar>
            <w:vAlign w:val="center"/>
          </w:tcPr>
          <w:p w14:paraId="423FBC0A" w14:textId="77777777" w:rsidR="00F558A8" w:rsidRDefault="00381CA3">
            <w:pPr>
              <w:rPr>
                <w:color w:val="3C5A66"/>
                <w:sz w:val="18"/>
                <w:szCs w:val="18"/>
              </w:rPr>
            </w:pPr>
            <w:r>
              <w:rPr>
                <w:color w:val="3C5A66"/>
                <w:sz w:val="18"/>
                <w:szCs w:val="18"/>
              </w:rPr>
              <w:t>Price, currency, and billing frequency (day, week, month, or year). Feeds cost modelling so the savings from tiering can be quantified.</w:t>
            </w:r>
          </w:p>
        </w:tc>
      </w:tr>
      <w:tr w:rsidR="00F558A8" w14:paraId="51E510C5" w14:textId="77777777">
        <w:tc>
          <w:tcPr>
            <w:tcW w:w="2600" w:type="dxa"/>
            <w:shd w:val="clear" w:color="auto" w:fill="F4F7F9"/>
            <w:tcMar>
              <w:top w:w="60" w:type="dxa"/>
              <w:left w:w="120" w:type="dxa"/>
              <w:bottom w:w="60" w:type="dxa"/>
              <w:right w:w="120" w:type="dxa"/>
            </w:tcMar>
            <w:vAlign w:val="center"/>
          </w:tcPr>
          <w:p w14:paraId="6598ADAE" w14:textId="77777777" w:rsidR="00F558A8" w:rsidRDefault="00381CA3">
            <w:pPr>
              <w:rPr>
                <w:b/>
                <w:bCs/>
                <w:color w:val="14333F"/>
                <w:sz w:val="18"/>
                <w:szCs w:val="18"/>
              </w:rPr>
            </w:pPr>
            <w:r>
              <w:rPr>
                <w:b/>
                <w:bCs/>
                <w:color w:val="14333F"/>
                <w:sz w:val="18"/>
                <w:szCs w:val="18"/>
              </w:rPr>
              <w:t>Total Capacity</w:t>
            </w:r>
          </w:p>
        </w:tc>
        <w:tc>
          <w:tcPr>
            <w:tcW w:w="6760" w:type="dxa"/>
            <w:shd w:val="clear" w:color="auto" w:fill="F4F7F9"/>
            <w:tcMar>
              <w:top w:w="60" w:type="dxa"/>
              <w:left w:w="120" w:type="dxa"/>
              <w:bottom w:w="60" w:type="dxa"/>
              <w:right w:w="120" w:type="dxa"/>
            </w:tcMar>
            <w:vAlign w:val="center"/>
          </w:tcPr>
          <w:p w14:paraId="2D4BD988" w14:textId="77777777" w:rsidR="00F558A8" w:rsidRDefault="00381CA3">
            <w:pPr>
              <w:rPr>
                <w:color w:val="3C5A66"/>
                <w:sz w:val="18"/>
                <w:szCs w:val="18"/>
              </w:rPr>
            </w:pPr>
            <w:r>
              <w:rPr>
                <w:color w:val="3C5A66"/>
                <w:sz w:val="18"/>
                <w:szCs w:val="18"/>
              </w:rPr>
              <w:t>The source’s total size in terabytes — the denominator for cost and utilisation reporting.</w:t>
            </w:r>
          </w:p>
        </w:tc>
      </w:tr>
      <w:tr w:rsidR="00F558A8" w14:paraId="535AF640" w14:textId="77777777">
        <w:tc>
          <w:tcPr>
            <w:tcW w:w="2600" w:type="dxa"/>
            <w:shd w:val="clear" w:color="auto" w:fill="FFFFFF"/>
            <w:tcMar>
              <w:top w:w="60" w:type="dxa"/>
              <w:left w:w="120" w:type="dxa"/>
              <w:bottom w:w="60" w:type="dxa"/>
              <w:right w:w="120" w:type="dxa"/>
            </w:tcMar>
            <w:vAlign w:val="center"/>
          </w:tcPr>
          <w:p w14:paraId="5BC131A7" w14:textId="77777777" w:rsidR="00F558A8" w:rsidRDefault="00381CA3">
            <w:pPr>
              <w:rPr>
                <w:b/>
                <w:bCs/>
                <w:color w:val="14333F"/>
                <w:sz w:val="18"/>
                <w:szCs w:val="18"/>
              </w:rPr>
            </w:pPr>
            <w:r>
              <w:rPr>
                <w:b/>
                <w:bCs/>
                <w:color w:val="14333F"/>
                <w:sz w:val="18"/>
                <w:szCs w:val="18"/>
              </w:rPr>
              <w:t>Note</w:t>
            </w:r>
          </w:p>
        </w:tc>
        <w:tc>
          <w:tcPr>
            <w:tcW w:w="6760" w:type="dxa"/>
            <w:shd w:val="clear" w:color="auto" w:fill="FFFFFF"/>
            <w:tcMar>
              <w:top w:w="60" w:type="dxa"/>
              <w:left w:w="120" w:type="dxa"/>
              <w:bottom w:w="60" w:type="dxa"/>
              <w:right w:w="120" w:type="dxa"/>
            </w:tcMar>
            <w:vAlign w:val="center"/>
          </w:tcPr>
          <w:p w14:paraId="1D9AB693" w14:textId="77777777" w:rsidR="00F558A8" w:rsidRDefault="00381CA3">
            <w:pPr>
              <w:rPr>
                <w:color w:val="3C5A66"/>
                <w:sz w:val="18"/>
                <w:szCs w:val="18"/>
              </w:rPr>
            </w:pPr>
            <w:r>
              <w:rPr>
                <w:color w:val="3C5A66"/>
                <w:sz w:val="18"/>
                <w:szCs w:val="18"/>
              </w:rPr>
              <w:t>Free</w:t>
            </w:r>
            <w:r w:rsidR="008A5D10">
              <w:rPr>
                <w:color w:val="3C5A66"/>
                <w:sz w:val="18"/>
                <w:szCs w:val="18"/>
              </w:rPr>
              <w:t>—</w:t>
            </w:r>
            <w:r>
              <w:rPr>
                <w:color w:val="3C5A66"/>
                <w:sz w:val="18"/>
                <w:szCs w:val="18"/>
              </w:rPr>
              <w:t>text shared with anyone who opens the data source.</w:t>
            </w:r>
          </w:p>
        </w:tc>
      </w:tr>
    </w:tbl>
    <w:p w14:paraId="63A5CEB6" w14:textId="77777777" w:rsidR="00F558A8" w:rsidRDefault="00F558A8">
      <w:pPr>
        <w:spacing w:line="276" w:lineRule="auto"/>
        <w:rPr>
          <w:sz w:val="8"/>
          <w:szCs w:val="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8A8" w14:paraId="4AB10F7B" w14:textId="77777777">
        <w:tc>
          <w:tcPr>
            <w:tcW w:w="9360" w:type="dxa"/>
            <w:tcBorders>
              <w:top w:val="single" w:sz="1" w:space="0" w:color="F4F7F9"/>
              <w:left w:val="single" w:sz="12" w:space="0" w:color="1C7293"/>
              <w:bottom w:val="single" w:sz="1" w:space="0" w:color="F4F7F9"/>
              <w:right w:val="single" w:sz="1" w:space="0" w:color="F4F7F9"/>
            </w:tcBorders>
            <w:shd w:val="clear" w:color="auto" w:fill="F4F7F9"/>
            <w:tcMar>
              <w:top w:w="140" w:type="dxa"/>
              <w:left w:w="200" w:type="dxa"/>
              <w:bottom w:w="140" w:type="dxa"/>
              <w:right w:w="200" w:type="dxa"/>
            </w:tcMar>
          </w:tcPr>
          <w:p w14:paraId="6AF817AC" w14:textId="77777777" w:rsidR="00F558A8" w:rsidRDefault="00381CA3">
            <w:pPr>
              <w:spacing w:line="276" w:lineRule="auto"/>
            </w:pPr>
            <w:r>
              <w:rPr>
                <w:b/>
                <w:bCs/>
                <w:color w:val="1C7293"/>
              </w:rPr>
              <w:t xml:space="preserve">For this lab: </w:t>
            </w:r>
            <w:r>
              <w:t>leave all of these blank and click Create Data Source. We come back to Cost per Terabyte and Total Capacity when we look at Data Optimizer, where AWC can model the savings from tiering cold compliance PDFs into deep archive.</w:t>
            </w:r>
          </w:p>
        </w:tc>
      </w:tr>
    </w:tbl>
    <w:p w14:paraId="7CC94209" w14:textId="77777777" w:rsidR="002A268E" w:rsidRDefault="002A268E">
      <w:pPr>
        <w:pStyle w:val="Heading1"/>
      </w:pPr>
    </w:p>
    <w:p w14:paraId="5DC020E9" w14:textId="77777777" w:rsidR="002A268E" w:rsidRDefault="002A268E">
      <w:pPr>
        <w:pStyle w:val="Heading1"/>
      </w:pPr>
    </w:p>
    <w:p w14:paraId="67EAC51F" w14:textId="77777777" w:rsidR="002A268E" w:rsidRDefault="002A268E">
      <w:pPr>
        <w:pStyle w:val="Heading1"/>
      </w:pPr>
    </w:p>
    <w:p w14:paraId="6F5363E2" w14:textId="77777777" w:rsidR="002A268E" w:rsidRDefault="002A268E">
      <w:pPr>
        <w:pStyle w:val="Heading1"/>
      </w:pPr>
    </w:p>
    <w:p w14:paraId="41A0B154" w14:textId="77777777" w:rsidR="002A268E" w:rsidRDefault="002A268E">
      <w:pPr>
        <w:pStyle w:val="Heading1"/>
      </w:pPr>
    </w:p>
    <w:p w14:paraId="711B3163" w14:textId="77777777" w:rsidR="002A268E" w:rsidRDefault="002A268E">
      <w:pPr>
        <w:pStyle w:val="Heading1"/>
      </w:pPr>
    </w:p>
    <w:p w14:paraId="028C67A3" w14:textId="77777777" w:rsidR="002A268E" w:rsidRDefault="002A268E">
      <w:pPr>
        <w:pStyle w:val="Heading1"/>
      </w:pPr>
    </w:p>
    <w:p w14:paraId="05ABAE0A" w14:textId="3B4288F1" w:rsidR="008D3CFE" w:rsidRDefault="00605B5A">
      <w:pPr>
        <w:pStyle w:val="Heading1"/>
      </w:pPr>
      <w:r>
        <w:lastRenderedPageBreak/>
        <w:t>Verify your work</w:t>
      </w:r>
    </w:p>
    <w:p w14:paraId="26406CA2" w14:textId="77777777" w:rsidR="008D3CFE" w:rsidRDefault="00605B5A">
      <w:pPr>
        <w:spacing w:after="120" w:line="276" w:lineRule="auto"/>
      </w:pPr>
      <w:r>
        <w:t>You are done with Workshop 1 when all of the following are true:</w:t>
      </w:r>
    </w:p>
    <w:p w14:paraId="109442C5" w14:textId="77777777" w:rsidR="008D3CFE" w:rsidRDefault="00605B5A">
      <w:pPr>
        <w:pStyle w:val="ListParagraph"/>
        <w:numPr>
          <w:ilvl w:val="0"/>
          <w:numId w:val="2"/>
        </w:numPr>
        <w:spacing w:after="60" w:line="264" w:lineRule="auto"/>
      </w:pPr>
      <w:r>
        <w:t>Arizona_Water_Operations is online and a Discovery search for customers returns the table with its columns.</w:t>
      </w:r>
    </w:p>
    <w:p w14:paraId="22D230B9" w14:textId="77777777" w:rsidR="008D3CFE" w:rsidRDefault="00605B5A">
      <w:pPr>
        <w:pStyle w:val="ListParagraph"/>
        <w:numPr>
          <w:ilvl w:val="0"/>
          <w:numId w:val="2"/>
        </w:numPr>
        <w:spacing w:after="60" w:line="264" w:lineRule="auto"/>
      </w:pPr>
      <w:r>
        <w:t xml:space="preserve">All six </w:t>
      </w:r>
      <w:proofErr w:type="spellStart"/>
      <w:r>
        <w:t>awc_operations</w:t>
      </w:r>
      <w:proofErr w:type="spellEnd"/>
      <w:r>
        <w:t xml:space="preserve"> tables are visible in the Data Canvas.</w:t>
      </w:r>
    </w:p>
    <w:p w14:paraId="74A3E2AD" w14:textId="77777777" w:rsidR="008D3CFE" w:rsidRDefault="00605B5A">
      <w:pPr>
        <w:pStyle w:val="ListParagraph"/>
        <w:numPr>
          <w:ilvl w:val="0"/>
          <w:numId w:val="2"/>
        </w:numPr>
        <w:spacing w:after="60" w:line="264" w:lineRule="auto"/>
      </w:pPr>
      <w:proofErr w:type="spellStart"/>
      <w:r>
        <w:t>Arizona_Water_Documents</w:t>
      </w:r>
      <w:proofErr w:type="spellEnd"/>
      <w:r>
        <w:t xml:space="preserve"> is online and scanned, with the five document folders visible in the Data Canvas.</w:t>
      </w:r>
    </w:p>
    <w:p w14:paraId="4E3BECE6" w14:textId="77777777" w:rsidR="008D3CFE" w:rsidRDefault="00605B5A">
      <w:pPr>
        <w:pStyle w:val="ListParagraph"/>
        <w:numPr>
          <w:ilvl w:val="0"/>
          <w:numId w:val="2"/>
        </w:numPr>
        <w:spacing w:after="60" w:line="264" w:lineRule="auto"/>
      </w:pPr>
      <w:r>
        <w:t>You can explain, in your own words, why a database is ingested by schema while files are scanned, and which engine processes each.</w:t>
      </w:r>
    </w:p>
    <w:p w14:paraId="0C160406" w14:textId="77777777" w:rsidR="008D3CFE" w:rsidRDefault="00605B5A">
      <w:pPr>
        <w:pStyle w:val="Heading1"/>
      </w:pPr>
      <w: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8D3CFE" w14:paraId="674678D3" w14:textId="77777777">
        <w:trPr>
          <w:tblHeader/>
        </w:trPr>
        <w:tc>
          <w:tcPr>
            <w:tcW w:w="330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43A50FAE" w14:textId="77777777" w:rsidR="008D3CFE" w:rsidRDefault="00605B5A">
            <w:r>
              <w:rPr>
                <w:b/>
                <w:bCs/>
                <w:color w:val="FFFFFF"/>
                <w:sz w:val="20"/>
                <w:szCs w:val="20"/>
              </w:rPr>
              <w:t>Symptom</w:t>
            </w:r>
          </w:p>
        </w:tc>
        <w:tc>
          <w:tcPr>
            <w:tcW w:w="6060" w:type="dxa"/>
            <w:tcBorders>
              <w:top w:val="single" w:sz="1" w:space="0" w:color="C9DEE8"/>
              <w:left w:val="single" w:sz="1" w:space="0" w:color="C9DEE8"/>
              <w:bottom w:val="single" w:sz="1" w:space="0" w:color="C9DEE8"/>
              <w:right w:val="single" w:sz="1" w:space="0" w:color="C9DEE8"/>
            </w:tcBorders>
            <w:shd w:val="clear" w:color="auto" w:fill="0A3D52"/>
            <w:tcMar>
              <w:top w:w="80" w:type="dxa"/>
              <w:left w:w="120" w:type="dxa"/>
              <w:bottom w:w="80" w:type="dxa"/>
              <w:right w:w="120" w:type="dxa"/>
            </w:tcMar>
          </w:tcPr>
          <w:p w14:paraId="2E575436" w14:textId="77777777" w:rsidR="008D3CFE" w:rsidRDefault="00605B5A">
            <w:r>
              <w:rPr>
                <w:b/>
                <w:bCs/>
                <w:color w:val="FFFFFF"/>
                <w:sz w:val="20"/>
                <w:szCs w:val="20"/>
              </w:rPr>
              <w:t>Cause and fix</w:t>
            </w:r>
          </w:p>
        </w:tc>
      </w:tr>
      <w:tr w:rsidR="008D3CFE" w14:paraId="462A0802" w14:textId="77777777">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1596355C" w14:textId="77777777" w:rsidR="008D3CFE" w:rsidRDefault="00605B5A">
            <w:r>
              <w:rPr>
                <w:sz w:val="20"/>
                <w:szCs w:val="20"/>
              </w:rPr>
              <w:t>Test Connection fails for the database</w:t>
            </w:r>
          </w:p>
        </w:tc>
        <w:tc>
          <w:tcPr>
            <w:tcW w:w="6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3E89C3D1" w14:textId="77777777" w:rsidR="008D3CFE" w:rsidRDefault="00605B5A">
            <w:r>
              <w:rPr>
                <w:sz w:val="20"/>
                <w:szCs w:val="20"/>
              </w:rPr>
              <w:t>Host or credentials wrong. From the host use localhost:5432; in</w:t>
            </w:r>
            <w:r w:rsidR="008A5D10">
              <w:rPr>
                <w:sz w:val="20"/>
                <w:szCs w:val="20"/>
              </w:rPr>
              <w:t>—</w:t>
            </w:r>
            <w:r>
              <w:rPr>
                <w:sz w:val="20"/>
                <w:szCs w:val="20"/>
              </w:rPr>
              <w:t xml:space="preserve">container use </w:t>
            </w:r>
            <w:proofErr w:type="spellStart"/>
            <w:r>
              <w:rPr>
                <w:sz w:val="20"/>
                <w:szCs w:val="20"/>
              </w:rPr>
              <w:t>az</w:t>
            </w:r>
            <w:proofErr w:type="spellEnd"/>
            <w:r w:rsidR="008A5D10">
              <w:rPr>
                <w:sz w:val="20"/>
                <w:szCs w:val="20"/>
              </w:rPr>
              <w:t>—</w:t>
            </w:r>
            <w:r>
              <w:rPr>
                <w:sz w:val="20"/>
                <w:szCs w:val="20"/>
              </w:rPr>
              <w:t>water</w:t>
            </w:r>
            <w:r w:rsidR="008A5D10">
              <w:rPr>
                <w:sz w:val="20"/>
                <w:szCs w:val="20"/>
              </w:rPr>
              <w:t>—</w:t>
            </w:r>
            <w:r>
              <w:rPr>
                <w:sz w:val="20"/>
                <w:szCs w:val="20"/>
              </w:rPr>
              <w:t xml:space="preserve">postgres. Confirm </w:t>
            </w:r>
            <w:proofErr w:type="spellStart"/>
            <w:r>
              <w:rPr>
                <w:sz w:val="20"/>
                <w:szCs w:val="20"/>
              </w:rPr>
              <w:t>pdc_user</w:t>
            </w:r>
            <w:proofErr w:type="spellEnd"/>
            <w:r>
              <w:rPr>
                <w:sz w:val="20"/>
                <w:szCs w:val="20"/>
              </w:rPr>
              <w:t xml:space="preserve"> / </w:t>
            </w:r>
            <w:r w:rsidR="00667F6B">
              <w:rPr>
                <w:sz w:val="20"/>
                <w:szCs w:val="20"/>
              </w:rPr>
              <w:t>Catalog</w:t>
            </w:r>
            <w:proofErr w:type="gramStart"/>
            <w:r>
              <w:rPr>
                <w:sz w:val="20"/>
                <w:szCs w:val="20"/>
              </w:rPr>
              <w:t>123!.</w:t>
            </w:r>
            <w:proofErr w:type="gramEnd"/>
          </w:p>
        </w:tc>
      </w:tr>
      <w:tr w:rsidR="008D3CFE" w14:paraId="6592579F" w14:textId="77777777">
        <w:tc>
          <w:tcPr>
            <w:tcW w:w="3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558221D2" w14:textId="77777777" w:rsidR="008D3CFE" w:rsidRDefault="00605B5A">
            <w:r>
              <w:rPr>
                <w:sz w:val="20"/>
                <w:szCs w:val="20"/>
              </w:rPr>
              <w:t xml:space="preserve">Test Connection fails for </w:t>
            </w:r>
            <w:proofErr w:type="spellStart"/>
            <w:r>
              <w:rPr>
                <w:sz w:val="20"/>
                <w:szCs w:val="20"/>
              </w:rPr>
              <w:t>MinIO</w:t>
            </w:r>
            <w:proofErr w:type="spellEnd"/>
          </w:p>
        </w:tc>
        <w:tc>
          <w:tcPr>
            <w:tcW w:w="6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7C58611C" w14:textId="77777777" w:rsidR="008D3CFE" w:rsidRDefault="00605B5A">
            <w:r>
              <w:rPr>
                <w:sz w:val="20"/>
                <w:szCs w:val="20"/>
              </w:rPr>
              <w:t>Endpoint or keys wrong. Most often the Endpoint is set to localhost — from inside the PDC container that points at PDC itself, so use the VM/host IP (e.g. http://192.168.1.200:9000). An IP endpoint also forces S3 path</w:t>
            </w:r>
            <w:r w:rsidR="00B65D33">
              <w:rPr>
                <w:sz w:val="20"/>
                <w:szCs w:val="20"/>
              </w:rPr>
              <w:t>-</w:t>
            </w:r>
            <w:r>
              <w:rPr>
                <w:sz w:val="20"/>
                <w:szCs w:val="20"/>
              </w:rPr>
              <w:t xml:space="preserve">style, which </w:t>
            </w:r>
            <w:proofErr w:type="spellStart"/>
            <w:r>
              <w:rPr>
                <w:sz w:val="20"/>
                <w:szCs w:val="20"/>
              </w:rPr>
              <w:t>MinIO</w:t>
            </w:r>
            <w:proofErr w:type="spellEnd"/>
            <w:r>
              <w:rPr>
                <w:sz w:val="20"/>
                <w:szCs w:val="20"/>
              </w:rPr>
              <w:t xml:space="preserve"> requires; a hostname makes the SDK prepend the bucket (</w:t>
            </w:r>
            <w:proofErr w:type="spellStart"/>
            <w:r>
              <w:rPr>
                <w:sz w:val="20"/>
                <w:szCs w:val="20"/>
              </w:rPr>
              <w:t>awc</w:t>
            </w:r>
            <w:proofErr w:type="spellEnd"/>
            <w:r w:rsidR="008A5D10">
              <w:rPr>
                <w:sz w:val="20"/>
                <w:szCs w:val="20"/>
              </w:rPr>
              <w:t>—</w:t>
            </w:r>
            <w:proofErr w:type="spellStart"/>
            <w:proofErr w:type="gramStart"/>
            <w:r>
              <w:rPr>
                <w:sz w:val="20"/>
                <w:szCs w:val="20"/>
              </w:rPr>
              <w:t>documents.host</w:t>
            </w:r>
            <w:proofErr w:type="spellEnd"/>
            <w:proofErr w:type="gramEnd"/>
            <w:r>
              <w:rPr>
                <w:sz w:val="20"/>
                <w:szCs w:val="20"/>
              </w:rPr>
              <w:t xml:space="preserve">) and fail. Confirm </w:t>
            </w:r>
            <w:proofErr w:type="spellStart"/>
            <w:r>
              <w:rPr>
                <w:sz w:val="20"/>
                <w:szCs w:val="20"/>
              </w:rPr>
              <w:t>awc_minio_user</w:t>
            </w:r>
            <w:proofErr w:type="spellEnd"/>
            <w:r>
              <w:rPr>
                <w:sz w:val="20"/>
                <w:szCs w:val="20"/>
              </w:rPr>
              <w:t xml:space="preserve"> / minio_secret_123! and that the </w:t>
            </w:r>
            <w:proofErr w:type="spellStart"/>
            <w:r>
              <w:rPr>
                <w:sz w:val="20"/>
                <w:szCs w:val="20"/>
              </w:rPr>
              <w:t>awc</w:t>
            </w:r>
            <w:proofErr w:type="spellEnd"/>
            <w:r w:rsidR="008A5D10">
              <w:rPr>
                <w:sz w:val="20"/>
                <w:szCs w:val="20"/>
              </w:rPr>
              <w:t>—</w:t>
            </w:r>
            <w:r>
              <w:rPr>
                <w:sz w:val="20"/>
                <w:szCs w:val="20"/>
              </w:rPr>
              <w:t>documents bucket exists.</w:t>
            </w:r>
          </w:p>
        </w:tc>
      </w:tr>
      <w:tr w:rsidR="008D3CFE" w14:paraId="4C39EBFB" w14:textId="77777777">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3A3850B2" w14:textId="77777777" w:rsidR="008D3CFE" w:rsidRDefault="00605B5A">
            <w:r>
              <w:rPr>
                <w:sz w:val="20"/>
                <w:szCs w:val="20"/>
              </w:rPr>
              <w:t>Scan finds no files</w:t>
            </w:r>
          </w:p>
        </w:tc>
        <w:tc>
          <w:tcPr>
            <w:tcW w:w="6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20" w:type="dxa"/>
              <w:bottom w:w="70" w:type="dxa"/>
              <w:right w:w="120" w:type="dxa"/>
            </w:tcMar>
          </w:tcPr>
          <w:p w14:paraId="1D7C7FA7" w14:textId="77777777" w:rsidR="008D3CFE" w:rsidRDefault="00605B5A">
            <w:r>
              <w:rPr>
                <w:sz w:val="20"/>
                <w:szCs w:val="20"/>
              </w:rPr>
              <w:t>The bucket loaded empty. Re</w:t>
            </w:r>
            <w:r w:rsidR="00B65D33">
              <w:rPr>
                <w:sz w:val="20"/>
                <w:szCs w:val="20"/>
              </w:rPr>
              <w:t>-</w:t>
            </w:r>
            <w:r>
              <w:rPr>
                <w:sz w:val="20"/>
                <w:szCs w:val="20"/>
              </w:rPr>
              <w:t>run the lab loader (make load) and confirm 17 files with make verify</w:t>
            </w:r>
            <w:r w:rsidR="00B65D33">
              <w:rPr>
                <w:sz w:val="20"/>
                <w:szCs w:val="20"/>
              </w:rPr>
              <w:t>-</w:t>
            </w:r>
            <w:r>
              <w:rPr>
                <w:sz w:val="20"/>
                <w:szCs w:val="20"/>
              </w:rPr>
              <w:t>files.</w:t>
            </w:r>
          </w:p>
        </w:tc>
      </w:tr>
      <w:tr w:rsidR="008D3CFE" w14:paraId="16987D79" w14:textId="77777777">
        <w:tc>
          <w:tcPr>
            <w:tcW w:w="3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651ECC81" w14:textId="77777777" w:rsidR="008D3CFE" w:rsidRDefault="00605B5A">
            <w:r>
              <w:rPr>
                <w:sz w:val="20"/>
                <w:szCs w:val="20"/>
              </w:rPr>
              <w:t>Source stays OFFLINE</w:t>
            </w:r>
          </w:p>
        </w:tc>
        <w:tc>
          <w:tcPr>
            <w:tcW w:w="6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20" w:type="dxa"/>
              <w:bottom w:w="70" w:type="dxa"/>
              <w:right w:w="120" w:type="dxa"/>
            </w:tcMar>
          </w:tcPr>
          <w:p w14:paraId="69986646" w14:textId="77777777" w:rsidR="008D3CFE" w:rsidRDefault="00605B5A">
            <w:r>
              <w:rPr>
                <w:sz w:val="20"/>
                <w:szCs w:val="20"/>
              </w:rPr>
              <w:t>This is expected until Test Connection succeeds. Fix the connection details and test again.</w:t>
            </w:r>
          </w:p>
        </w:tc>
      </w:tr>
    </w:tbl>
    <w:p w14:paraId="73124FF7" w14:textId="77777777" w:rsidR="008D3CFE" w:rsidRDefault="00605B5A">
      <w:pPr>
        <w:pStyle w:val="Heading1"/>
      </w:pPr>
      <w:r>
        <w:t>Why it matters &amp; discussion</w:t>
      </w:r>
    </w:p>
    <w:p w14:paraId="20929BBC" w14:textId="77777777" w:rsidR="008D3CFE" w:rsidRDefault="00605B5A">
      <w:pPr>
        <w:spacing w:after="120" w:line="276" w:lineRule="auto"/>
      </w:pPr>
      <w:r>
        <w:t>PDC encrypts connection credentials and refuses to bring a source online until Test Connection succeeds. Discuss with your group: why are both of those behaviours essential for a regulated utility that holds customer PII and must demonstrate control of its data? Relate your answer to AWC’s obligations under its own privacy policy and the Safe Drinking Water Act reporting it must file.</w:t>
      </w:r>
    </w:p>
    <w:p w14:paraId="336D4F71" w14:textId="47A7C5DC" w:rsidR="008D3CFE" w:rsidRDefault="00605B5A">
      <w:pPr>
        <w:pStyle w:val="Heading1"/>
      </w:pPr>
      <w:r>
        <w:t>What’s next</w:t>
      </w:r>
    </w:p>
    <w:p w14:paraId="038D7B38" w14:textId="77777777" w:rsidR="008D3CFE" w:rsidRDefault="00605B5A">
      <w:pPr>
        <w:spacing w:after="120" w:line="276" w:lineRule="auto"/>
      </w:pPr>
      <w:r>
        <w:t xml:space="preserve">With both sources connected, Workshop 2 reads what the </w:t>
      </w:r>
      <w:r w:rsidR="00667F6B">
        <w:t>Catalog</w:t>
      </w:r>
      <w:r>
        <w:t xml:space="preserve"> learned about them — the structure and metadata of the tables, and the document properties of the files. You will see that whether an asset is a billing table or a regulatory PDF, PDC describes it through the same three layers of metadata.</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Arizona Water </w:t>
    </w:r>
    <w:proofErr w:type="gramStart"/>
    <w:r>
      <w:rPr>
        <w:color w:val="5B7782"/>
        <w:sz w:val="16"/>
        <w:szCs w:val="16"/>
      </w:rPr>
      <w:t>Company  ·</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1: Connect the Data Sources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1 — Connect the Data Sources</dc:title>
  <dc:creator>Arizona Water Company - PDC BA Course</dc:creator>
  <cp:lastModifiedBy>James O'Reilly</cp:lastModifiedBy>
  <cp:revision>23</cp:revision>
  <dcterms:created xsi:type="dcterms:W3CDTF">2026-06-12T07:37:00Z</dcterms:created>
  <dcterms:modified xsi:type="dcterms:W3CDTF">2026-07-02T19:02:00Z</dcterms:modified>
</cp:coreProperties>
</file>