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BUSINESS GLOSSARY</w:t>
      </w:r>
    </w:p>
    <w:p>
      <w:pPr>
        <w:spacing w:before="200"/>
      </w:pPr>
      <w:r>
        <w:rPr>
          <w:b/>
          <w:bCs/>
          <w:color w:val="5B7782"/>
          <w:spacing w:val="20"/>
          <w:sz w:val="32"/>
          <w:szCs w:val="32"/>
        </w:rPr>
        <w:t xml:space="preserve">WORKSHOP 3</w:t>
      </w:r>
    </w:p>
    <w:p>
      <w:pPr>
        <w:spacing w:before="320"/>
      </w:pPr>
      <w:r>
        <w:rPr>
          <w:rFonts w:ascii="Cambria" w:eastAsia="Cambria" w:hAnsi="Cambria" w:cs="Cambria"/>
          <w:b/>
          <w:bCs/>
          <w:color w:val="14333F"/>
          <w:sz w:val="56"/>
          <w:szCs w:val="56"/>
        </w:rPr>
        <w:t xml:space="preserve">Build the Business Glossary</w:t>
      </w:r>
    </w:p>
    <w:p>
      <w:pPr>
        <w:spacing w:before="200"/>
      </w:pPr>
      <w:r>
        <w:rPr>
          <w:color w:val="065A82"/>
          <w:sz w:val="28"/>
          <w:szCs w:val="28"/>
        </w:rPr>
        <w:t xml:space="preserve">Give CPC one governed vocabulary: build, import, link and steward the terms — then feed each table's Trust Score.</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Steward</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Cascade Precision Components (cpc_mfg + cpc-documents)</w:t>
      </w:r>
    </w:p>
    <w:p>
      <w:pPr>
        <w:pStyle w:val="Heading1"/>
      </w:pPr>
      <w:r>
        <w:t xml:space="preserve">Why this workshop matters</w:t>
      </w:r>
    </w:p>
    <w:p>
      <w:pPr>
        <w:spacing w:after="120"/>
      </w:pPr>
      <w:r>
        <w:t xml:space="preserve">In Workshops 1 and 2 you connected CPC's data and learned to read its three metadata layers — and you saw the business layer come up empty, because that knowledge does not live on the table. It lives in the Business Glossary. This workshop fills that gap. You will build CPC's glossary: the controlled vocabulary that turns a cryptic column like </w:t>
      </w:r>
      <w:r>
        <w:rPr>
          <w:rFonts w:ascii="Consolas" w:hAnsi="Consolas"/>
          <w:color w:val="0A5560"/>
          <w:sz w:val="20"/>
          <w:szCs w:val="20"/>
        </w:rPr>
        <w:t xml:space="preserve">coc_flag</w:t>
      </w:r>
      <w:r>
        <w:t xml:space="preserve"> into a governed term with a plain-language definition, an owner, and a sensitivity level — then link those terms to the Catalog so every analyst speaks the same language.</w:t>
      </w:r>
    </w:p>
    <w:p>
      <w:pPr>
        <w:pBdr>
          <w:left w:val="single" w:sz="12" w:space="8" w:color="065A82"/>
        </w:pBdr>
        <w:shd w:val="clear" w:color="auto" w:fill="EEF6FA"/>
        <w:ind w:left="240" w:right="240"/>
        <w:spacing w:before="120" w:after="160"/>
      </w:pPr>
      <w:r>
        <w:rPr>
          <w:b/>
          <w:bCs/>
        </w:rPr>
        <w:t xml:space="preserve">The business problem.</w:t>
      </w:r>
      <w:r>
        <w:t xml:space="preserve"> An AS9100 auditor asks CPC to show every field that carries traceability data, who owns it, and how it is classified. Without a glossary, that means crawling a hundred columns across eleven tables and arguing about which ones matter. With a glossary, the traceability fields — lot number, CoC flag, lot status, MRB approval, safety-critical flag — are governed terms, each defined once, classified once, and linked to every matching column, so the answer is a single search. Workshop 3 builds that vocabulary.</w:t>
      </w:r>
    </w:p>
    <w:p>
      <w:pPr>
        <w:pStyle w:val="Heading1"/>
      </w:pPr>
      <w:r>
        <w:t xml:space="preserve">What you will learn</w:t>
      </w:r>
    </w:p>
    <w:p>
      <w:pPr>
        <w:pStyle w:val="ListParagraph"/>
        <w:numPr>
          <w:ilvl w:val="0"/>
          <w:numId w:val="2"/>
        </w:numPr>
        <w:spacing w:after="60"/>
      </w:pPr>
      <w:r>
        <w:t xml:space="preserve">What a Business Glossary is, and how the Glossary, Category, and Term hierarchy organizes CPC's business language — and why each layer exists.</w:t>
      </w:r>
    </w:p>
    <w:p>
      <w:pPr>
        <w:pStyle w:val="ListParagraph"/>
        <w:numPr>
          <w:ilvl w:val="0"/>
          <w:numId w:val="2"/>
        </w:numPr>
        <w:spacing w:after="60"/>
      </w:pPr>
      <w:r>
        <w:t xml:space="preserve">The built-in properties that carry governance — Domain, Sensitivity, Classification, Business Steward, and Owner — and why they live on the term, not the table.</w:t>
      </w:r>
    </w:p>
    <w:p>
      <w:pPr>
        <w:pStyle w:val="ListParagraph"/>
        <w:numPr>
          <w:ilvl w:val="0"/>
          <w:numId w:val="2"/>
        </w:numPr>
        <w:spacing w:after="60"/>
      </w:pPr>
      <w:r>
        <w:t xml:space="preserve">How to create a glossary, categories, and terms in the Data Canvas.</w:t>
      </w:r>
    </w:p>
    <w:p>
      <w:pPr>
        <w:pStyle w:val="ListParagraph"/>
        <w:numPr>
          <w:ilvl w:val="0"/>
          <w:numId w:val="2"/>
        </w:numPr>
        <w:spacing w:after="60"/>
      </w:pPr>
      <w:r>
        <w:t xml:space="preserve">How to import a glossary from a CSV or JSON Lines file — and how to get the exact format by exporting first.</w:t>
      </w:r>
    </w:p>
    <w:p>
      <w:pPr>
        <w:pStyle w:val="ListParagraph"/>
        <w:numPr>
          <w:ilvl w:val="0"/>
          <w:numId w:val="2"/>
        </w:numPr>
        <w:spacing w:after="60"/>
      </w:pPr>
      <w:r>
        <w:t xml:space="preserve">How to link business terms to their columns across every table in the source, and recalculate each table's Trust Score.</w:t>
      </w:r>
    </w:p>
    <w:p>
      <w:pPr>
        <w:pStyle w:val="ListParagraph"/>
        <w:numPr>
          <w:ilvl w:val="0"/>
          <w:numId w:val="2"/>
        </w:numPr>
        <w:spacing w:after="60"/>
      </w:pPr>
      <w:r>
        <w:t xml:space="preserve">How the Similarity Score powers the Suggested Columns you approve.</w:t>
      </w:r>
    </w:p>
    <w:p>
      <w:pPr>
        <w:pStyle w:val="Heading1"/>
      </w:pPr>
      <w:r>
        <w:t xml:space="preserve">Background: how a glossary is organized</w:t>
      </w:r>
    </w:p>
    <w:p>
      <w:pPr>
        <w:spacing w:after="120"/>
      </w:pPr>
      <w:r>
        <w:t xml:space="preserve">PDC organizes business language as a three-level hierarchy. A </w:t>
      </w:r>
      <w:r>
        <w:rPr>
          <w:b/>
          <w:bCs/>
        </w:rPr>
        <w:t xml:space="preserve">Glossary</w:t>
      </w:r>
      <w:r>
        <w:t xml:space="preserve"> is the top-level container; </w:t>
      </w:r>
      <w:r>
        <w:rPr>
          <w:b/>
          <w:bCs/>
        </w:rPr>
        <w:t xml:space="preserve">Categories</w:t>
      </w:r>
      <w:r>
        <w:t xml:space="preserve"> group related terms; and </w:t>
      </w:r>
      <w:r>
        <w:rPr>
          <w:b/>
          <w:bCs/>
        </w:rPr>
        <w:t xml:space="preserve">Terms</w:t>
      </w:r>
      <w:r>
        <w:t xml:space="preserve"> are the individual governed concepts, each with its own definition and properties. A term can sit under a category, directly under a glossary, or stand alone (in which case it shows as Unassigned). Tags are separate — lightweight, informal labels for quick discovery that complement terms rather than replace them.</w:t>
      </w:r>
    </w:p>
    <w:p>
      <w:pPr>
        <w:spacing w:after="120"/>
      </w:pPr>
      <w:r>
        <w:t xml:space="preserve">Why these four parts exist: each solves a different problem. The Glossary is the single, definitive reference, so the business stops arguing over what a word means. Categories make that vocabulary navigable, so an analyst can find terms by business area instead of scrolling a flat list. Terms let you define and govern a concept once — definition, owner, sensitivity — rather than re-deciding it on every table. And Linked Data Elements connect that business language to the physical columns and files that implement it, across every data source, so one search answers "where does this live and how is it governed?" and one change shows its full impact.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Level</w:t>
            </w:r>
          </w:p>
        </w:tc>
        <w:tc>
          <w:tcPr>
            <w:tcW w:w="3430" w:type="dxa"/>
            <w:shd w:val="clear" w:color="auto" w:fill="EEF6FA"/>
            <w:tcMar>
              <w:top w:w="120" w:type="dxa"/>
              <w:left w:w="180" w:type="dxa"/>
              <w:bottom w:w="120" w:type="dxa"/>
              <w:right w:w="180" w:type="dxa"/>
            </w:tcMar>
          </w:tcPr>
          <w:p>
            <w:pPr>
              <w:spacing w:after="0"/>
            </w:pPr>
            <w:r>
              <w:rPr>
                <w:b/>
                <w:bCs/>
              </w:rPr>
              <w:t xml:space="preserve">What it is</w:t>
            </w:r>
          </w:p>
        </w:tc>
        <w:tc>
          <w:tcPr>
            <w:tcW w:w="3430" w:type="dxa"/>
            <w:shd w:val="clear" w:color="auto" w:fill="EEF6FA"/>
            <w:tcMar>
              <w:top w:w="120" w:type="dxa"/>
              <w:left w:w="180" w:type="dxa"/>
              <w:bottom w:w="120" w:type="dxa"/>
              <w:right w:w="180" w:type="dxa"/>
            </w:tcMar>
          </w:tcPr>
          <w:p>
            <w:pPr>
              <w:spacing w:after="0"/>
            </w:pPr>
            <w:r>
              <w:rPr>
                <w:b/>
                <w:bCs/>
              </w:rPr>
              <w:t xml:space="preserve">CPC example</w:t>
            </w:r>
          </w:p>
        </w:tc>
      </w:tr>
      <w:tr>
        <w:tc>
          <w:tcPr>
            <w:tcW w:w="2500" w:type="dxa"/>
            <w:tcMar>
              <w:top w:w="120" w:type="dxa"/>
              <w:left w:w="180" w:type="dxa"/>
              <w:bottom w:w="120" w:type="dxa"/>
              <w:right w:w="180" w:type="dxa"/>
            </w:tcMar>
          </w:tcPr>
          <w:p>
            <w:pPr>
              <w:spacing w:after="0"/>
            </w:pPr>
            <w:r>
              <w:t xml:space="preserve">Glossary</w:t>
            </w:r>
          </w:p>
        </w:tc>
        <w:tc>
          <w:tcPr>
            <w:tcW w:w="3430" w:type="dxa"/>
            <w:tcMar>
              <w:top w:w="120" w:type="dxa"/>
              <w:left w:w="180" w:type="dxa"/>
              <w:bottom w:w="120" w:type="dxa"/>
              <w:right w:w="180" w:type="dxa"/>
            </w:tcMar>
          </w:tcPr>
          <w:p>
            <w:pPr>
              <w:spacing w:after="0"/>
            </w:pPr>
            <w:r>
              <w:t xml:space="preserve">The top-level container for a body of business language.</w:t>
            </w:r>
          </w:p>
        </w:tc>
        <w:tc>
          <w:tcPr>
            <w:tcW w:w="3430" w:type="dxa"/>
            <w:tcMar>
              <w:top w:w="120" w:type="dxa"/>
              <w:left w:w="180" w:type="dxa"/>
              <w:bottom w:w="120" w:type="dxa"/>
              <w:right w:w="180" w:type="dxa"/>
            </w:tcMar>
          </w:tcPr>
          <w:p>
            <w:pPr>
              <w:spacing w:after="0"/>
            </w:pPr>
            <w:r>
              <w:t xml:space="preserve">CPC Business Glossary</w:t>
            </w:r>
          </w:p>
        </w:tc>
      </w:tr>
      <w:tr>
        <w:tc>
          <w:tcPr>
            <w:tcW w:w="2500" w:type="dxa"/>
            <w:tcMar>
              <w:top w:w="120" w:type="dxa"/>
              <w:left w:w="180" w:type="dxa"/>
              <w:bottom w:w="120" w:type="dxa"/>
              <w:right w:w="180" w:type="dxa"/>
            </w:tcMar>
          </w:tcPr>
          <w:p>
            <w:pPr>
              <w:spacing w:after="0"/>
            </w:pPr>
            <w:r>
              <w:t xml:space="preserve">Category</w:t>
            </w:r>
          </w:p>
        </w:tc>
        <w:tc>
          <w:tcPr>
            <w:tcW w:w="3430" w:type="dxa"/>
            <w:tcMar>
              <w:top w:w="120" w:type="dxa"/>
              <w:left w:w="180" w:type="dxa"/>
              <w:bottom w:w="120" w:type="dxa"/>
              <w:right w:w="180" w:type="dxa"/>
            </w:tcMar>
          </w:tcPr>
          <w:p>
            <w:pPr>
              <w:spacing w:after="0"/>
            </w:pPr>
            <w:r>
              <w:t xml:space="preserve">A grouping of related terms within a glossary.</w:t>
            </w:r>
          </w:p>
        </w:tc>
        <w:tc>
          <w:tcPr>
            <w:tcW w:w="3430" w:type="dxa"/>
            <w:tcMar>
              <w:top w:w="120" w:type="dxa"/>
              <w:left w:w="180" w:type="dxa"/>
              <w:bottom w:w="120" w:type="dxa"/>
              <w:right w:w="180" w:type="dxa"/>
            </w:tcMar>
          </w:tcPr>
          <w:p>
            <w:pPr>
              <w:spacing w:after="0"/>
            </w:pPr>
            <w:r>
              <w:t xml:space="preserve">Traceability; Nonconformance; Parts &amp; BOM</w:t>
            </w:r>
          </w:p>
        </w:tc>
      </w:tr>
      <w:tr>
        <w:tc>
          <w:tcPr>
            <w:tcW w:w="2500" w:type="dxa"/>
            <w:tcMar>
              <w:top w:w="120" w:type="dxa"/>
              <w:left w:w="180" w:type="dxa"/>
              <w:bottom w:w="120" w:type="dxa"/>
              <w:right w:w="180" w:type="dxa"/>
            </w:tcMar>
          </w:tcPr>
          <w:p>
            <w:pPr>
              <w:spacing w:after="0"/>
            </w:pPr>
            <w:r>
              <w:t xml:space="preserve">Term</w:t>
            </w:r>
          </w:p>
        </w:tc>
        <w:tc>
          <w:tcPr>
            <w:tcW w:w="3430" w:type="dxa"/>
            <w:tcMar>
              <w:top w:w="120" w:type="dxa"/>
              <w:left w:w="180" w:type="dxa"/>
              <w:bottom w:w="120" w:type="dxa"/>
              <w:right w:w="180" w:type="dxa"/>
            </w:tcMar>
          </w:tcPr>
          <w:p>
            <w:pPr>
              <w:spacing w:after="0"/>
            </w:pPr>
            <w:r>
              <w:t xml:space="preserve">A single governed business concept, with a definition and properties.</w:t>
            </w:r>
          </w:p>
        </w:tc>
        <w:tc>
          <w:tcPr>
            <w:tcW w:w="3430" w:type="dxa"/>
            <w:tcMar>
              <w:top w:w="120" w:type="dxa"/>
              <w:left w:w="180" w:type="dxa"/>
              <w:bottom w:w="120" w:type="dxa"/>
              <w:right w:w="180" w:type="dxa"/>
            </w:tcMar>
          </w:tcPr>
          <w:p>
            <w:pPr>
              <w:spacing w:after="0"/>
            </w:pPr>
            <w:r>
              <w:t xml:space="preserve">Lot Number; MRB Approval Flag; Unit Cost</w:t>
            </w:r>
          </w:p>
        </w:tc>
      </w:tr>
    </w:tbl>
    <w:p>
      <w:pPr>
        <w:spacing w:after="120"/>
      </w:pP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Business Glossary — glossary, categories and terms in the navigation tree</w:t>
      </w:r>
    </w:p>
    <w:p>
      <w:pPr>
        <w:spacing w:after="120"/>
      </w:pPr>
      <w:r>
        <w:t xml:space="preserve">A glossary nests categories and terms, links each term to the real columns and files, with tags alongside.</w:t>
      </w:r>
    </w:p>
    <w:p>
      <w:pPr>
        <w:pStyle w:val="Heading2"/>
      </w:pPr>
      <w:r>
        <w:t xml:space="preserve">The properties that make a term governed</w:t>
      </w:r>
    </w:p>
    <w:p>
      <w:pPr>
        <w:spacing w:after="120"/>
      </w:pPr>
      <w:r>
        <w:t xml:space="preserve">Every glossary item carries built-in properties. These — not the table — are where CPC's governance actually lives. Sensitivity, Domain, and Status are always present: PDC shows them on every term with a default value, so they are never blank — set them deliberately rather than leaving the default. The rest you fill in as policy dictates.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Property</w:t>
            </w:r>
          </w:p>
        </w:tc>
        <w:tc>
          <w:tcPr>
            <w:tcW w:w="3430" w:type="dxa"/>
            <w:shd w:val="clear" w:color="auto" w:fill="EEF6FA"/>
            <w:tcMar>
              <w:top w:w="120" w:type="dxa"/>
              <w:left w:w="180" w:type="dxa"/>
              <w:bottom w:w="120" w:type="dxa"/>
              <w:right w:w="180" w:type="dxa"/>
            </w:tcMar>
          </w:tcPr>
          <w:p>
            <w:pPr>
              <w:spacing w:after="0"/>
            </w:pPr>
            <w:r>
              <w:rPr>
                <w:b/>
                <w:bCs/>
              </w:rPr>
              <w:t xml:space="preserve">What it records</w:t>
            </w:r>
          </w:p>
        </w:tc>
        <w:tc>
          <w:tcPr>
            <w:tcW w:w="3430" w:type="dxa"/>
            <w:shd w:val="clear" w:color="auto" w:fill="EEF6FA"/>
            <w:tcMar>
              <w:top w:w="120" w:type="dxa"/>
              <w:left w:w="180" w:type="dxa"/>
              <w:bottom w:w="120" w:type="dxa"/>
              <w:right w:w="180" w:type="dxa"/>
            </w:tcMar>
          </w:tcPr>
          <w:p>
            <w:pPr>
              <w:spacing w:after="0"/>
            </w:pPr>
            <w:r>
              <w:rPr>
                <w:b/>
                <w:bCs/>
              </w:rPr>
              <w:t xml:space="preserve">Example for Lot Number</w:t>
            </w:r>
          </w:p>
        </w:tc>
      </w:tr>
      <w:tr>
        <w:tc>
          <w:tcPr>
            <w:tcW w:w="2500" w:type="dxa"/>
            <w:tcMar>
              <w:top w:w="120" w:type="dxa"/>
              <w:left w:w="180" w:type="dxa"/>
              <w:bottom w:w="120" w:type="dxa"/>
              <w:right w:w="180" w:type="dxa"/>
            </w:tcMar>
          </w:tcPr>
          <w:p>
            <w:pPr>
              <w:spacing w:after="0"/>
            </w:pPr>
            <w:r>
              <w:t xml:space="preserve">Sensitivity</w:t>
            </w:r>
          </w:p>
        </w:tc>
        <w:tc>
          <w:tcPr>
            <w:tcW w:w="3430" w:type="dxa"/>
            <w:tcMar>
              <w:top w:w="120" w:type="dxa"/>
              <w:left w:w="180" w:type="dxa"/>
              <w:bottom w:w="120" w:type="dxa"/>
              <w:right w:w="180" w:type="dxa"/>
            </w:tcMar>
          </w:tcPr>
          <w:p>
            <w:pPr>
              <w:spacing w:after="0"/>
            </w:pPr>
            <w:r>
              <w:t xml:space="preserve">Unknown, Low, Medium, or High. Always shown; defaults to Unknown.</w:t>
            </w:r>
          </w:p>
        </w:tc>
        <w:tc>
          <w:tcPr>
            <w:tcW w:w="3430" w:type="dxa"/>
            <w:tcMar>
              <w:top w:w="120" w:type="dxa"/>
              <w:left w:w="180" w:type="dxa"/>
              <w:bottom w:w="120" w:type="dxa"/>
              <w:right w:w="180" w:type="dxa"/>
            </w:tcMar>
          </w:tcPr>
          <w:p>
            <w:pPr>
              <w:spacing w:after="0"/>
            </w:pPr>
            <w:r>
              <w:t xml:space="preserve">Medium</w:t>
            </w:r>
          </w:p>
        </w:tc>
      </w:tr>
      <w:tr>
        <w:tc>
          <w:tcPr>
            <w:tcW w:w="2500" w:type="dxa"/>
            <w:tcMar>
              <w:top w:w="120" w:type="dxa"/>
              <w:left w:w="180" w:type="dxa"/>
              <w:bottom w:w="120" w:type="dxa"/>
              <w:right w:w="180" w:type="dxa"/>
            </w:tcMar>
          </w:tcPr>
          <w:p>
            <w:pPr>
              <w:spacing w:after="0"/>
            </w:pPr>
            <w:r>
              <w:t xml:space="preserve">Domain</w:t>
            </w:r>
          </w:p>
        </w:tc>
        <w:tc>
          <w:tcPr>
            <w:tcW w:w="3430" w:type="dxa"/>
            <w:tcMar>
              <w:top w:w="120" w:type="dxa"/>
              <w:left w:w="180" w:type="dxa"/>
              <w:bottom w:w="120" w:type="dxa"/>
              <w:right w:w="180" w:type="dxa"/>
            </w:tcMar>
          </w:tcPr>
          <w:p>
            <w:pPr>
              <w:spacing w:after="0"/>
            </w:pPr>
            <w:r>
              <w:t xml:space="preserve">The industry domain the term belongs to, chosen from PDC's built-in domain list. Always shown; the CPC import lands terms as General — refine deliberately if your list carries a manufacturing domain.</w:t>
            </w:r>
          </w:p>
        </w:tc>
        <w:tc>
          <w:tcPr>
            <w:tcW w:w="3430" w:type="dxa"/>
            <w:tcMar>
              <w:top w:w="120" w:type="dxa"/>
              <w:left w:w="180" w:type="dxa"/>
              <w:bottom w:w="120" w:type="dxa"/>
              <w:right w:w="180" w:type="dxa"/>
            </w:tcMar>
          </w:tcPr>
          <w:p>
            <w:pPr>
              <w:spacing w:after="0"/>
            </w:pPr>
            <w:r>
              <w:t xml:space="preserve">General</w:t>
            </w:r>
          </w:p>
        </w:tc>
      </w:tr>
      <w:tr>
        <w:tc>
          <w:tcPr>
            <w:tcW w:w="2500" w:type="dxa"/>
            <w:tcMar>
              <w:top w:w="120" w:type="dxa"/>
              <w:left w:w="180" w:type="dxa"/>
              <w:bottom w:w="120" w:type="dxa"/>
              <w:right w:w="180" w:type="dxa"/>
            </w:tcMar>
          </w:tcPr>
          <w:p>
            <w:pPr>
              <w:spacing w:after="0"/>
            </w:pPr>
            <w:r>
              <w:t xml:space="preserve">Status</w:t>
            </w:r>
          </w:p>
        </w:tc>
        <w:tc>
          <w:tcPr>
            <w:tcW w:w="3430" w:type="dxa"/>
            <w:tcMar>
              <w:top w:w="120" w:type="dxa"/>
              <w:left w:w="180" w:type="dxa"/>
              <w:bottom w:w="120" w:type="dxa"/>
              <w:right w:w="180" w:type="dxa"/>
            </w:tcMar>
          </w:tcPr>
          <w:p>
            <w:pPr>
              <w:spacing w:after="0"/>
            </w:pPr>
            <w:r>
              <w:t xml:space="preserve">Draft, Review, Accepted, or Deprecated. Always shown; defaults to Draft.</w:t>
            </w:r>
          </w:p>
        </w:tc>
        <w:tc>
          <w:tcPr>
            <w:tcW w:w="3430" w:type="dxa"/>
            <w:tcMar>
              <w:top w:w="120" w:type="dxa"/>
              <w:left w:w="180" w:type="dxa"/>
              <w:bottom w:w="120" w:type="dxa"/>
              <w:right w:w="180" w:type="dxa"/>
            </w:tcMar>
          </w:tcPr>
          <w:p>
            <w:pPr>
              <w:spacing w:after="0"/>
            </w:pPr>
            <w:r>
              <w:t xml:space="preserve">Accepted</w:t>
            </w:r>
          </w:p>
        </w:tc>
      </w:tr>
      <w:tr>
        <w:tc>
          <w:tcPr>
            <w:tcW w:w="2500" w:type="dxa"/>
            <w:tcMar>
              <w:top w:w="120" w:type="dxa"/>
              <w:left w:w="180" w:type="dxa"/>
              <w:bottom w:w="120" w:type="dxa"/>
              <w:right w:w="180" w:type="dxa"/>
            </w:tcMar>
          </w:tcPr>
          <w:p>
            <w:pPr>
              <w:spacing w:after="0"/>
            </w:pPr>
            <w:r>
              <w:t xml:space="preserve">Classification</w:t>
            </w:r>
          </w:p>
        </w:tc>
        <w:tc>
          <w:tcPr>
            <w:tcW w:w="3430" w:type="dxa"/>
            <w:tcMar>
              <w:top w:w="120" w:type="dxa"/>
              <w:left w:w="180" w:type="dxa"/>
              <w:bottom w:w="120" w:type="dxa"/>
              <w:right w:w="180" w:type="dxa"/>
            </w:tcMar>
          </w:tcPr>
          <w:p>
            <w:pPr>
              <w:spacing w:after="0"/>
            </w:pPr>
            <w:r>
              <w:t xml:space="preserve">Public, Private, or Company Confidential.</w:t>
            </w:r>
          </w:p>
        </w:tc>
        <w:tc>
          <w:tcPr>
            <w:tcW w:w="3430" w:type="dxa"/>
            <w:tcMar>
              <w:top w:w="120" w:type="dxa"/>
              <w:left w:w="180" w:type="dxa"/>
              <w:bottom w:w="120" w:type="dxa"/>
              <w:right w:w="180" w:type="dxa"/>
            </w:tcMar>
          </w:tcPr>
          <w:p>
            <w:pPr>
              <w:spacing w:after="0"/>
            </w:pPr>
            <w:r>
              <w:t xml:space="preserve">Company Confidential</w:t>
            </w:r>
          </w:p>
        </w:tc>
      </w:tr>
      <w:tr>
        <w:tc>
          <w:tcPr>
            <w:tcW w:w="250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The role accountable for changes to the term.</w:t>
            </w:r>
          </w:p>
        </w:tc>
        <w:tc>
          <w:tcPr>
            <w:tcW w:w="3430" w:type="dxa"/>
            <w:tcMar>
              <w:top w:w="120" w:type="dxa"/>
              <w:left w:w="180" w:type="dxa"/>
              <w:bottom w:w="120" w:type="dxa"/>
              <w:right w:w="180" w:type="dxa"/>
            </w:tcMar>
          </w:tcPr>
          <w:p>
            <w:pPr>
              <w:spacing w:after="0"/>
            </w:pPr>
            <w:r>
              <w:t xml:space="preserve">Nora Whitaker</w:t>
            </w:r>
          </w:p>
        </w:tc>
      </w:tr>
      <w:tr>
        <w:tc>
          <w:tcPr>
            <w:tcW w:w="2500" w:type="dxa"/>
            <w:tcMar>
              <w:top w:w="120" w:type="dxa"/>
              <w:left w:w="180" w:type="dxa"/>
              <w:bottom w:w="120" w:type="dxa"/>
              <w:right w:w="180" w:type="dxa"/>
            </w:tcMar>
          </w:tcPr>
          <w:p>
            <w:pPr>
              <w:spacing w:after="0"/>
            </w:pPr>
            <w:r>
              <w:t xml:space="preserve">Owner</w:t>
            </w:r>
          </w:p>
        </w:tc>
        <w:tc>
          <w:tcPr>
            <w:tcW w:w="3430" w:type="dxa"/>
            <w:tcMar>
              <w:top w:w="120" w:type="dxa"/>
              <w:left w:w="180" w:type="dxa"/>
              <w:bottom w:w="120" w:type="dxa"/>
              <w:right w:w="180" w:type="dxa"/>
            </w:tcMar>
          </w:tcPr>
          <w:p>
            <w:pPr>
              <w:spacing w:after="0"/>
            </w:pPr>
            <w:r>
              <w:t xml:space="preserve">The role responsible for maintaining the term.</w:t>
            </w:r>
          </w:p>
        </w:tc>
        <w:tc>
          <w:tcPr>
            <w:tcW w:w="3430" w:type="dxa"/>
            <w:tcMar>
              <w:top w:w="120" w:type="dxa"/>
              <w:left w:w="180" w:type="dxa"/>
              <w:bottom w:w="120" w:type="dxa"/>
              <w:right w:w="180" w:type="dxa"/>
            </w:tcMar>
          </w:tcPr>
          <w:p>
            <w:pPr>
              <w:spacing w:after="0"/>
            </w:pPr>
            <w:r>
              <w:t xml:space="preserve">Nora Whitaker</w:t>
            </w:r>
          </w:p>
        </w:tc>
      </w:tr>
      <w:tr>
        <w:tc>
          <w:tcPr>
            <w:tcW w:w="2500" w:type="dxa"/>
            <w:tcMar>
              <w:top w:w="120" w:type="dxa"/>
              <w:left w:w="180" w:type="dxa"/>
              <w:bottom w:w="120" w:type="dxa"/>
              <w:right w:w="180" w:type="dxa"/>
            </w:tcMar>
          </w:tcPr>
          <w:p>
            <w:pPr>
              <w:spacing w:after="0"/>
            </w:pPr>
            <w:r>
              <w:t xml:space="preserve">Custodian</w:t>
            </w:r>
          </w:p>
        </w:tc>
        <w:tc>
          <w:tcPr>
            <w:tcW w:w="3430" w:type="dxa"/>
            <w:tcMar>
              <w:top w:w="120" w:type="dxa"/>
              <w:left w:w="180" w:type="dxa"/>
              <w:bottom w:w="120" w:type="dxa"/>
              <w:right w:w="180" w:type="dxa"/>
            </w:tcMar>
          </w:tcPr>
          <w:p>
            <w:pPr>
              <w:spacing w:after="0"/>
            </w:pPr>
            <w:r>
              <w:t xml:space="preserve">The role or person who maintains the data day to day, distinct from the accountable Owner.</w:t>
            </w:r>
          </w:p>
        </w:tc>
        <w:tc>
          <w:tcPr>
            <w:tcW w:w="3430" w:type="dxa"/>
            <w:tcMar>
              <w:top w:w="120" w:type="dxa"/>
              <w:left w:w="180" w:type="dxa"/>
              <w:bottom w:w="120" w:type="dxa"/>
              <w:right w:w="180" w:type="dxa"/>
            </w:tcMar>
          </w:tcPr>
          <w:p>
            <w:pPr>
              <w:spacing w:after="0"/>
            </w:pPr>
            <w:r>
              <w:t xml:space="preserve">Petra Novak</w:t>
            </w:r>
          </w:p>
        </w:tc>
      </w:tr>
      <w:tr>
        <w:tc>
          <w:tcPr>
            <w:tcW w:w="2500" w:type="dxa"/>
            <w:tcMar>
              <w:top w:w="120" w:type="dxa"/>
              <w:left w:w="180" w:type="dxa"/>
              <w:bottom w:w="120" w:type="dxa"/>
              <w:right w:w="180" w:type="dxa"/>
            </w:tcMar>
          </w:tcPr>
          <w:p>
            <w:pPr>
              <w:spacing w:after="0"/>
            </w:pPr>
            <w:r>
              <w:t xml:space="preserve">Review Date</w:t>
            </w:r>
          </w:p>
        </w:tc>
        <w:tc>
          <w:tcPr>
            <w:tcW w:w="3430" w:type="dxa"/>
            <w:tcMar>
              <w:top w:w="120" w:type="dxa"/>
              <w:left w:w="180" w:type="dxa"/>
              <w:bottom w:w="120" w:type="dxa"/>
              <w:right w:w="180" w:type="dxa"/>
            </w:tcMar>
          </w:tcPr>
          <w:p>
            <w:pPr>
              <w:spacing w:after="0"/>
            </w:pPr>
            <w:r>
              <w:t xml:space="preserve">When the term is next due for review. Shown in the UI as "Reviewed At".</w:t>
            </w:r>
          </w:p>
        </w:tc>
        <w:tc>
          <w:tcPr>
            <w:tcW w:w="3430" w:type="dxa"/>
            <w:tcMar>
              <w:top w:w="120" w:type="dxa"/>
              <w:left w:w="180" w:type="dxa"/>
              <w:bottom w:w="120" w:type="dxa"/>
              <w:right w:w="180" w:type="dxa"/>
            </w:tcMar>
          </w:tcPr>
          <w:p>
            <w:pPr>
              <w:spacing w:after="0"/>
            </w:pPr>
            <w:r>
              <w:t xml:space="preserve">30 Sep 2026</w:t>
            </w:r>
          </w:p>
        </w:tc>
      </w:tr>
      <w:tr>
        <w:tc>
          <w:tcPr>
            <w:tcW w:w="2500" w:type="dxa"/>
            <w:tcMar>
              <w:top w:w="120" w:type="dxa"/>
              <w:left w:w="180" w:type="dxa"/>
              <w:bottom w:w="120" w:type="dxa"/>
              <w:right w:w="180" w:type="dxa"/>
            </w:tcMar>
          </w:tcPr>
          <w:p>
            <w:pPr>
              <w:spacing w:after="0"/>
            </w:pPr>
            <w:r>
              <w:t xml:space="preserve">Stakeholders</w:t>
            </w:r>
          </w:p>
        </w:tc>
        <w:tc>
          <w:tcPr>
            <w:tcW w:w="3430" w:type="dxa"/>
            <w:tcMar>
              <w:top w:w="120" w:type="dxa"/>
              <w:left w:w="180" w:type="dxa"/>
              <w:bottom w:w="120" w:type="dxa"/>
              <w:right w:w="180" w:type="dxa"/>
            </w:tcMar>
          </w:tcPr>
          <w:p>
            <w:pPr>
              <w:spacing w:after="0"/>
            </w:pPr>
            <w:r>
              <w:t xml:space="preserve">People or roles with an interest in the term, beyond Owner and Steward.</w:t>
            </w:r>
          </w:p>
        </w:tc>
        <w:tc>
          <w:tcPr>
            <w:tcW w:w="3430" w:type="dxa"/>
            <w:tcMar>
              <w:top w:w="120" w:type="dxa"/>
              <w:left w:w="180" w:type="dxa"/>
              <w:bottom w:w="120" w:type="dxa"/>
              <w:right w:w="180" w:type="dxa"/>
            </w:tcMar>
          </w:tcPr>
          <w:p>
            <w:pPr>
              <w:spacing w:after="0"/>
            </w:pPr>
            <w:r>
              <w:t xml:space="preserve">Yuki Mori (Quality)</w:t>
            </w:r>
          </w:p>
        </w:tc>
      </w:tr>
    </w:tbl>
    <w:p>
      <w:pPr>
        <w:spacing w:after="120"/>
      </w:pPr>
    </w:p>
    <w:p>
      <w:pPr>
        <w:spacing w:after="120"/>
      </w:pPr>
      <w:r>
        <w:rPr>
          <w:b/>
          <w:bCs/>
        </w:rPr>
        <w:t xml:space="preserve">Link it and it sticks:</w:t>
      </w:r>
      <w:r>
        <w:t xml:space="preserve"> these properties map straight to the Glossary tab you saw in Workshop 2 — assign a term to </w:t>
      </w:r>
      <w:r>
        <w:rPr>
          <w:rFonts w:ascii="Consolas" w:hAnsi="Consolas"/>
          <w:color w:val="0A5560"/>
          <w:sz w:val="20"/>
          <w:szCs w:val="20"/>
        </w:rPr>
        <w:t xml:space="preserve">lots</w:t>
      </w:r>
      <w:r>
        <w:t xml:space="preserve"> and the table inherits this governance context.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Term Summary — the Properties panel</w:t>
      </w:r>
    </w:p>
    <w:p>
      <w:pPr>
        <w:pStyle w:val="Heading2"/>
      </w:pPr>
      <w:r>
        <w:t xml:space="preserve">Tags and Custom Properties</w:t>
      </w:r>
    </w:p>
    <w:p>
      <w:pPr>
        <w:spacing w:after="120"/>
      </w:pPr>
      <w:r>
        <w:t xml:space="preserve">A term carries two more layers of metadata beyond the built-in properties, and you set both on its Summary page.</w:t>
      </w:r>
    </w:p>
    <w:p>
      <w:pPr>
        <w:spacing w:after="120"/>
      </w:pPr>
      <w:r>
        <w:rPr>
          <w:b/>
          <w:bCs/>
        </w:rPr>
        <w:t xml:space="preserve">Tags:</w:t>
      </w:r>
      <w:r>
        <w:t xml:space="preserve"> lightweight, free-text labels for discovery and grouping. Type them into the Tags card on the right of the term's Summary page, and reuse them across terms. For CPC, useful tags include </w:t>
      </w:r>
      <w:r>
        <w:rPr>
          <w:rFonts w:ascii="Consolas" w:hAnsi="Consolas"/>
          <w:color w:val="0A5560"/>
          <w:sz w:val="20"/>
          <w:szCs w:val="20"/>
        </w:rPr>
        <w:t xml:space="preserve">traceability</w:t>
      </w:r>
      <w:r>
        <w:t xml:space="preserve">, </w:t>
      </w:r>
      <w:r>
        <w:rPr>
          <w:rFonts w:ascii="Consolas" w:hAnsi="Consolas"/>
          <w:color w:val="0A5560"/>
          <w:sz w:val="20"/>
          <w:szCs w:val="20"/>
        </w:rPr>
        <w:t xml:space="preserve">safety-critical</w:t>
      </w:r>
      <w:r>
        <w:t xml:space="preserve">, </w:t>
      </w:r>
      <w:r>
        <w:rPr>
          <w:rFonts w:ascii="Consolas" w:hAnsi="Consolas"/>
          <w:color w:val="0A5560"/>
          <w:sz w:val="20"/>
          <w:szCs w:val="20"/>
        </w:rPr>
        <w:t xml:space="preserve">commercial</w:t>
      </w:r>
      <w:r>
        <w:t xml:space="preserve">, </w:t>
      </w:r>
      <w:r>
        <w:rPr>
          <w:rFonts w:ascii="Consolas" w:hAnsi="Consolas"/>
          <w:color w:val="0A5560"/>
          <w:sz w:val="20"/>
          <w:szCs w:val="20"/>
        </w:rPr>
        <w:t xml:space="preserve">quality</w:t>
      </w:r>
      <w:r>
        <w:t xml:space="preserve">, </w:t>
      </w:r>
      <w:r>
        <w:rPr>
          <w:rFonts w:ascii="Consolas" w:hAnsi="Consolas"/>
          <w:color w:val="0A5560"/>
          <w:sz w:val="20"/>
          <w:szCs w:val="20"/>
        </w:rPr>
        <w:t xml:space="preserve">nonconformance</w:t>
      </w:r>
      <w:r>
        <w:t xml:space="preserve"> and </w:t>
      </w:r>
      <w:r>
        <w:rPr>
          <w:rFonts w:ascii="Consolas" w:hAnsi="Consolas"/>
          <w:color w:val="0A5560"/>
          <w:sz w:val="20"/>
          <w:szCs w:val="20"/>
        </w:rPr>
        <w:t xml:space="preserve">compliance</w:t>
      </w:r>
      <w:r>
        <w:t xml:space="preserve"> — note how few of them are privacy words; that is this scenario's point. Tags complement terms — they do not replace them.</w:t>
      </w:r>
    </w:p>
    <w:p>
      <w:pPr>
        <w:spacing w:after="120"/>
      </w:pPr>
      <w:r>
        <w:rPr>
          <w:b/>
          <w:bCs/>
        </w:rPr>
        <w:t xml:space="preserve">Custom Properties:</w:t>
      </w:r>
      <w:r>
        <w:t xml:space="preserve"> admin-defined fields that extend the built-in set. An Admin defines each property once for the whole Catalog (a name and a type); a Business Steward then fills in its value per term, on the term's Custom Properties tab. Because a property must exist before you can set it, creating custom properties is an Admin task (</w:t>
      </w:r>
      <w:r>
        <w:rPr>
          <w:rFonts w:ascii="Consolas" w:hAnsi="Consolas"/>
          <w:color w:val="0A5560"/>
          <w:sz w:val="20"/>
          <w:szCs w:val="20"/>
        </w:rPr>
        <w:t xml:space="preserve">catalog.admin</w:t>
      </w:r>
      <w:r>
        <w:t xml:space="preserve">) outside this workshop — here you simply assign values to any that already exist. Properties CPC might define: </w:t>
      </w:r>
      <w:r>
        <w:rPr>
          <w:i/>
          <w:iCs/>
        </w:rPr>
        <w:t xml:space="preserve">Standard</w:t>
      </w:r>
      <w:r>
        <w:t xml:space="preserve"> (ISO 9001, AS9100, AS9102), </w:t>
      </w:r>
      <w:r>
        <w:rPr>
          <w:i/>
          <w:iCs/>
        </w:rPr>
        <w:t xml:space="preserve">Record retention</w:t>
      </w:r>
      <w:r>
        <w:t xml:space="preserve">, </w:t>
      </w:r>
      <w:r>
        <w:rPr>
          <w:i/>
          <w:iCs/>
        </w:rPr>
        <w:t xml:space="preserve">Export control</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Term — Tags card and Custom Properties tab</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Workshops 1 and 2 complete — both CPC sources connected and explored.</w:t>
      </w:r>
    </w:p>
    <w:p>
      <w:pPr>
        <w:pStyle w:val="ListParagraph"/>
        <w:numPr>
          <w:ilvl w:val="0"/>
          <w:numId w:val="2"/>
        </w:numPr>
        <w:spacing w:after="60"/>
      </w:pPr>
      <w:r>
        <w:t xml:space="preserve">A </w:t>
      </w:r>
      <w:r>
        <w:rPr>
          <w:b/>
          <w:bCs/>
        </w:rPr>
        <w:t xml:space="preserve">Business Steward</w:t>
      </w:r>
      <w:r>
        <w:t xml:space="preserve"> (or higher) PDC login — creating, importing, and editing glossary items is a governed action reserved for the Business Steward role. Work as </w:t>
      </w:r>
      <w:r>
        <w:rPr>
          <w:rFonts w:ascii="Consolas" w:hAnsi="Consolas"/>
          <w:color w:val="0A5560"/>
          <w:sz w:val="20"/>
          <w:szCs w:val="20"/>
        </w:rPr>
        <w:t xml:space="preserve">yuki.mori</w:t>
      </w:r>
      <w:r>
        <w:t xml:space="preserve"> for the import; </w:t>
      </w:r>
      <w:r>
        <w:rPr>
          <w:rFonts w:ascii="Consolas" w:hAnsi="Consolas"/>
          <w:color w:val="0A5560"/>
          <w:sz w:val="20"/>
          <w:szCs w:val="20"/>
        </w:rPr>
        <w:t xml:space="preserve">nora.whitaker</w:t>
      </w:r>
      <w:r>
        <w:t xml:space="preserve"> carries Business Steward alongside her Data Steward role, so she can do everything in this workshop too. (</w:t>
      </w:r>
      <w:r>
        <w:rPr>
          <w:rFonts w:ascii="Consolas" w:hAnsi="Consolas"/>
          <w:color w:val="0A5560"/>
          <w:sz w:val="20"/>
          <w:szCs w:val="20"/>
        </w:rPr>
        <w:t xml:space="preserve">mia.torres</w:t>
      </w:r>
      <w:r>
        <w:t xml:space="preserve"> and </w:t>
      </w:r>
      <w:r>
        <w:rPr>
          <w:rFonts w:ascii="Consolas" w:hAnsi="Consolas"/>
          <w:color w:val="0A5560"/>
          <w:sz w:val="20"/>
          <w:szCs w:val="20"/>
        </w:rPr>
        <w:t xml:space="preserve">owen.fitch</w:t>
      </w:r>
      <w:r>
        <w:t xml:space="preserve"> cannot — try it and watch the actions stay disabled.)</w:t>
      </w:r>
    </w:p>
    <w:p>
      <w:pPr>
        <w:pStyle w:val="Heading2"/>
      </w:pPr>
      <w:r>
        <w:t xml:space="preserve">Assets used in this workshop</w:t>
      </w:r>
    </w:p>
    <w:p>
      <w:pPr>
        <w:pStyle w:val="ListParagraph"/>
        <w:numPr>
          <w:ilvl w:val="0"/>
          <w:numId w:val="2"/>
        </w:numPr>
        <w:spacing w:after="60"/>
      </w:pPr>
      <w:r>
        <w:t xml:space="preserve">The CPC glossary content table in this guide — your source of truth for the terms you will build by hand in Part A.</w:t>
      </w:r>
    </w:p>
    <w:p>
      <w:pPr>
        <w:pStyle w:val="ListParagraph"/>
        <w:numPr>
          <w:ilvl w:val="0"/>
          <w:numId w:val="2"/>
        </w:numPr>
        <w:spacing w:after="60"/>
      </w:pPr>
      <w:r>
        <w:rPr>
          <w:rFonts w:ascii="Consolas" w:hAnsi="Consolas"/>
          <w:color w:val="0A5560"/>
          <w:sz w:val="20"/>
          <w:szCs w:val="20"/>
        </w:rPr>
        <w:t xml:space="preserve">assets/CPC-Business-Glossary.jsonl</w:t>
      </w:r>
      <w:r>
        <w:t xml:space="preserve"> — the full glossary as 118 JSON Lines records (1 glossary + 8 categories + 109 terms), ready to import in Part B.</w:t>
      </w:r>
    </w:p>
    <w:p>
      <w:pPr>
        <w:pStyle w:val="ListParagraph"/>
        <w:numPr>
          <w:ilvl w:val="0"/>
          <w:numId w:val="2"/>
        </w:numPr>
        <w:spacing w:after="60"/>
      </w:pPr>
      <w:r>
        <w:rPr>
          <w:rFonts w:ascii="Consolas" w:hAnsi="Consolas"/>
          <w:color w:val="0A5560"/>
          <w:sz w:val="20"/>
          <w:szCs w:val="20"/>
        </w:rPr>
        <w:t xml:space="preserve">assets/CPC-Term-Linking-Map.csv</w:t>
      </w:r>
      <w:r>
        <w:t xml:space="preserve"> — all 100 term-to-column links for Part D, grouped by table.</w:t>
      </w:r>
    </w:p>
    <w:p>
      <w:pPr>
        <w:pStyle w:val="ListParagraph"/>
        <w:numPr>
          <w:ilvl w:val="0"/>
          <w:numId w:val="2"/>
        </w:numPr>
        <w:spacing w:after="60"/>
      </w:pPr>
      <w:r>
        <w:rPr>
          <w:rFonts w:ascii="Consolas" w:hAnsi="Consolas"/>
          <w:color w:val="0A5560"/>
          <w:sz w:val="20"/>
          <w:szCs w:val="20"/>
        </w:rPr>
        <w:t xml:space="preserve">assets/CPC-glossary-user-map.csv</w:t>
      </w:r>
      <w:r>
        <w:t xml:space="preserve"> — which steward owns which categories, for the stewardship pass in Part E.</w:t>
      </w:r>
    </w:p>
    <w:p>
      <w:pPr>
        <w:pStyle w:val="ListParagraph"/>
        <w:numPr>
          <w:ilvl w:val="0"/>
          <w:numId w:val="2"/>
        </w:numPr>
        <w:spacing w:after="60"/>
      </w:pPr>
      <w:r>
        <w:t xml:space="preserve">The connected </w:t>
      </w:r>
      <w:r>
        <w:rPr>
          <w:rFonts w:ascii="Consolas" w:hAnsi="Consolas"/>
          <w:color w:val="0A5560"/>
          <w:sz w:val="20"/>
          <w:szCs w:val="20"/>
        </w:rPr>
        <w:t xml:space="preserve">cpc_mfg</w:t>
      </w:r>
      <w:r>
        <w:t xml:space="preserve"> database — the </w:t>
      </w:r>
      <w:r>
        <w:rPr>
          <w:rFonts w:ascii="Consolas" w:hAnsi="Consolas"/>
          <w:color w:val="0A5560"/>
          <w:sz w:val="20"/>
          <w:szCs w:val="20"/>
        </w:rPr>
        <w:t xml:space="preserve">lots</w:t>
      </w:r>
      <w:r>
        <w:t xml:space="preserve"> table is where you will link terms first.</w:t>
      </w:r>
    </w:p>
    <w:p>
      <w:pPr>
        <w:pStyle w:val="Heading1"/>
      </w:pPr>
      <w:r>
        <w:t xml:space="preserve">The CPC glossary you will build</w:t>
      </w:r>
    </w:p>
    <w:p>
      <w:pPr>
        <w:spacing w:after="120"/>
      </w:pPr>
      <w:r>
        <w:t xml:space="preserve">Here is a representative slice of the CPC Business Glossary — a term or two from each of its categories. The full glossary holds 109 terms across eight categories — column-level terms plus one table-level term per table (Lot Record, Part Record, and so on — you will meet those in Part C). Each row is a term, grouped by category. Build this slice by hand in Part A, or import the full glossary (</w:t>
      </w:r>
      <w:r>
        <w:rPr>
          <w:rFonts w:ascii="Consolas" w:hAnsi="Consolas"/>
          <w:color w:val="0A5560"/>
          <w:sz w:val="20"/>
          <w:szCs w:val="20"/>
        </w:rPr>
        <w:t xml:space="preserve">CPC-Business-Glossary.jsonl</w:t>
      </w:r>
      <w:r>
        <w:t xml:space="preserve">) in Part B.</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1560"/>
        <w:gridCol w:w="1560"/>
        <w:gridCol w:w="1560"/>
        <w:gridCol w:w="1560"/>
        <w:gridCol w:w="1560"/>
        <w:gridCol w:w="1560"/>
      </w:tblGrid>
      <w:tr>
        <w:tc>
          <w:tcPr>
            <w:tcW w:w="156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Term</w:t>
            </w:r>
          </w:p>
        </w:tc>
        <w:tc>
          <w:tcPr>
            <w:tcW w:w="1560" w:type="dxa"/>
            <w:shd w:val="clear" w:color="auto" w:fill="EEF6FA"/>
            <w:tcMar>
              <w:top w:w="120" w:type="dxa"/>
              <w:left w:w="180" w:type="dxa"/>
              <w:bottom w:w="120" w:type="dxa"/>
              <w:right w:w="180" w:type="dxa"/>
            </w:tcMar>
          </w:tcPr>
          <w:p>
            <w:pPr>
              <w:spacing w:after="0"/>
            </w:pPr>
            <w:r>
              <w:rPr>
                <w:b/>
                <w:bCs/>
              </w:rPr>
              <w:t xml:space="preserve">Category</w:t>
            </w:r>
          </w:p>
        </w:tc>
        <w:tc>
          <w:tcPr>
            <w:tcW w:w="1560" w:type="dxa"/>
            <w:shd w:val="clear" w:color="auto" w:fill="EEF6FA"/>
            <w:tcMar>
              <w:top w:w="120" w:type="dxa"/>
              <w:left w:w="180" w:type="dxa"/>
              <w:bottom w:w="120" w:type="dxa"/>
              <w:right w:w="180" w:type="dxa"/>
            </w:tcMar>
          </w:tcPr>
          <w:p>
            <w:pPr>
              <w:spacing w:after="0"/>
            </w:pPr>
            <w:r>
              <w:rPr>
                <w:b/>
                <w:bCs/>
              </w:rPr>
              <w:t xml:space="preserve">Sensitivity</w:t>
            </w:r>
          </w:p>
        </w:tc>
        <w:tc>
          <w:tcPr>
            <w:tcW w:w="1560" w:type="dxa"/>
            <w:shd w:val="clear" w:color="auto" w:fill="EEF6FA"/>
            <w:tcMar>
              <w:top w:w="120" w:type="dxa"/>
              <w:left w:w="180" w:type="dxa"/>
              <w:bottom w:w="120" w:type="dxa"/>
              <w:right w:w="180" w:type="dxa"/>
            </w:tcMar>
          </w:tcPr>
          <w:p>
            <w:pPr>
              <w:spacing w:after="0"/>
            </w:pPr>
            <w:r>
              <w:rPr>
                <w:b/>
                <w:bCs/>
              </w:rPr>
              <w:t xml:space="preserve">Classification</w:t>
            </w:r>
          </w:p>
        </w:tc>
        <w:tc>
          <w:tcPr>
            <w:tcW w:w="1560" w:type="dxa"/>
            <w:shd w:val="clear" w:color="auto" w:fill="EEF6FA"/>
            <w:tcMar>
              <w:top w:w="120" w:type="dxa"/>
              <w:left w:w="180" w:type="dxa"/>
              <w:bottom w:w="120" w:type="dxa"/>
              <w:right w:w="180" w:type="dxa"/>
            </w:tcMar>
          </w:tcPr>
          <w:p>
            <w:pPr>
              <w:spacing w:after="0"/>
            </w:pPr>
            <w:r>
              <w:rPr>
                <w:b/>
                <w:bCs/>
              </w:rPr>
              <w:t xml:space="preserve">Business Steward</w:t>
            </w:r>
          </w:p>
        </w:tc>
        <w:tc>
          <w:tcPr>
            <w:tcW w:w="1560" w:type="dxa"/>
            <w:shd w:val="clear" w:color="auto" w:fill="EEF6FA"/>
            <w:tcMar>
              <w:top w:w="120" w:type="dxa"/>
              <w:left w:w="180" w:type="dxa"/>
              <w:bottom w:w="120" w:type="dxa"/>
              <w:right w:w="180" w:type="dxa"/>
            </w:tcMar>
          </w:tcPr>
          <w:p>
            <w:pPr>
              <w:spacing w:after="0"/>
            </w:pPr>
            <w:r>
              <w:rPr>
                <w:b/>
                <w:bCs/>
              </w:rPr>
              <w:t xml:space="preserve">Definition</w:t>
            </w:r>
          </w:p>
        </w:tc>
      </w:tr>
      <w:tr>
        <w:tc>
          <w:tcPr>
            <w:tcW w:w="1560" w:type="dxa"/>
            <w:tcMar>
              <w:top w:w="120" w:type="dxa"/>
              <w:left w:w="180" w:type="dxa"/>
              <w:bottom w:w="120" w:type="dxa"/>
              <w:right w:w="180" w:type="dxa"/>
            </w:tcMar>
          </w:tcPr>
          <w:p>
            <w:pPr>
              <w:spacing w:after="0"/>
            </w:pPr>
            <w:r>
              <w:t xml:space="preserve">Part Number</w:t>
            </w:r>
          </w:p>
        </w:tc>
        <w:tc>
          <w:tcPr>
            <w:tcW w:w="1560" w:type="dxa"/>
            <w:tcMar>
              <w:top w:w="120" w:type="dxa"/>
              <w:left w:w="180" w:type="dxa"/>
              <w:bottom w:w="120" w:type="dxa"/>
              <w:right w:w="180" w:type="dxa"/>
            </w:tcMar>
          </w:tcPr>
          <w:p>
            <w:pPr>
              <w:spacing w:after="0"/>
            </w:pPr>
            <w:r>
              <w:t xml:space="preserve">Parts &amp; BOM</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Felix Okonkwo</w:t>
            </w:r>
          </w:p>
        </w:tc>
        <w:tc>
          <w:tcPr>
            <w:tcW w:w="1560" w:type="dxa"/>
            <w:tcMar>
              <w:top w:w="120" w:type="dxa"/>
              <w:left w:w="180" w:type="dxa"/>
              <w:bottom w:w="120" w:type="dxa"/>
              <w:right w:w="180" w:type="dxa"/>
            </w:tcMar>
          </w:tcPr>
          <w:p>
            <w:pPr>
              <w:spacing w:after="0"/>
            </w:pPr>
            <w:r>
              <w:t xml:space="preserve">Part number (format CPC-nnnnn); the identifier on every drawing, lot and certificate.</w:t>
            </w:r>
          </w:p>
        </w:tc>
      </w:tr>
      <w:tr>
        <w:tc>
          <w:tcPr>
            <w:tcW w:w="1560" w:type="dxa"/>
            <w:tcMar>
              <w:top w:w="120" w:type="dxa"/>
              <w:left w:w="180" w:type="dxa"/>
              <w:bottom w:w="120" w:type="dxa"/>
              <w:right w:w="180" w:type="dxa"/>
            </w:tcMar>
          </w:tcPr>
          <w:p>
            <w:pPr>
              <w:spacing w:after="0"/>
            </w:pPr>
            <w:r>
              <w:t xml:space="preserve">Unit Cost</w:t>
            </w:r>
          </w:p>
        </w:tc>
        <w:tc>
          <w:tcPr>
            <w:tcW w:w="1560" w:type="dxa"/>
            <w:tcMar>
              <w:top w:w="120" w:type="dxa"/>
              <w:left w:w="180" w:type="dxa"/>
              <w:bottom w:w="120" w:type="dxa"/>
              <w:right w:w="180" w:type="dxa"/>
            </w:tcMar>
          </w:tcPr>
          <w:p>
            <w:pPr>
              <w:spacing w:after="0"/>
            </w:pPr>
            <w:r>
              <w:t xml:space="preserve">Parts &amp; BOM</w:t>
            </w:r>
          </w:p>
        </w:tc>
        <w:tc>
          <w:tcPr>
            <w:tcW w:w="1560" w:type="dxa"/>
            <w:tcMar>
              <w:top w:w="120" w:type="dxa"/>
              <w:left w:w="180" w:type="dxa"/>
              <w:bottom w:w="120" w:type="dxa"/>
              <w:right w:w="180" w:type="dxa"/>
            </w:tcMar>
          </w:tcPr>
          <w:p>
            <w:pPr>
              <w:spacing w:after="0"/>
            </w:pPr>
            <w:r>
              <w:t xml:space="preserve">High</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Felix Okonkwo</w:t>
            </w:r>
          </w:p>
        </w:tc>
        <w:tc>
          <w:tcPr>
            <w:tcW w:w="1560" w:type="dxa"/>
            <w:tcMar>
              <w:top w:w="120" w:type="dxa"/>
              <w:left w:w="180" w:type="dxa"/>
              <w:bottom w:w="120" w:type="dxa"/>
              <w:right w:w="180" w:type="dxa"/>
            </w:tcMar>
          </w:tcPr>
          <w:p>
            <w:pPr>
              <w:spacing w:after="0"/>
            </w:pPr>
            <w:r>
              <w:t xml:space="preserve">Standard unit cost — commercially sensitive, never customer-facing.</w:t>
            </w:r>
          </w:p>
        </w:tc>
      </w:tr>
      <w:tr>
        <w:tc>
          <w:tcPr>
            <w:tcW w:w="1560" w:type="dxa"/>
            <w:tcMar>
              <w:top w:w="120" w:type="dxa"/>
              <w:left w:w="180" w:type="dxa"/>
              <w:bottom w:w="120" w:type="dxa"/>
              <w:right w:w="180" w:type="dxa"/>
            </w:tcMar>
          </w:tcPr>
          <w:p>
            <w:pPr>
              <w:spacing w:after="0"/>
            </w:pPr>
            <w:r>
              <w:t xml:space="preserve">Safety Critical Flag</w:t>
            </w:r>
          </w:p>
        </w:tc>
        <w:tc>
          <w:tcPr>
            <w:tcW w:w="1560" w:type="dxa"/>
            <w:tcMar>
              <w:top w:w="120" w:type="dxa"/>
              <w:left w:w="180" w:type="dxa"/>
              <w:bottom w:w="120" w:type="dxa"/>
              <w:right w:w="180" w:type="dxa"/>
            </w:tcMar>
          </w:tcPr>
          <w:p>
            <w:pPr>
              <w:spacing w:after="0"/>
            </w:pPr>
            <w:r>
              <w:t xml:space="preserve">Parts &amp; BOM</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Felix Okonkwo</w:t>
            </w:r>
          </w:p>
        </w:tc>
        <w:tc>
          <w:tcPr>
            <w:tcW w:w="1560" w:type="dxa"/>
            <w:tcMar>
              <w:top w:w="120" w:type="dxa"/>
              <w:left w:w="180" w:type="dxa"/>
              <w:bottom w:w="120" w:type="dxa"/>
              <w:right w:w="180" w:type="dxa"/>
            </w:tcMar>
          </w:tcPr>
          <w:p>
            <w:pPr>
              <w:spacing w:after="0"/>
            </w:pPr>
            <w:r>
              <w:t xml:space="preserve">TRUE when failure endangers people or equipment; drives full traceability and MRB authority.</w:t>
            </w:r>
          </w:p>
        </w:tc>
      </w:tr>
      <w:tr>
        <w:tc>
          <w:tcPr>
            <w:tcW w:w="1560" w:type="dxa"/>
            <w:tcMar>
              <w:top w:w="120" w:type="dxa"/>
              <w:left w:w="180" w:type="dxa"/>
              <w:bottom w:w="120" w:type="dxa"/>
              <w:right w:w="180" w:type="dxa"/>
            </w:tcMar>
          </w:tcPr>
          <w:p>
            <w:pPr>
              <w:spacing w:after="0"/>
            </w:pPr>
            <w:r>
              <w:t xml:space="preserve">ASL Status</w:t>
            </w:r>
          </w:p>
        </w:tc>
        <w:tc>
          <w:tcPr>
            <w:tcW w:w="1560" w:type="dxa"/>
            <w:tcMar>
              <w:top w:w="120" w:type="dxa"/>
              <w:left w:w="180" w:type="dxa"/>
              <w:bottom w:w="120" w:type="dxa"/>
              <w:right w:w="180" w:type="dxa"/>
            </w:tcMar>
          </w:tcPr>
          <w:p>
            <w:pPr>
              <w:spacing w:after="0"/>
            </w:pPr>
            <w:r>
              <w:t xml:space="preserve">Suppliers &amp; Purchasing</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Felix Okonkwo</w:t>
            </w:r>
          </w:p>
        </w:tc>
        <w:tc>
          <w:tcPr>
            <w:tcW w:w="1560" w:type="dxa"/>
            <w:tcMar>
              <w:top w:w="120" w:type="dxa"/>
              <w:left w:w="180" w:type="dxa"/>
              <w:bottom w:w="120" w:type="dxa"/>
              <w:right w:w="180" w:type="dxa"/>
            </w:tcMar>
          </w:tcPr>
          <w:p>
            <w:pPr>
              <w:spacing w:after="0"/>
            </w:pPr>
            <w:r>
              <w:t xml:space="preserve">Approved-supplier-list status; a Suspended supplier receives no new POs.</w:t>
            </w:r>
          </w:p>
        </w:tc>
      </w:tr>
      <w:tr>
        <w:tc>
          <w:tcPr>
            <w:tcW w:w="1560" w:type="dxa"/>
            <w:tcMar>
              <w:top w:w="120" w:type="dxa"/>
              <w:left w:w="180" w:type="dxa"/>
              <w:bottom w:w="120" w:type="dxa"/>
              <w:right w:w="180" w:type="dxa"/>
            </w:tcMar>
          </w:tcPr>
          <w:p>
            <w:pPr>
              <w:spacing w:after="0"/>
            </w:pPr>
            <w:r>
              <w:t xml:space="preserve">Quantity Scrapped</w:t>
            </w:r>
          </w:p>
        </w:tc>
        <w:tc>
          <w:tcPr>
            <w:tcW w:w="1560" w:type="dxa"/>
            <w:tcMar>
              <w:top w:w="120" w:type="dxa"/>
              <w:left w:w="180" w:type="dxa"/>
              <w:bottom w:w="120" w:type="dxa"/>
              <w:right w:w="180" w:type="dxa"/>
            </w:tcMar>
          </w:tcPr>
          <w:p>
            <w:pPr>
              <w:spacing w:after="0"/>
            </w:pPr>
            <w:r>
              <w:t xml:space="preserve">Production</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Nora Whitaker</w:t>
            </w:r>
          </w:p>
        </w:tc>
        <w:tc>
          <w:tcPr>
            <w:tcW w:w="1560" w:type="dxa"/>
            <w:tcMar>
              <w:top w:w="120" w:type="dxa"/>
              <w:left w:w="180" w:type="dxa"/>
              <w:bottom w:w="120" w:type="dxa"/>
              <w:right w:w="180" w:type="dxa"/>
            </w:tcMar>
          </w:tcPr>
          <w:p>
            <w:pPr>
              <w:spacing w:after="0"/>
            </w:pPr>
            <w:r>
              <w:t xml:space="preserve">Units scrapped on a work order; feeds cost-of-quality.</w:t>
            </w:r>
          </w:p>
        </w:tc>
      </w:tr>
      <w:tr>
        <w:tc>
          <w:tcPr>
            <w:tcW w:w="1560" w:type="dxa"/>
            <w:tcMar>
              <w:top w:w="120" w:type="dxa"/>
              <w:left w:w="180" w:type="dxa"/>
              <w:bottom w:w="120" w:type="dxa"/>
              <w:right w:w="180" w:type="dxa"/>
            </w:tcMar>
          </w:tcPr>
          <w:p>
            <w:pPr>
              <w:spacing w:after="0"/>
            </w:pPr>
            <w:r>
              <w:t xml:space="preserve">Lot Number</w:t>
            </w:r>
          </w:p>
        </w:tc>
        <w:tc>
          <w:tcPr>
            <w:tcW w:w="1560" w:type="dxa"/>
            <w:tcMar>
              <w:top w:w="120" w:type="dxa"/>
              <w:left w:w="180" w:type="dxa"/>
              <w:bottom w:w="120" w:type="dxa"/>
              <w:right w:w="180" w:type="dxa"/>
            </w:tcMar>
          </w:tcPr>
          <w:p>
            <w:pPr>
              <w:spacing w:after="0"/>
            </w:pPr>
            <w:r>
              <w:t xml:space="preserve">Traceability</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Nora Whitaker</w:t>
            </w:r>
          </w:p>
        </w:tc>
        <w:tc>
          <w:tcPr>
            <w:tcW w:w="1560" w:type="dxa"/>
            <w:tcMar>
              <w:top w:w="120" w:type="dxa"/>
              <w:left w:w="180" w:type="dxa"/>
              <w:bottom w:w="120" w:type="dxa"/>
              <w:right w:w="180" w:type="dxa"/>
            </w:tcMar>
          </w:tcPr>
          <w:p>
            <w:pPr>
              <w:spacing w:after="0"/>
            </w:pPr>
            <w:r>
              <w:t xml:space="preserve">Lot number (format LOT-YYYY-nnnn); the traceability identifier everywhere.</w:t>
            </w:r>
          </w:p>
        </w:tc>
      </w:tr>
      <w:tr>
        <w:tc>
          <w:tcPr>
            <w:tcW w:w="1560" w:type="dxa"/>
            <w:tcMar>
              <w:top w:w="120" w:type="dxa"/>
              <w:left w:w="180" w:type="dxa"/>
              <w:bottom w:w="120" w:type="dxa"/>
              <w:right w:w="180" w:type="dxa"/>
            </w:tcMar>
          </w:tcPr>
          <w:p>
            <w:pPr>
              <w:spacing w:after="0"/>
            </w:pPr>
            <w:r>
              <w:t xml:space="preserve">CoC Flag</w:t>
            </w:r>
          </w:p>
        </w:tc>
        <w:tc>
          <w:tcPr>
            <w:tcW w:w="1560" w:type="dxa"/>
            <w:tcMar>
              <w:top w:w="120" w:type="dxa"/>
              <w:left w:w="180" w:type="dxa"/>
              <w:bottom w:w="120" w:type="dxa"/>
              <w:right w:w="180" w:type="dxa"/>
            </w:tcMar>
          </w:tcPr>
          <w:p>
            <w:pPr>
              <w:spacing w:after="0"/>
            </w:pPr>
            <w:r>
              <w:t xml:space="preserve">Traceability</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Nora Whitaker</w:t>
            </w:r>
          </w:p>
        </w:tc>
        <w:tc>
          <w:tcPr>
            <w:tcW w:w="1560" w:type="dxa"/>
            <w:tcMar>
              <w:top w:w="120" w:type="dxa"/>
              <w:left w:w="180" w:type="dxa"/>
              <w:bottom w:w="120" w:type="dxa"/>
              <w:right w:w="180" w:type="dxa"/>
            </w:tcMar>
          </w:tcPr>
          <w:p>
            <w:pPr>
              <w:spacing w:after="0"/>
            </w:pPr>
            <w:r>
              <w:t xml:space="preserve">TRUE when a Certificate of Conformance is on file — required before release.</w:t>
            </w:r>
          </w:p>
        </w:tc>
      </w:tr>
      <w:tr>
        <w:tc>
          <w:tcPr>
            <w:tcW w:w="1560" w:type="dxa"/>
            <w:tcMar>
              <w:top w:w="120" w:type="dxa"/>
              <w:left w:w="180" w:type="dxa"/>
              <w:bottom w:w="120" w:type="dxa"/>
              <w:right w:w="180" w:type="dxa"/>
            </w:tcMar>
          </w:tcPr>
          <w:p>
            <w:pPr>
              <w:spacing w:after="0"/>
            </w:pPr>
            <w:r>
              <w:t xml:space="preserve">Result Code</w:t>
            </w:r>
          </w:p>
        </w:tc>
        <w:tc>
          <w:tcPr>
            <w:tcW w:w="1560" w:type="dxa"/>
            <w:tcMar>
              <w:top w:w="120" w:type="dxa"/>
              <w:left w:w="180" w:type="dxa"/>
              <w:bottom w:w="120" w:type="dxa"/>
              <w:right w:w="180" w:type="dxa"/>
            </w:tcMar>
          </w:tcPr>
          <w:p>
            <w:pPr>
              <w:spacing w:after="0"/>
            </w:pPr>
            <w:r>
              <w:t xml:space="preserve">Quality &amp; Inspection</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Yuki Mori</w:t>
            </w:r>
          </w:p>
        </w:tc>
        <w:tc>
          <w:tcPr>
            <w:tcW w:w="1560" w:type="dxa"/>
            <w:tcMar>
              <w:top w:w="120" w:type="dxa"/>
              <w:left w:w="180" w:type="dxa"/>
              <w:bottom w:w="120" w:type="dxa"/>
              <w:right w:w="180" w:type="dxa"/>
            </w:tcMar>
          </w:tcPr>
          <w:p>
            <w:pPr>
              <w:spacing w:after="0"/>
            </w:pPr>
            <w:r>
              <w:t xml:space="preserve">Inspection outcome: PASS, FAIL or CONDITIONAL.</w:t>
            </w:r>
          </w:p>
        </w:tc>
      </w:tr>
      <w:tr>
        <w:tc>
          <w:tcPr>
            <w:tcW w:w="1560" w:type="dxa"/>
            <w:tcMar>
              <w:top w:w="120" w:type="dxa"/>
              <w:left w:w="180" w:type="dxa"/>
              <w:bottom w:w="120" w:type="dxa"/>
              <w:right w:w="180" w:type="dxa"/>
            </w:tcMar>
          </w:tcPr>
          <w:p>
            <w:pPr>
              <w:spacing w:after="0"/>
            </w:pPr>
            <w:r>
              <w:t xml:space="preserve">Severity Code</w:t>
            </w:r>
          </w:p>
        </w:tc>
        <w:tc>
          <w:tcPr>
            <w:tcW w:w="1560" w:type="dxa"/>
            <w:tcMar>
              <w:top w:w="120" w:type="dxa"/>
              <w:left w:w="180" w:type="dxa"/>
              <w:bottom w:w="120" w:type="dxa"/>
              <w:right w:w="180" w:type="dxa"/>
            </w:tcMar>
          </w:tcPr>
          <w:p>
            <w:pPr>
              <w:spacing w:after="0"/>
            </w:pPr>
            <w:r>
              <w:t xml:space="preserve">Nonconformance</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Yuki Mori</w:t>
            </w:r>
          </w:p>
        </w:tc>
        <w:tc>
          <w:tcPr>
            <w:tcW w:w="1560" w:type="dxa"/>
            <w:tcMar>
              <w:top w:w="120" w:type="dxa"/>
              <w:left w:w="180" w:type="dxa"/>
              <w:bottom w:w="120" w:type="dxa"/>
              <w:right w:w="180" w:type="dxa"/>
            </w:tcMar>
          </w:tcPr>
          <w:p>
            <w:pPr>
              <w:spacing w:after="0"/>
            </w:pPr>
            <w:r>
              <w:t xml:space="preserve">NCR severity: MINOR, MAJOR or CRITICAL.</w:t>
            </w:r>
          </w:p>
        </w:tc>
      </w:tr>
      <w:tr>
        <w:tc>
          <w:tcPr>
            <w:tcW w:w="1560" w:type="dxa"/>
            <w:tcMar>
              <w:top w:w="120" w:type="dxa"/>
              <w:left w:w="180" w:type="dxa"/>
              <w:bottom w:w="120" w:type="dxa"/>
              <w:right w:w="180" w:type="dxa"/>
            </w:tcMar>
          </w:tcPr>
          <w:p>
            <w:pPr>
              <w:spacing w:after="0"/>
            </w:pPr>
            <w:r>
              <w:t xml:space="preserve">MRB Approval Flag</w:t>
            </w:r>
          </w:p>
        </w:tc>
        <w:tc>
          <w:tcPr>
            <w:tcW w:w="1560" w:type="dxa"/>
            <w:tcMar>
              <w:top w:w="120" w:type="dxa"/>
              <w:left w:w="180" w:type="dxa"/>
              <w:bottom w:w="120" w:type="dxa"/>
              <w:right w:w="180" w:type="dxa"/>
            </w:tcMar>
          </w:tcPr>
          <w:p>
            <w:pPr>
              <w:spacing w:after="0"/>
            </w:pPr>
            <w:r>
              <w:t xml:space="preserve">Nonconformance</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Yuki Mori</w:t>
            </w:r>
          </w:p>
        </w:tc>
        <w:tc>
          <w:tcPr>
            <w:tcW w:w="1560" w:type="dxa"/>
            <w:tcMar>
              <w:top w:w="120" w:type="dxa"/>
              <w:left w:w="180" w:type="dxa"/>
              <w:bottom w:w="120" w:type="dxa"/>
              <w:right w:w="180" w:type="dxa"/>
            </w:tcMar>
          </w:tcPr>
          <w:p>
            <w:pPr>
              <w:spacing w:after="0"/>
            </w:pPr>
            <w:r>
              <w:t xml:space="preserve">Material Review Board sign-off — required for USE_AS_IS on MAJOR/CRITICAL.</w:t>
            </w:r>
          </w:p>
        </w:tc>
      </w:tr>
      <w:tr>
        <w:tc>
          <w:tcPr>
            <w:tcW w:w="1560" w:type="dxa"/>
            <w:tcMar>
              <w:top w:w="120" w:type="dxa"/>
              <w:left w:w="180" w:type="dxa"/>
              <w:bottom w:w="120" w:type="dxa"/>
              <w:right w:w="180" w:type="dxa"/>
            </w:tcMar>
          </w:tcPr>
          <w:p>
            <w:pPr>
              <w:spacing w:after="0"/>
            </w:pPr>
            <w:r>
              <w:t xml:space="preserve">Customer Name</w:t>
            </w:r>
          </w:p>
        </w:tc>
        <w:tc>
          <w:tcPr>
            <w:tcW w:w="1560" w:type="dxa"/>
            <w:tcMar>
              <w:top w:w="120" w:type="dxa"/>
              <w:left w:w="180" w:type="dxa"/>
              <w:bottom w:w="120" w:type="dxa"/>
              <w:right w:w="180" w:type="dxa"/>
            </w:tcMar>
          </w:tcPr>
          <w:p>
            <w:pPr>
              <w:spacing w:after="0"/>
            </w:pPr>
            <w:r>
              <w:t xml:space="preserve">Shipments &amp; Customers</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Silas Grant</w:t>
            </w:r>
          </w:p>
        </w:tc>
        <w:tc>
          <w:tcPr>
            <w:tcW w:w="1560" w:type="dxa"/>
            <w:tcMar>
              <w:top w:w="120" w:type="dxa"/>
              <w:left w:w="180" w:type="dxa"/>
              <w:bottom w:w="120" w:type="dxa"/>
              <w:right w:w="180" w:type="dxa"/>
            </w:tcMar>
          </w:tcPr>
          <w:p>
            <w:pPr>
              <w:spacing w:after="0"/>
            </w:pPr>
            <w:r>
              <w:t xml:space="preserve">Customer legal name — commercially sensitive relationships.</w:t>
            </w:r>
          </w:p>
        </w:tc>
      </w:tr>
      <w:tr>
        <w:tc>
          <w:tcPr>
            <w:tcW w:w="1560" w:type="dxa"/>
            <w:tcMar>
              <w:top w:w="120" w:type="dxa"/>
              <w:left w:w="180" w:type="dxa"/>
              <w:bottom w:w="120" w:type="dxa"/>
              <w:right w:w="180" w:type="dxa"/>
            </w:tcMar>
          </w:tcPr>
          <w:p>
            <w:pPr>
              <w:spacing w:after="0"/>
            </w:pPr>
            <w:r>
              <w:t xml:space="preserve">Plant Name</w:t>
            </w:r>
          </w:p>
        </w:tc>
        <w:tc>
          <w:tcPr>
            <w:tcW w:w="1560" w:type="dxa"/>
            <w:tcMar>
              <w:top w:w="120" w:type="dxa"/>
              <w:left w:w="180" w:type="dxa"/>
              <w:bottom w:w="120" w:type="dxa"/>
              <w:right w:w="180" w:type="dxa"/>
            </w:tcMar>
          </w:tcPr>
          <w:p>
            <w:pPr>
              <w:spacing w:after="0"/>
            </w:pPr>
            <w:r>
              <w:t xml:space="preserve">Plant Operations</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Nora Whitaker</w:t>
            </w:r>
          </w:p>
        </w:tc>
        <w:tc>
          <w:tcPr>
            <w:tcW w:w="1560" w:type="dxa"/>
            <w:tcMar>
              <w:top w:w="120" w:type="dxa"/>
              <w:left w:w="180" w:type="dxa"/>
              <w:bottom w:w="120" w:type="dxa"/>
              <w:right w:w="180" w:type="dxa"/>
            </w:tcMar>
          </w:tcPr>
          <w:p>
            <w:pPr>
              <w:spacing w:after="0"/>
            </w:pPr>
            <w:r>
              <w:t xml:space="preserve">Name of a CPC manufacturing site.</w:t>
            </w:r>
          </w:p>
        </w:tc>
      </w:tr>
    </w:tbl>
    <w:p>
      <w:pPr>
        <w:spacing w:after="120"/>
      </w:pPr>
    </w:p>
    <w:p>
      <w:pPr>
        <w:pStyle w:val="Heading1"/>
      </w:pPr>
      <w:r>
        <w:t xml:space="preserve">Step-by-step</w:t>
      </w:r>
    </w:p>
    <w:p>
      <w:pPr>
        <w:pStyle w:val="Heading2"/>
      </w:pPr>
      <w:r>
        <w:t xml:space="preserve">Part A — Create the glossary in the Data Canvas</w:t>
      </w:r>
    </w:p>
    <w:p>
      <w:pPr>
        <w:pStyle w:val="ListParagraph"/>
        <w:numPr>
          <w:ilvl w:val="0"/>
          <w:numId w:val="100"/>
        </w:numPr>
        <w:spacing w:after="80" w:line="264" w:lineRule="auto"/>
      </w:pPr>
      <w:r>
        <w:t xml:space="preserve">Click </w:t>
      </w:r>
      <w:r>
        <w:rPr>
          <w:b/>
          <w:bCs/>
        </w:rPr>
        <w:t xml:space="preserve">Glossary</w:t>
      </w:r>
      <w:r>
        <w:t xml:space="preserve"> in the left navigation menu to open the Business Glossary page.</w:t>
      </w:r>
    </w:p>
    <w:p>
      <w:pPr>
        <w:pStyle w:val="ListParagraph"/>
        <w:numPr>
          <w:ilvl w:val="0"/>
          <w:numId w:val="100"/>
        </w:numPr>
        <w:spacing w:after="80" w:line="264" w:lineRule="auto"/>
      </w:pPr>
      <w:r>
        <w:t xml:space="preserve">Click </w:t>
      </w:r>
      <w:r>
        <w:rPr>
          <w:b/>
          <w:bCs/>
        </w:rPr>
        <w:t xml:space="preserve">Actions</w:t>
      </w:r>
      <w:r>
        <w:t xml:space="preserve">, then </w:t>
      </w:r>
      <w:r>
        <w:rPr>
          <w:b/>
          <w:bCs/>
        </w:rPr>
        <w:t xml:space="preserve">Add New Glossary</w:t>
      </w:r>
      <w:r>
        <w:t xml:space="preserve">. Name it </w:t>
      </w:r>
      <w:r>
        <w:rPr>
          <w:rFonts w:ascii="Consolas" w:hAnsi="Consolas"/>
          <w:color w:val="0A5560"/>
          <w:sz w:val="20"/>
          <w:szCs w:val="20"/>
        </w:rPr>
        <w:t xml:space="preserve">CPC Business Glossary</w:t>
      </w:r>
      <w:r>
        <w:t xml:space="preserve"> and click Continue. Add a Definition and a Purpose.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Create Glossary → Category → Term</w:t>
      </w:r>
    </w:p>
    <w:p>
      <w:pPr>
        <w:pStyle w:val="ListParagraph"/>
        <w:numPr>
          <w:ilvl w:val="0"/>
          <w:numId w:val="100"/>
        </w:numPr>
        <w:spacing w:after="80" w:line="264" w:lineRule="auto"/>
      </w:pPr>
      <w:r>
        <w:t xml:space="preserve">Click </w:t>
      </w:r>
      <w:r>
        <w:rPr>
          <w:b/>
          <w:bCs/>
        </w:rPr>
        <w:t xml:space="preserve">Actions</w:t>
      </w:r>
      <w:r>
        <w:t xml:space="preserve">, then </w:t>
      </w:r>
      <w:r>
        <w:rPr>
          <w:b/>
          <w:bCs/>
        </w:rPr>
        <w:t xml:space="preserve">Add New Category</w:t>
      </w:r>
      <w:r>
        <w:t xml:space="preserve">. Create the eight categories: </w:t>
      </w:r>
      <w:r>
        <w:rPr>
          <w:b/>
          <w:bCs/>
        </w:rPr>
        <w:t xml:space="preserve">Parts &amp; BOM, Suppliers &amp; Purchasing, Production, Traceability, Quality &amp; Inspection, Nonconformance, Shipments &amp; Customers,</w:t>
      </w:r>
      <w:r>
        <w:t xml:space="preserve"> and </w:t>
      </w:r>
      <w:r>
        <w:rPr>
          <w:b/>
          <w:bCs/>
        </w:rPr>
        <w:t xml:space="preserve">Plant Operations</w:t>
      </w:r>
      <w:r>
        <w:t xml:space="preserve"> — each with the CPC Business Glossary as its Parent.</w:t>
      </w:r>
    </w:p>
    <w:p>
      <w:pPr>
        <w:pStyle w:val="ListParagraph"/>
        <w:numPr>
          <w:ilvl w:val="0"/>
          <w:numId w:val="100"/>
        </w:numPr>
        <w:spacing w:after="80" w:line="264" w:lineRule="auto"/>
      </w:pPr>
      <w:r>
        <w:t xml:space="preserve">Click </w:t>
      </w:r>
      <w:r>
        <w:rPr>
          <w:b/>
          <w:bCs/>
        </w:rPr>
        <w:t xml:space="preserve">Actions</w:t>
      </w:r>
      <w:r>
        <w:t xml:space="preserve">, then </w:t>
      </w:r>
      <w:r>
        <w:rPr>
          <w:b/>
          <w:bCs/>
        </w:rPr>
        <w:t xml:space="preserve">Add New Term</w:t>
      </w:r>
      <w:r>
        <w:t xml:space="preserve">. For each term in the table above, enter its name, choose its category as the Parent, click Create, then add its Definition.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Create Term</w:t>
      </w:r>
    </w:p>
    <w:p>
      <w:pPr>
        <w:pStyle w:val="ListParagraph"/>
        <w:numPr>
          <w:ilvl w:val="0"/>
          <w:numId w:val="100"/>
        </w:numPr>
        <w:spacing w:after="80" w:line="264" w:lineRule="auto"/>
      </w:pPr>
      <w:r>
        <w:t xml:space="preserve">On each term's Summary tab, open the Properties panel and set Sensitivity, Domain, Classification, Business Steward, Owner, Custodian, Stakeholders, and the Review Date. Set Status to </w:t>
      </w:r>
      <w:r>
        <w:rPr>
          <w:b/>
          <w:bCs/>
        </w:rPr>
        <w:t xml:space="preserve">Accepted</w:t>
      </w:r>
      <w:r>
        <w:t xml:space="preserve"> when the term is ready.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Term Properties panel filled in</w:t>
      </w:r>
    </w:p>
    <w:p>
      <w:pPr>
        <w:pStyle w:val="ListParagraph"/>
        <w:numPr>
          <w:ilvl w:val="0"/>
          <w:numId w:val="100"/>
        </w:numPr>
        <w:spacing w:after="80" w:line="264" w:lineRule="auto"/>
      </w:pPr>
      <w:r>
        <w:t xml:space="preserve">(Optional) Add Tags such as </w:t>
      </w:r>
      <w:r>
        <w:rPr>
          <w:rFonts w:ascii="Consolas" w:hAnsi="Consolas"/>
          <w:color w:val="0A5560"/>
          <w:sz w:val="20"/>
          <w:szCs w:val="20"/>
        </w:rPr>
        <w:t xml:space="preserve">traceability</w:t>
      </w:r>
      <w:r>
        <w:t xml:space="preserve">, </w:t>
      </w:r>
      <w:r>
        <w:rPr>
          <w:rFonts w:ascii="Consolas" w:hAnsi="Consolas"/>
          <w:color w:val="0A5560"/>
          <w:sz w:val="20"/>
          <w:szCs w:val="20"/>
        </w:rPr>
        <w:t xml:space="preserve">safety-critical</w:t>
      </w:r>
      <w:r>
        <w:t xml:space="preserve">, or </w:t>
      </w:r>
      <w:r>
        <w:rPr>
          <w:rFonts w:ascii="Consolas" w:hAnsi="Consolas"/>
          <w:color w:val="0A5560"/>
          <w:sz w:val="20"/>
          <w:szCs w:val="20"/>
        </w:rPr>
        <w:t xml:space="preserve">commercial</w:t>
      </w:r>
      <w:r>
        <w:t xml:space="preserve"> for quick discovery — tags complement the term, they do not replace it.</w:t>
      </w:r>
    </w:p>
    <w:p>
      <w:pPr>
        <w:jc w:val="center"/>
        <w:spacing w:before="120" w:after="160"/>
      </w:pPr>
      <w:r>
        <w:drawing>
          <wp:inline xmlns:wp="http://schemas.openxmlformats.org/drawingml/2006/wordprocessingDrawing" distT="0" distB="0" distL="0" distR="0">
            <wp:extent cx="5760720" cy="3028070"/>
            <wp:docPr id="101" name="two-apps"/>
            <a:graphic xmlns:a="http://schemas.openxmlformats.org/drawingml/2006/main">
              <a:graphicData uri="http://schemas.openxmlformats.org/drawingml/2006/picture">
                <pic:pic xmlns:pic="http://schemas.openxmlformats.org/drawingml/2006/picture">
                  <pic:nvPicPr>
                    <pic:cNvPr id="101" name="two-apps"/>
                    <pic:cNvPicPr/>
                  </pic:nvPicPr>
                  <pic:blipFill>
                    <a:blip r:embed="rId101"/>
                    <a:stretch>
                      <a:fillRect/>
                    </a:stretch>
                  </pic:blipFill>
                  <pic:spPr>
                    <a:xfrm>
                      <a:off x="0" y="0"/>
                      <a:ext cx="5760720" cy="3028070"/>
                    </a:xfrm>
                    <a:prstGeom prst="rect">
                      <a:avLst/>
                    </a:prstGeom>
                  </pic:spPr>
                </pic:pic>
              </a:graphicData>
            </a:graphic>
          </wp:inline>
        </w:drawing>
      </w:r>
    </w:p>
    <w:p>
      <w:pPr>
        <w:pStyle w:val="Heading2"/>
      </w:pPr>
      <w:r>
        <w:t xml:space="preserve">Part B — Import the glossary from a file (the bulk method)</w:t>
      </w:r>
    </w:p>
    <w:p>
      <w:pPr>
        <w:spacing w:after="120"/>
      </w:pPr>
      <w:r>
        <w:t xml:space="preserve">Building terms by hand is fine for a handful; for a real glossary you import. PDC imports JSON Lines or CSV. This workshop ships the full CPC glossary as </w:t>
      </w:r>
      <w:r>
        <w:rPr>
          <w:rFonts w:ascii="Consolas" w:hAnsi="Consolas"/>
          <w:color w:val="0A5560"/>
          <w:sz w:val="20"/>
          <w:szCs w:val="20"/>
        </w:rPr>
        <w:t xml:space="preserve">CPC-Business-Glossary.jsonl</w:t>
      </w:r>
      <w:r>
        <w:t xml:space="preserve"> — 118 records covering the glossary, all eight categories, and 109 terms with definitions, sensitivities and CDE flags already set.</w:t>
      </w:r>
    </w:p>
    <w:p>
      <w:pPr>
        <w:pBdr>
          <w:left w:val="single" w:sz="12" w:space="8" w:color="065A82"/>
        </w:pBdr>
        <w:shd w:val="clear" w:color="auto" w:fill="EEF6FA"/>
        <w:ind w:left="240" w:right="240"/>
        <w:spacing w:before="120" w:after="160"/>
      </w:pPr>
      <w:r>
        <w:rPr>
          <w:b/>
          <w:bCs/>
        </w:rPr>
        <w:t xml:space="preserve">Two paths to the same glossary.</w:t>
      </w:r>
      <w:r>
        <w:t xml:space="preserve"> A file like this can also be produced by the </w:t>
      </w:r>
      <w:r>
        <w:rPr>
          <w:b/>
          <w:bCs/>
        </w:rPr>
        <w:t xml:space="preserve">Glossary Generator app</w:t>
      </w:r>
      <w:r>
        <w:t xml:space="preserve"> (scan → suggest → steward review → export) running against the MFG domain pack. In this workshop you consume the shipped file as a Business Steward; with the app installed (</w:t>
      </w:r>
      <w:r>
        <w:rPr>
          <w:rFonts w:ascii="Consolas" w:hAnsi="Consolas"/>
          <w:color w:val="0A5560"/>
          <w:sz w:val="20"/>
          <w:szCs w:val="20"/>
        </w:rPr>
        <w:t xml:space="preserve">install-scenario.ps1</w:t>
      </w:r>
      <w:r>
        <w:t xml:space="preserve"> → MFG) you can produce it yourself. Use one path per environment, not both — the import lands the whole tree.</w:t>
      </w:r>
    </w:p>
    <w:p>
      <w:pPr>
        <w:pStyle w:val="ListParagraph"/>
        <w:numPr>
          <w:ilvl w:val="0"/>
          <w:numId w:val="101"/>
        </w:numPr>
        <w:spacing w:after="80" w:line="264" w:lineRule="auto"/>
      </w:pPr>
      <w:r>
        <w:t xml:space="preserve">Get the exact format first: after building one term in Part A, click </w:t>
      </w:r>
      <w:r>
        <w:rPr>
          <w:b/>
          <w:bCs/>
        </w:rPr>
        <w:t xml:space="preserve">Actions</w:t>
      </w:r>
      <w:r>
        <w:t xml:space="preserve">, then </w:t>
      </w:r>
      <w:r>
        <w:rPr>
          <w:b/>
          <w:bCs/>
        </w:rPr>
        <w:t xml:space="preserve">Export</w:t>
      </w:r>
      <w:r>
        <w:t xml:space="preserve">, choose CSV or JSON, and download. The exported file's columns are the precise schema any hand-built import must match. (The supplied JSONL is already in that shape.)</w:t>
      </w:r>
    </w:p>
    <w:p>
      <w:pPr>
        <w:pStyle w:val="ListParagraph"/>
        <w:numPr>
          <w:ilvl w:val="0"/>
          <w:numId w:val="101"/>
        </w:numPr>
        <w:spacing w:after="80" w:line="264" w:lineRule="auto"/>
      </w:pPr>
      <w:r>
        <w:t xml:space="preserve">On the Business Glossary page, click </w:t>
      </w:r>
      <w:r>
        <w:rPr>
          <w:b/>
          <w:bCs/>
        </w:rPr>
        <w:t xml:space="preserve">Actions</w:t>
      </w:r>
      <w:r>
        <w:t xml:space="preserve">, then </w:t>
      </w:r>
      <w:r>
        <w:rPr>
          <w:b/>
          <w:bCs/>
        </w:rPr>
        <w:t xml:space="preserve">Import</w:t>
      </w:r>
      <w:r>
        <w:t xml:space="preserve">, drag in </w:t>
      </w:r>
      <w:r>
        <w:rPr>
          <w:rFonts w:ascii="Consolas" w:hAnsi="Consolas"/>
          <w:color w:val="0A5560"/>
          <w:sz w:val="20"/>
          <w:szCs w:val="20"/>
        </w:rPr>
        <w:t xml:space="preserve">CPC-Business-Glossary.jsonl</w:t>
      </w:r>
      <w:r>
        <w:t xml:space="preserve">, and click Submit.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Import a Glossary</w:t>
      </w:r>
    </w:p>
    <w:p>
      <w:pPr>
        <w:pStyle w:val="ListParagraph"/>
        <w:numPr>
          <w:ilvl w:val="0"/>
          <w:numId w:val="101"/>
        </w:numPr>
        <w:spacing w:after="80" w:line="264" w:lineRule="auto"/>
      </w:pPr>
      <w:r>
        <w:t xml:space="preserve">Confirm the imported glossary, its eight categories, and 109 terms appear in the navigation tree.</w:t>
      </w:r>
    </w:p>
    <w:p>
      <w:pPr>
        <w:pStyle w:val="ListParagraph"/>
        <w:numPr>
          <w:ilvl w:val="0"/>
          <w:numId w:val="101"/>
        </w:numPr>
        <w:spacing w:after="80" w:line="264" w:lineRule="auto"/>
      </w:pPr>
      <w:r>
        <w:t xml:space="preserve">Spot-check two terms: open </w:t>
      </w:r>
      <w:r>
        <w:rPr>
          <w:b/>
          <w:bCs/>
        </w:rPr>
        <w:t xml:space="preserve">Traceability → CoC Flag</w:t>
      </w:r>
      <w:r>
        <w:t xml:space="preserve"> — its definition documents the released-without-certificate defect (Workshop 2 bookmarked it) — and </w:t>
      </w:r>
      <w:r>
        <w:rPr>
          <w:b/>
          <w:bCs/>
        </w:rPr>
        <w:t xml:space="preserve">Nonconformance → MRB Approval Flag</w:t>
      </w:r>
      <w:r>
        <w:t xml:space="preserve">, whose definition came straight from the column comment.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CoC Flag term after import</w:t>
      </w:r>
    </w:p>
    <w:p>
      <w:pPr>
        <w:pBdr>
          <w:left w:val="single" w:sz="12" w:space="8" w:color="065A82"/>
        </w:pBdr>
        <w:shd w:val="clear" w:color="auto" w:fill="EEF6FA"/>
        <w:ind w:left="240" w:right="240"/>
        <w:spacing w:before="120" w:after="160"/>
      </w:pPr>
      <w:r>
        <w:rPr>
          <w:b/>
          <w:bCs/>
        </w:rPr>
        <w:t xml:space="preserve">Export before you import.</w:t>
      </w:r>
      <w:r>
        <w:t xml:space="preserve"> Importer columns can vary by version, so never hand-build a file blind. Export a glossary first — even a one-term one — and mirror its exact headers and Parent references. An exported file is guaranteed to round-trip back in.</w:t>
      </w:r>
    </w:p>
    <w:p>
      <w:pPr>
        <w:pBdr>
          <w:left w:val="single" w:sz="12" w:space="8" w:color="065A82"/>
        </w:pBdr>
        <w:shd w:val="clear" w:color="auto" w:fill="EEF6FA"/>
        <w:ind w:left="240" w:right="240"/>
        <w:spacing w:before="120" w:after="160"/>
      </w:pPr>
      <w:r>
        <w:rPr>
          <w:b/>
          <w:bCs/>
        </w:rPr>
        <w:t xml:space="preserve">Set the people-fields in the UI after import.</w:t>
      </w:r>
      <w:r>
        <w:t xml:space="preserve"> Import carries the descriptive properties — Definition, Sensitivity, Domain, Status, Classification. It does not carry Custodian, Owner, Review Date ("Reviewed At"), or Stakeholders. Those resolve to real users, so the people they name must exist in PDC first (Workshop 0), then be assigned on each term's Summary page after the import lands. Tags and Custom Properties are not in the import file either. Plan the short stewardship pass in Part E to set all of these.</w:t>
      </w:r>
    </w:p>
    <w:p>
      <w:pPr>
        <w:pStyle w:val="Heading2"/>
      </w:pPr>
      <w:r>
        <w:t xml:space="preserve">Part C — Link terms, then feed the table's Trust Score</w:t>
      </w:r>
    </w:p>
    <w:p>
      <w:pPr>
        <w:pBdr>
          <w:left w:val="single" w:sz="12" w:space="8" w:color="065A82"/>
        </w:pBdr>
        <w:shd w:val="clear" w:color="auto" w:fill="EEF6FA"/>
        <w:ind w:left="240" w:right="240"/>
        <w:spacing w:before="120" w:after="160"/>
      </w:pPr>
      <w:r>
        <w:rPr>
          <w:b/>
          <w:bCs/>
        </w:rPr>
        <w:t xml:space="preserve">KEY POINT — Trust Score is a table / file metric, never a column one.</w:t>
      </w:r>
      <w:r>
        <w:t xml:space="preserve"> Calculated at table/file level only. A column never gets its own Trust Score, so linking a term to a column will never produce one — no matter how the term is linked. </w:t>
      </w:r>
      <w:r>
        <w:rPr>
          <w:b/>
          <w:bCs/>
        </w:rPr>
        <w:t xml:space="preserve">The table reads a table-level term.</w:t>
      </w:r>
      <w:r>
        <w:t xml:space="preserve"> Link each table's table-level term (Lot Record, Part Record, …) to the table itself, then run Calculate Trust Score. That table term — not the column links — is the glossary-term input the score actually reads. </w:t>
      </w:r>
      <w:r>
        <w:rPr>
          <w:b/>
          <w:bCs/>
        </w:rPr>
        <w:t xml:space="preserve">Column links still matter — just not for the score.</w:t>
      </w:r>
      <w:r>
        <w:t xml:space="preserve"> They carry the term's meaning, sensitivity and ownership onto the column for search, lineage and governance. That is their job; feeding a column score is not. </w:t>
      </w:r>
      <w:r>
        <w:rPr>
          <w:b/>
          <w:bCs/>
        </w:rPr>
        <w:t xml:space="preserve">The term input is binary.</w:t>
      </w:r>
      <w:r>
        <w:t xml:space="preserve"> The score asks only whether a meaningful term is assigned — not how many. Over-linking to inflate it is semantically wrong and degrades the governance the score measures. </w:t>
      </w:r>
      <w:r>
        <w:rPr>
          <w:b/>
          <w:bCs/>
        </w:rPr>
        <w:t xml:space="preserve">Need a number on a column?</w:t>
      </w:r>
      <w:r>
        <w:t xml:space="preserve"> It is authored, not calculated — a Technical Track exercise, not part of this workshop.</w:t>
      </w:r>
    </w:p>
    <w:p>
      <w:pPr>
        <w:spacing w:after="120"/>
      </w:pPr>
      <w:r>
        <w:rPr>
          <w:b/>
          <w:bCs/>
        </w:rPr>
        <w:t xml:space="preserve">Where Trust Score lives.</w:t>
      </w:r>
      <w:r>
        <w:t xml:space="preserve"> Trust Score is a native metric on two entity types only: tables and files. In PDC's hierarchy a column sits inside a table and a folder sits above files, so the scored peers are the table and the file — a file is the unstructured twin of a table, scored the same way. A column and a folder are only a part or a container, and never carry a Trust Score.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340"/>
        <w:gridCol w:w="2340"/>
        <w:gridCol w:w="2340"/>
        <w:gridCol w:w="2340"/>
      </w:tblGrid>
      <w:tr>
        <w:tc>
          <w:tcPr>
            <w:tcW w:w="234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Entity</w:t>
            </w:r>
          </w:p>
        </w:tc>
        <w:tc>
          <w:tcPr>
            <w:tcW w:w="2340" w:type="dxa"/>
            <w:shd w:val="clear" w:color="auto" w:fill="EEF6FA"/>
            <w:tcMar>
              <w:top w:w="120" w:type="dxa"/>
              <w:left w:w="180" w:type="dxa"/>
              <w:bottom w:w="120" w:type="dxa"/>
              <w:right w:w="180" w:type="dxa"/>
            </w:tcMar>
          </w:tcPr>
          <w:p>
            <w:pPr>
              <w:spacing w:after="0"/>
            </w:pPr>
            <w:r>
              <w:rPr>
                <w:b/>
                <w:bCs/>
              </w:rPr>
              <w:t xml:space="preserve">Native Trust Score?</w:t>
            </w:r>
          </w:p>
        </w:tc>
        <w:tc>
          <w:tcPr>
            <w:tcW w:w="2340" w:type="dxa"/>
            <w:shd w:val="clear" w:color="auto" w:fill="EEF6FA"/>
            <w:tcMar>
              <w:top w:w="120" w:type="dxa"/>
              <w:left w:w="180" w:type="dxa"/>
              <w:bottom w:w="120" w:type="dxa"/>
              <w:right w:w="180" w:type="dxa"/>
            </w:tcMar>
          </w:tcPr>
          <w:p>
            <w:pPr>
              <w:spacing w:after="0"/>
            </w:pPr>
            <w:r>
              <w:rPr>
                <w:b/>
                <w:bCs/>
              </w:rPr>
              <w:t xml:space="preserve">How it's set</w:t>
            </w:r>
          </w:p>
        </w:tc>
        <w:tc>
          <w:tcPr>
            <w:tcW w:w="2340" w:type="dxa"/>
            <w:shd w:val="clear" w:color="auto" w:fill="EEF6FA"/>
            <w:tcMar>
              <w:top w:w="120" w:type="dxa"/>
              <w:left w:w="180" w:type="dxa"/>
              <w:bottom w:w="120" w:type="dxa"/>
              <w:right w:w="180" w:type="dxa"/>
            </w:tcMar>
          </w:tcPr>
          <w:p>
            <w:pPr>
              <w:spacing w:after="0"/>
            </w:pPr>
            <w:r>
              <w:rPr>
                <w:b/>
                <w:bCs/>
              </w:rPr>
              <w:t xml:space="preserve">What it means / carries</w:t>
            </w:r>
          </w:p>
        </w:tc>
      </w:tr>
      <w:tr>
        <w:tc>
          <w:tcPr>
            <w:tcW w:w="2340" w:type="dxa"/>
            <w:tcMar>
              <w:top w:w="120" w:type="dxa"/>
              <w:left w:w="180" w:type="dxa"/>
              <w:bottom w:w="120" w:type="dxa"/>
              <w:right w:w="180" w:type="dxa"/>
            </w:tcMar>
          </w:tcPr>
          <w:p>
            <w:pPr>
              <w:spacing w:after="0"/>
            </w:pPr>
            <w:r>
              <w:t xml:space="preserve">Table</w:t>
            </w:r>
          </w:p>
        </w:tc>
        <w:tc>
          <w:tcPr>
            <w:tcW w:w="2340" w:type="dxa"/>
            <w:tcMar>
              <w:top w:w="120" w:type="dxa"/>
              <w:left w:w="180" w:type="dxa"/>
              <w:bottom w:w="120" w:type="dxa"/>
              <w:right w:w="180" w:type="dxa"/>
            </w:tcMar>
          </w:tcPr>
          <w:p>
            <w:pPr>
              <w:spacing w:after="0"/>
            </w:pPr>
            <w:r>
              <w:t xml:space="preserve">Yes</w:t>
            </w:r>
          </w:p>
        </w:tc>
        <w:tc>
          <w:tcPr>
            <w:tcW w:w="2340" w:type="dxa"/>
            <w:tcMar>
              <w:top w:w="120" w:type="dxa"/>
              <w:left w:w="180" w:type="dxa"/>
              <w:bottom w:w="120" w:type="dxa"/>
              <w:right w:w="180" w:type="dxa"/>
            </w:tcMar>
          </w:tcPr>
          <w:p>
            <w:pPr>
              <w:spacing w:after="0"/>
            </w:pPr>
            <w:r>
              <w:t xml:space="preserve">Calculate (4 inputs) or type a value in Key Metrics</w:t>
            </w:r>
          </w:p>
        </w:tc>
        <w:tc>
          <w:tcPr>
            <w:tcW w:w="2340" w:type="dxa"/>
            <w:tcMar>
              <w:top w:w="120" w:type="dxa"/>
              <w:left w:w="180" w:type="dxa"/>
              <w:bottom w:w="120" w:type="dxa"/>
              <w:right w:w="180" w:type="dxa"/>
            </w:tcMar>
          </w:tcPr>
          <w:p>
            <w:pPr>
              <w:spacing w:after="0"/>
            </w:pPr>
            <w:r>
              <w:t xml:space="preserve">Reliability of the whole table — Data Quality, ratings, verified lineage, and a table-level term</w:t>
            </w:r>
          </w:p>
        </w:tc>
      </w:tr>
      <w:tr>
        <w:tc>
          <w:tcPr>
            <w:tcW w:w="2340" w:type="dxa"/>
            <w:tcMar>
              <w:top w:w="120" w:type="dxa"/>
              <w:left w:w="180" w:type="dxa"/>
              <w:bottom w:w="120" w:type="dxa"/>
              <w:right w:w="180" w:type="dxa"/>
            </w:tcMar>
          </w:tcPr>
          <w:p>
            <w:pPr>
              <w:spacing w:after="0"/>
            </w:pPr>
            <w:r>
              <w:t xml:space="preserve">File</w:t>
            </w:r>
          </w:p>
        </w:tc>
        <w:tc>
          <w:tcPr>
            <w:tcW w:w="2340" w:type="dxa"/>
            <w:tcMar>
              <w:top w:w="120" w:type="dxa"/>
              <w:left w:w="180" w:type="dxa"/>
              <w:bottom w:w="120" w:type="dxa"/>
              <w:right w:w="180" w:type="dxa"/>
            </w:tcMar>
          </w:tcPr>
          <w:p>
            <w:pPr>
              <w:spacing w:after="0"/>
            </w:pPr>
            <w:r>
              <w:t xml:space="preserve">Yes</w:t>
            </w:r>
          </w:p>
        </w:tc>
        <w:tc>
          <w:tcPr>
            <w:tcW w:w="2340" w:type="dxa"/>
            <w:tcMar>
              <w:top w:w="120" w:type="dxa"/>
              <w:left w:w="180" w:type="dxa"/>
              <w:bottom w:w="120" w:type="dxa"/>
              <w:right w:w="180" w:type="dxa"/>
            </w:tcMar>
          </w:tcPr>
          <w:p>
            <w:pPr>
              <w:spacing w:after="0"/>
            </w:pPr>
            <w:r>
              <w:t xml:space="preserve">Same as a table; Data Quality comes from Data Discovery</w:t>
            </w:r>
          </w:p>
        </w:tc>
        <w:tc>
          <w:tcPr>
            <w:tcW w:w="2340" w:type="dxa"/>
            <w:tcMar>
              <w:top w:w="120" w:type="dxa"/>
              <w:left w:w="180" w:type="dxa"/>
              <w:bottom w:w="120" w:type="dxa"/>
              <w:right w:w="180" w:type="dxa"/>
            </w:tcMar>
          </w:tcPr>
          <w:p>
            <w:pPr>
              <w:spacing w:after="0"/>
            </w:pPr>
            <w:r>
              <w:t xml:space="preserve">Reliability of a document — the same four inputs</w:t>
            </w:r>
          </w:p>
        </w:tc>
      </w:tr>
      <w:tr>
        <w:tc>
          <w:tcPr>
            <w:tcW w:w="2340" w:type="dxa"/>
            <w:tcMar>
              <w:top w:w="120" w:type="dxa"/>
              <w:left w:w="180" w:type="dxa"/>
              <w:bottom w:w="120" w:type="dxa"/>
              <w:right w:w="180" w:type="dxa"/>
            </w:tcMar>
          </w:tcPr>
          <w:p>
            <w:pPr>
              <w:spacing w:after="0"/>
            </w:pPr>
            <w:r>
              <w:t xml:space="preserve">Column</w:t>
            </w:r>
          </w:p>
        </w:tc>
        <w:tc>
          <w:tcPr>
            <w:tcW w:w="2340" w:type="dxa"/>
            <w:tcMar>
              <w:top w:w="120" w:type="dxa"/>
              <w:left w:w="180" w:type="dxa"/>
              <w:bottom w:w="120" w:type="dxa"/>
              <w:right w:w="180" w:type="dxa"/>
            </w:tcMar>
          </w:tcPr>
          <w:p>
            <w:pPr>
              <w:spacing w:after="0"/>
            </w:pPr>
            <w:r>
              <w:t xml:space="preserve">No</w:t>
            </w:r>
          </w:p>
        </w:tc>
        <w:tc>
          <w:tcPr>
            <w:tcW w:w="2340" w:type="dxa"/>
            <w:tcMar>
              <w:top w:w="120" w:type="dxa"/>
              <w:left w:w="180" w:type="dxa"/>
              <w:bottom w:w="120" w:type="dxa"/>
              <w:right w:w="180" w:type="dxa"/>
            </w:tcMar>
          </w:tcPr>
          <w:p>
            <w:pPr>
              <w:spacing w:after="0"/>
            </w:pPr>
            <w:r>
              <w:t xml:space="preserve">Authored only — bulk-write per column via the API</w:t>
            </w:r>
          </w:p>
        </w:tc>
        <w:tc>
          <w:tcPr>
            <w:tcW w:w="2340" w:type="dxa"/>
            <w:tcMar>
              <w:top w:w="120" w:type="dxa"/>
              <w:left w:w="180" w:type="dxa"/>
              <w:bottom w:w="120" w:type="dxa"/>
              <w:right w:w="180" w:type="dxa"/>
            </w:tcMar>
          </w:tcPr>
          <w:p>
            <w:pPr>
              <w:spacing w:after="0"/>
            </w:pPr>
            <w:r>
              <w:t xml:space="preserve">Profiling/DQ, sensitivity, tags and term links — for governance and discovery, not a score</w:t>
            </w:r>
          </w:p>
        </w:tc>
      </w:tr>
      <w:tr>
        <w:tc>
          <w:tcPr>
            <w:tcW w:w="2340" w:type="dxa"/>
            <w:tcMar>
              <w:top w:w="120" w:type="dxa"/>
              <w:left w:w="180" w:type="dxa"/>
              <w:bottom w:w="120" w:type="dxa"/>
              <w:right w:w="180" w:type="dxa"/>
            </w:tcMar>
          </w:tcPr>
          <w:p>
            <w:pPr>
              <w:spacing w:after="0"/>
            </w:pPr>
            <w:r>
              <w:t xml:space="preserve">Folder</w:t>
            </w:r>
          </w:p>
        </w:tc>
        <w:tc>
          <w:tcPr>
            <w:tcW w:w="2340" w:type="dxa"/>
            <w:tcMar>
              <w:top w:w="120" w:type="dxa"/>
              <w:left w:w="180" w:type="dxa"/>
              <w:bottom w:w="120" w:type="dxa"/>
              <w:right w:w="180" w:type="dxa"/>
            </w:tcMar>
          </w:tcPr>
          <w:p>
            <w:pPr>
              <w:spacing w:after="0"/>
            </w:pPr>
            <w:r>
              <w:t xml:space="preserve">No</w:t>
            </w:r>
          </w:p>
        </w:tc>
        <w:tc>
          <w:tcPr>
            <w:tcW w:w="2340" w:type="dxa"/>
            <w:tcMar>
              <w:top w:w="120" w:type="dxa"/>
              <w:left w:w="180" w:type="dxa"/>
              <w:bottom w:w="120" w:type="dxa"/>
              <w:right w:w="180" w:type="dxa"/>
            </w:tcMar>
          </w:tcPr>
          <w:p>
            <w:pPr>
              <w:spacing w:after="0"/>
            </w:pPr>
            <w:r>
              <w:t xml:space="preserve">— (a container)</w:t>
            </w:r>
          </w:p>
        </w:tc>
        <w:tc>
          <w:tcPr>
            <w:tcW w:w="2340" w:type="dxa"/>
            <w:tcMar>
              <w:top w:w="120" w:type="dxa"/>
              <w:left w:w="180" w:type="dxa"/>
              <w:bottom w:w="120" w:type="dxa"/>
              <w:right w:w="180" w:type="dxa"/>
            </w:tcMar>
          </w:tcPr>
          <w:p>
            <w:pPr>
              <w:spacing w:after="0"/>
            </w:pPr>
            <w:r>
              <w:t xml:space="preserve">The object-store equivalent of a schema; carries no score</w:t>
            </w:r>
          </w:p>
        </w:tc>
      </w:tr>
    </w:tbl>
    <w:p>
      <w:pPr>
        <w:spacing w:after="120"/>
      </w:pPr>
    </w:p>
    <w:p>
      <w:pPr>
        <w:pBdr>
          <w:left w:val="single" w:sz="12" w:space="8" w:color="065A82"/>
        </w:pBdr>
        <w:shd w:val="clear" w:color="auto" w:fill="EEF6FA"/>
        <w:ind w:left="240" w:right="240"/>
        <w:spacing w:before="120" w:after="160"/>
      </w:pPr>
      <w:r>
        <w:rPr>
          <w:b/>
          <w:bCs/>
        </w:rPr>
        <w:t xml:space="preserve">Which terms to map.</w:t>
      </w:r>
      <w:r>
        <w:t xml:space="preserve"> Not every term needs a column, and linking every term to every column to lift a score backfires — it pollutes governance, lineage, and search. Choose what to map by business relevance, then prioritize by risk and criticality: </w:t>
      </w:r>
      <w:r>
        <w:rPr>
          <w:b/>
          <w:bCs/>
        </w:rPr>
        <w:t xml:space="preserve">CDEs and safety-critical or commercially sensitive columns first</w:t>
      </w:r>
      <w:r>
        <w:t xml:space="preserve"> — at CPC that is </w:t>
      </w:r>
      <w:r>
        <w:rPr>
          <w:rFonts w:ascii="Consolas" w:hAnsi="Consolas"/>
          <w:color w:val="0A5560"/>
          <w:sz w:val="20"/>
          <w:szCs w:val="20"/>
        </w:rPr>
        <w:t xml:space="preserve">lot_no</w:t>
      </w:r>
      <w:r>
        <w:t xml:space="preserve">, </w:t>
      </w:r>
      <w:r>
        <w:rPr>
          <w:rFonts w:ascii="Consolas" w:hAnsi="Consolas"/>
          <w:color w:val="0A5560"/>
          <w:sz w:val="20"/>
          <w:szCs w:val="20"/>
        </w:rPr>
        <w:t xml:space="preserve">coc_flag</w:t>
      </w:r>
      <w:r>
        <w:t xml:space="preserve">, </w:t>
      </w:r>
      <w:r>
        <w:rPr>
          <w:rFonts w:ascii="Consolas" w:hAnsi="Consolas"/>
          <w:color w:val="0A5560"/>
          <w:sz w:val="20"/>
          <w:szCs w:val="20"/>
        </w:rPr>
        <w:t xml:space="preserve">mrb_approval_flag</w:t>
      </w:r>
      <w:r>
        <w:t xml:space="preserve">, </w:t>
      </w:r>
      <w:r>
        <w:rPr>
          <w:rFonts w:ascii="Consolas" w:hAnsi="Consolas"/>
          <w:color w:val="0A5560"/>
          <w:sz w:val="20"/>
          <w:szCs w:val="20"/>
        </w:rPr>
        <w:t xml:space="preserve">unit_cost</w:t>
      </w:r>
      <w:r>
        <w:t xml:space="preserve"> and their kin. Flag these as Critical Data Elements, link the right term, set sensitivity and classification, and verify lineage. Then reporting and KPI columns; then the long tail as capacity allows. </w:t>
      </w:r>
      <w:r>
        <w:rPr>
          <w:b/>
          <w:bCs/>
        </w:rPr>
        <w:t xml:space="preserve">Leave concepts unmapped:</w:t>
      </w:r>
      <w:r>
        <w:t xml:space="preserve"> governance terms name ideas the business needs defined, not physical columns, so they are expected to have no data element.</w:t>
      </w:r>
    </w:p>
    <w:p>
      <w:pPr>
        <w:spacing w:after="120"/>
      </w:pPr>
      <w:r>
        <w:rPr>
          <w:b/>
          <w:bCs/>
        </w:rPr>
        <w:t xml:space="preserve">Enrich the columns</w:t>
      </w:r>
      <w:r>
        <w:t xml:space="preserve"> (optional; this does not feed the Trust Score). Work as </w:t>
      </w:r>
      <w:r>
        <w:rPr>
          <w:rFonts w:ascii="Consolas" w:hAnsi="Consolas"/>
          <w:color w:val="0A5560"/>
          <w:sz w:val="20"/>
          <w:szCs w:val="20"/>
        </w:rPr>
        <w:t xml:space="preserve">nora.whitaker</w:t>
      </w:r>
      <w:r>
        <w:t xml:space="preserve"> — linking needs the glossary rights of a Business Steward, and her Data Steward side carries the data-source view.</w:t>
      </w:r>
    </w:p>
    <w:p>
      <w:pPr>
        <w:pStyle w:val="ListParagraph"/>
        <w:numPr>
          <w:ilvl w:val="0"/>
          <w:numId w:val="102"/>
        </w:numPr>
        <w:spacing w:after="80" w:line="264" w:lineRule="auto"/>
      </w:pPr>
      <w:r>
        <w:t xml:space="preserve">Click </w:t>
      </w:r>
      <w:r>
        <w:rPr>
          <w:b/>
          <w:bCs/>
        </w:rPr>
        <w:t xml:space="preserve">Glossary</w:t>
      </w:r>
      <w:r>
        <w:t xml:space="preserve"> in the left navigation, then open a term you want to link — for example, </w:t>
      </w:r>
      <w:r>
        <w:rPr>
          <w:b/>
          <w:bCs/>
        </w:rPr>
        <w:t xml:space="preserve">Lot Number</w:t>
      </w:r>
      <w:r>
        <w:t xml:space="preserve"> under the Traceability category.</w:t>
      </w:r>
    </w:p>
    <w:p>
      <w:pPr>
        <w:pStyle w:val="ListParagraph"/>
        <w:numPr>
          <w:ilvl w:val="0"/>
          <w:numId w:val="102"/>
        </w:numPr>
        <w:spacing w:after="80" w:line="264" w:lineRule="auto"/>
      </w:pPr>
      <w:r>
        <w:t xml:space="preserve">Click the </w:t>
      </w:r>
      <w:r>
        <w:rPr>
          <w:b/>
          <w:bCs/>
        </w:rPr>
        <w:t xml:space="preserve">Data Elements</w:t>
      </w:r>
      <w:r>
        <w:t xml:space="preserve"> tab. It has two views: </w:t>
      </w:r>
      <w:r>
        <w:rPr>
          <w:b/>
          <w:bCs/>
        </w:rPr>
        <w:t xml:space="preserve">Elements</w:t>
      </w:r>
      <w:r>
        <w:t xml:space="preserve"> (the columns already linked to this term) and </w:t>
      </w:r>
      <w:r>
        <w:rPr>
          <w:b/>
          <w:bCs/>
        </w:rPr>
        <w:t xml:space="preserve">Suggested Columns</w:t>
      </w:r>
      <w:r>
        <w:t xml:space="preserve"> (matches PDC proposes for you).</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 Number — Data Elements tab</w:t>
      </w:r>
    </w:p>
    <w:p>
      <w:pPr>
        <w:pStyle w:val="ListParagraph"/>
        <w:numPr>
          <w:ilvl w:val="0"/>
          <w:numId w:val="102"/>
        </w:numPr>
        <w:spacing w:after="80" w:line="264" w:lineRule="auto"/>
      </w:pPr>
      <w:r>
        <w:t xml:space="preserve">Click </w:t>
      </w:r>
      <w:r>
        <w:rPr>
          <w:b/>
          <w:bCs/>
        </w:rPr>
        <w:t xml:space="preserve">+ Add Data Element</w:t>
      </w:r>
      <w:r>
        <w:t xml:space="preserve">, choose the </w:t>
      </w:r>
      <w:r>
        <w:rPr>
          <w:rFonts w:ascii="Consolas" w:hAnsi="Consolas"/>
          <w:color w:val="0A5560"/>
          <w:sz w:val="20"/>
          <w:szCs w:val="20"/>
        </w:rPr>
        <w:t xml:space="preserve">Cascade_Manufacturing</w:t>
      </w:r>
      <w:r>
        <w:t xml:space="preserve"> source, and select the matching column — for Lot Number that is </w:t>
      </w:r>
      <w:r>
        <w:rPr>
          <w:rFonts w:ascii="Consolas" w:hAnsi="Consolas"/>
          <w:color w:val="0A5560"/>
          <w:sz w:val="20"/>
          <w:szCs w:val="20"/>
        </w:rPr>
        <w:t xml:space="preserve">lots.lot_no</w:t>
      </w:r>
      <w:r>
        <w:t xml:space="preserve">. It then appears in the Elements list with an Item Type of COLUMN. (Faster: open Suggested Columns, review PDC's matches, and Approve the right ones — approving assigns the term automatically. See the Similarity Score section further 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Suggested Columns — Lot Number</w:t>
      </w:r>
    </w:p>
    <w:p>
      <w:pPr>
        <w:pStyle w:val="ListParagraph"/>
        <w:numPr>
          <w:ilvl w:val="0"/>
          <w:numId w:val="102"/>
        </w:numPr>
        <w:spacing w:after="80" w:line="264" w:lineRule="auto"/>
      </w:pPr>
      <w:r>
        <w:t xml:space="preserve">Repeat for the other terms you are linking — for example </w:t>
      </w:r>
      <w:r>
        <w:rPr>
          <w:b/>
          <w:bCs/>
        </w:rPr>
        <w:t xml:space="preserve">Part Number</w:t>
      </w:r>
      <w:r>
        <w:t xml:space="preserve"> to </w:t>
      </w:r>
      <w:r>
        <w:rPr>
          <w:rFonts w:ascii="Consolas" w:hAnsi="Consolas"/>
          <w:color w:val="0A5560"/>
          <w:sz w:val="20"/>
          <w:szCs w:val="20"/>
        </w:rPr>
        <w:t xml:space="preserve">parts.part_no</w:t>
      </w:r>
      <w:r>
        <w:t xml:space="preserve">, and </w:t>
      </w:r>
      <w:r>
        <w:rPr>
          <w:b/>
          <w:bCs/>
        </w:rPr>
        <w:t xml:space="preserve">Unit Cost</w:t>
      </w:r>
      <w:r>
        <w:t xml:space="preserve"> to </w:t>
      </w:r>
      <w:r>
        <w:rPr>
          <w:rFonts w:ascii="Consolas" w:hAnsi="Consolas"/>
          <w:color w:val="0A5560"/>
          <w:sz w:val="20"/>
          <w:szCs w:val="20"/>
        </w:rPr>
        <w:t xml:space="preserve">parts.unit_cost</w:t>
      </w:r>
      <w:r>
        <w:t xml:space="preserve">.</w:t>
      </w:r>
    </w:p>
    <w:p>
      <w:pPr>
        <w:spacing w:after="120"/>
      </w:pPr>
      <w:r>
        <w:t xml:space="preserve">These column links enrich each column for search, lineage and governance. None of them feed the Trust Score — that comes next, with the table-level term.</w:t>
      </w:r>
    </w:p>
    <w:p>
      <w:pPr>
        <w:pStyle w:val="Heading2"/>
      </w:pPr>
      <w:r>
        <w:t xml:space="preserve">What linking a term to a column means</w:t>
      </w:r>
    </w:p>
    <w:p>
      <w:pPr>
        <w:spacing w:after="120"/>
      </w:pPr>
      <w:r>
        <w:t xml:space="preserve">Part C links terms to the Catalog through Add Data Elements (the Data Elements tab). When you map a term to a column this way you create a </w:t>
      </w:r>
      <w:r>
        <w:rPr>
          <w:b/>
          <w:bCs/>
        </w:rPr>
        <w:t xml:space="preserve">Business Term Association</w:t>
      </w:r>
      <w:r>
        <w:t xml:space="preserve"> — a governed link between the business concept and the physical field, identified as </w:t>
      </w:r>
      <w:r>
        <w:rPr>
          <w:rFonts w:ascii="Consolas" w:hAnsi="Consolas"/>
          <w:color w:val="0A5560"/>
          <w:sz w:val="20"/>
          <w:szCs w:val="20"/>
        </w:rPr>
        <w:t xml:space="preserve">table.column</w:t>
      </w:r>
      <w:r>
        <w:t xml:space="preserve"> (for example, CoC Flag → </w:t>
      </w:r>
      <w:r>
        <w:rPr>
          <w:rFonts w:ascii="Consolas" w:hAnsi="Consolas"/>
          <w:color w:val="0A5560"/>
          <w:sz w:val="20"/>
          <w:szCs w:val="20"/>
        </w:rPr>
        <w:t xml:space="preserve">lots.coc_flag</w:t>
      </w:r>
      <w:r>
        <w:t xml:space="preserve">). The column itself does not change; what you have added is a relationship. From that point:</w:t>
      </w:r>
    </w:p>
    <w:p>
      <w:pPr>
        <w:pStyle w:val="ListParagraph"/>
        <w:numPr>
          <w:ilvl w:val="0"/>
          <w:numId w:val="2"/>
        </w:numPr>
        <w:spacing w:after="60"/>
      </w:pPr>
      <w:r>
        <w:rPr>
          <w:b/>
          <w:bCs/>
        </w:rPr>
        <w:t xml:space="preserve">Meaning travels to the data.</w:t>
      </w:r>
      <w:r>
        <w:t xml:space="preserve"> Anyone inspecting </w:t>
      </w:r>
      <w:r>
        <w:rPr>
          <w:rFonts w:ascii="Consolas" w:hAnsi="Consolas"/>
          <w:color w:val="0A5560"/>
          <w:sz w:val="20"/>
          <w:szCs w:val="20"/>
        </w:rPr>
        <w:t xml:space="preserve">lots.coc_flag</w:t>
      </w:r>
      <w:r>
        <w:t xml:space="preserve"> in the Catalog now sees the term's definition, sensitivity, classification and owner — none of which live on the table itself.</w:t>
      </w:r>
    </w:p>
    <w:p>
      <w:pPr>
        <w:pStyle w:val="ListParagraph"/>
        <w:numPr>
          <w:ilvl w:val="0"/>
          <w:numId w:val="2"/>
        </w:numPr>
        <w:spacing w:after="60"/>
      </w:pPr>
      <w:r>
        <w:rPr>
          <w:b/>
          <w:bCs/>
        </w:rPr>
        <w:t xml:space="preserve">Classify once, govern everywhere.</w:t>
      </w:r>
      <w:r>
        <w:t xml:space="preserve"> The same term can map to matching columns in several tables — and across data sources, the structured database and the document store alike; set sensitivity and classification once on the term, and every linked element inherits them.</w:t>
      </w:r>
    </w:p>
    <w:p>
      <w:pPr>
        <w:pStyle w:val="ListParagraph"/>
        <w:numPr>
          <w:ilvl w:val="0"/>
          <w:numId w:val="2"/>
        </w:numPr>
        <w:spacing w:after="60"/>
      </w:pPr>
      <w:r>
        <w:rPr>
          <w:b/>
          <w:bCs/>
        </w:rPr>
        <w:t xml:space="preserve">One term, many columns — a worked example:</w:t>
      </w:r>
      <w:r>
        <w:t xml:space="preserve"> a single business term can carry several Linked Data Elements, and its one governed meaning applies to every column at once. In CPC, </w:t>
      </w:r>
      <w:r>
        <w:rPr>
          <w:b/>
          <w:bCs/>
        </w:rPr>
        <w:t xml:space="preserve">Part ID</w:t>
      </w:r>
      <w:r>
        <w:t xml:space="preserve"> links to eight elements across seven tables: </w:t>
      </w:r>
      <w:r>
        <w:rPr>
          <w:rFonts w:ascii="Consolas" w:hAnsi="Consolas"/>
          <w:color w:val="0A5560"/>
          <w:sz w:val="20"/>
          <w:szCs w:val="20"/>
        </w:rPr>
        <w:t xml:space="preserve">parts.part_id</w:t>
      </w:r>
      <w:r>
        <w:t xml:space="preserve">, </w:t>
      </w:r>
      <w:r>
        <w:rPr>
          <w:rFonts w:ascii="Consolas" w:hAnsi="Consolas"/>
          <w:color w:val="0A5560"/>
          <w:sz w:val="20"/>
          <w:szCs w:val="20"/>
        </w:rPr>
        <w:t xml:space="preserve">boms.parent_part_id</w:t>
      </w:r>
      <w:r>
        <w:t xml:space="preserve">, </w:t>
      </w:r>
      <w:r>
        <w:rPr>
          <w:rFonts w:ascii="Consolas" w:hAnsi="Consolas"/>
          <w:color w:val="0A5560"/>
          <w:sz w:val="20"/>
          <w:szCs w:val="20"/>
        </w:rPr>
        <w:t xml:space="preserve">boms.child_part_id</w:t>
      </w:r>
      <w:r>
        <w:t xml:space="preserve">, </w:t>
      </w:r>
      <w:r>
        <w:rPr>
          <w:rFonts w:ascii="Consolas" w:hAnsi="Consolas"/>
          <w:color w:val="0A5560"/>
          <w:sz w:val="20"/>
          <w:szCs w:val="20"/>
        </w:rPr>
        <w:t xml:space="preserve">purchase_orders.part_id</w:t>
      </w:r>
      <w:r>
        <w:t xml:space="preserve">, </w:t>
      </w:r>
      <w:r>
        <w:rPr>
          <w:rFonts w:ascii="Consolas" w:hAnsi="Consolas"/>
          <w:color w:val="0A5560"/>
          <w:sz w:val="20"/>
          <w:szCs w:val="20"/>
        </w:rPr>
        <w:t xml:space="preserve">work_orders.part_id</w:t>
      </w:r>
      <w:r>
        <w:t xml:space="preserve">, </w:t>
      </w:r>
      <w:r>
        <w:rPr>
          <w:rFonts w:ascii="Consolas" w:hAnsi="Consolas"/>
          <w:color w:val="0A5560"/>
          <w:sz w:val="20"/>
          <w:szCs w:val="20"/>
        </w:rPr>
        <w:t xml:space="preserve">lots.part_id</w:t>
      </w:r>
      <w:r>
        <w:t xml:space="preserve">, </w:t>
      </w:r>
      <w:r>
        <w:rPr>
          <w:rFonts w:ascii="Consolas" w:hAnsi="Consolas"/>
          <w:color w:val="0A5560"/>
          <w:sz w:val="20"/>
          <w:szCs w:val="20"/>
        </w:rPr>
        <w:t xml:space="preserve">ncrs.part_id</w:t>
      </w:r>
      <w:r>
        <w:t xml:space="preserve"> and </w:t>
      </w:r>
      <w:r>
        <w:rPr>
          <w:rFonts w:ascii="Consolas" w:hAnsi="Consolas"/>
          <w:color w:val="0A5560"/>
          <w:sz w:val="20"/>
          <w:szCs w:val="20"/>
        </w:rPr>
        <w:t xml:space="preserve">shipments.part_id</w:t>
      </w:r>
      <w:r>
        <w:t xml:space="preserve"> — same definition, eight physical homes; that spread </w:t>
      </w:r>
      <w:r>
        <w:rPr>
          <w:i/>
          <w:iCs/>
        </w:rPr>
        <w:t xml:space="preserve">is</w:t>
      </w:r>
      <w:r>
        <w:t xml:space="preserve"> the genealogy. </w:t>
      </w:r>
      <w:r>
        <w:rPr>
          <w:b/>
          <w:bCs/>
        </w:rPr>
        <w:t xml:space="preserve">Lot ID</w:t>
      </w:r>
      <w:r>
        <w:t xml:space="preserve"> does the same across </w:t>
      </w:r>
      <w:r>
        <w:rPr>
          <w:rFonts w:ascii="Consolas" w:hAnsi="Consolas"/>
          <w:color w:val="0A5560"/>
          <w:sz w:val="20"/>
          <w:szCs w:val="20"/>
        </w:rPr>
        <w:t xml:space="preserve">lots</w:t>
      </w:r>
      <w:r>
        <w:t xml:space="preserve">, </w:t>
      </w:r>
      <w:r>
        <w:rPr>
          <w:rFonts w:ascii="Consolas" w:hAnsi="Consolas"/>
          <w:color w:val="0A5560"/>
          <w:sz w:val="20"/>
          <w:szCs w:val="20"/>
        </w:rPr>
        <w:t xml:space="preserve">inspections</w:t>
      </w:r>
      <w:r>
        <w:t xml:space="preserve">, </w:t>
      </w:r>
      <w:r>
        <w:rPr>
          <w:rFonts w:ascii="Consolas" w:hAnsi="Consolas"/>
          <w:color w:val="0A5560"/>
          <w:sz w:val="20"/>
          <w:szCs w:val="20"/>
        </w:rPr>
        <w:t xml:space="preserve">ncrs</w:t>
      </w:r>
      <w:r>
        <w:t xml:space="preserve"> and </w:t>
      </w:r>
      <w:r>
        <w:rPr>
          <w:rFonts w:ascii="Consolas" w:hAnsi="Consolas"/>
          <w:color w:val="0A5560"/>
          <w:sz w:val="20"/>
          <w:szCs w:val="20"/>
        </w:rPr>
        <w:t xml:space="preserve">shipments</w:t>
      </w:r>
      <w:r>
        <w:t xml:space="preserve">. Define it once on the term and all of them inherit it; re-classify the term and every linked column follows. That is what lets the term answer "where does this live, and what changes if I touch it?" in one place — the exact shape of a recall query.</w:t>
      </w:r>
    </w:p>
    <w:p>
      <w:pPr>
        <w:pStyle w:val="ListParagraph"/>
        <w:numPr>
          <w:ilvl w:val="0"/>
          <w:numId w:val="2"/>
        </w:numPr>
        <w:spacing w:after="60"/>
      </w:pPr>
      <w:r>
        <w:rPr>
          <w:b/>
          <w:bCs/>
        </w:rPr>
        <w:t xml:space="preserve">Discovery improves.</w:t>
      </w:r>
      <w:r>
        <w:t xml:space="preserve"> Searching the term — or filtering by HIGH sensitivity, or by the </w:t>
      </w:r>
      <w:r>
        <w:rPr>
          <w:rFonts w:ascii="Consolas" w:hAnsi="Consolas"/>
          <w:color w:val="0A5560"/>
          <w:sz w:val="20"/>
          <w:szCs w:val="20"/>
        </w:rPr>
        <w:t xml:space="preserve">traceability</w:t>
      </w:r>
      <w:r>
        <w:t xml:space="preserve"> tag — now returns that column. The auditor's question becomes a single search.</w:t>
      </w:r>
    </w:p>
    <w:p>
      <w:pPr>
        <w:pStyle w:val="ListParagraph"/>
        <w:numPr>
          <w:ilvl w:val="0"/>
          <w:numId w:val="2"/>
        </w:numPr>
        <w:spacing w:after="60"/>
      </w:pPr>
      <w:r>
        <w:rPr>
          <w:b/>
          <w:bCs/>
        </w:rPr>
        <w:t xml:space="preserve">It appears in lineage and the Galaxy View.</w:t>
      </w:r>
      <w:r>
        <w:t xml:space="preserve"> The association is a relationship edge connecting the business-term node to the data-asset node — and at CPC the BOM's parent/child links give the lineage view real depth.</w:t>
      </w:r>
    </w:p>
    <w:p>
      <w:pPr>
        <w:pStyle w:val="ListParagraph"/>
        <w:numPr>
          <w:ilvl w:val="0"/>
          <w:numId w:val="2"/>
        </w:numPr>
        <w:spacing w:after="60"/>
      </w:pPr>
      <w:r>
        <w:rPr>
          <w:b/>
          <w:bCs/>
        </w:rPr>
        <w:t xml:space="preserve">It feeds governance, not the score directly.</w:t>
      </w:r>
      <w:r>
        <w:t xml:space="preserve"> The glossary-term input the Trust Score reads is the table-level term, and it is binary — is a meaningful term assigned or not. It rewards having the right semantic coverage, not the volume of links.</w:t>
      </w:r>
    </w:p>
    <w:p>
      <w:pPr>
        <w:spacing w:after="120"/>
      </w:pPr>
      <w:r>
        <w:t xml:space="preserve">You shouldn't link all terms to a column just to lift the score. The Trust Score is calculated from multiple inputs — Data Quality (completeness, accuracy, validity, uniqueness, consistency), User Ratings (1–5 stars), Data Lineage (verified or not), and whether a glossary term is assigned — and it operates at the table/file level, never scoring individual columns. Linking every term you have to a single column would be semantically wrong: a column should carry the term (or small set of terms) that genuinely describes its content. Over-linking pollutes your glossary mappings, breaks lineage and impact analysis, misleads anyone searching the catalog, and undermines the very governance the Trust Score is trying to measure. You would be optimizing a proxy metric while degrading the thing it is a proxy for.</w:t>
      </w:r>
    </w:p>
    <w:p>
      <w:pPr>
        <w:spacing w:after="120"/>
      </w:pPr>
      <w:r>
        <w:t xml:space="preserve">The better path to a high Trust Score is to treat the four inputs as a checklist of genuine governance work: assign accurate business terms where they belong, verify lineage, run data quality processing, and gather user ratings. A table that is correctly termed, lineage-verified, and quality-checked earns its score honestly — and stays trustworthy when someone actually relies on it.</w:t>
      </w:r>
    </w:p>
    <w:p>
      <w:pPr>
        <w:spacing w:after="120"/>
      </w:pPr>
      <w:r>
        <w:t xml:space="preserve">One practical combination worth calling out: your most important columns are often both CDEs and well-termed. At CPC, flag </w:t>
      </w:r>
      <w:r>
        <w:rPr>
          <w:rFonts w:ascii="Consolas" w:hAnsi="Consolas"/>
          <w:color w:val="0A5560"/>
          <w:sz w:val="20"/>
          <w:szCs w:val="20"/>
        </w:rPr>
        <w:t xml:space="preserve">lot_no</w:t>
      </w:r>
      <w:r>
        <w:t xml:space="preserve">, </w:t>
      </w:r>
      <w:r>
        <w:rPr>
          <w:rFonts w:ascii="Consolas" w:hAnsi="Consolas"/>
          <w:color w:val="0A5560"/>
          <w:sz w:val="20"/>
          <w:szCs w:val="20"/>
        </w:rPr>
        <w:t xml:space="preserve">coc_flag</w:t>
      </w:r>
      <w:r>
        <w:t xml:space="preserve">, </w:t>
      </w:r>
      <w:r>
        <w:rPr>
          <w:rFonts w:ascii="Consolas" w:hAnsi="Consolas"/>
          <w:color w:val="0A5560"/>
          <w:sz w:val="20"/>
          <w:szCs w:val="20"/>
        </w:rPr>
        <w:t xml:space="preserve">mrb_approval_flag</w:t>
      </w:r>
      <w:r>
        <w:t xml:space="preserve"> and </w:t>
      </w:r>
      <w:r>
        <w:rPr>
          <w:rFonts w:ascii="Consolas" w:hAnsi="Consolas"/>
          <w:color w:val="0A5560"/>
          <w:sz w:val="20"/>
          <w:szCs w:val="20"/>
        </w:rPr>
        <w:t xml:space="preserve">unit_cost</w:t>
      </w:r>
      <w:r>
        <w:t xml:space="preserve"> as Critical Data Elements so they get prioritized stewardship, link them to the correct business term so people understand them, then make sure quality and lineage are verified for those specifically. That is where the effort pays off most.</w:t>
      </w:r>
    </w:p>
    <w:p>
      <w:pPr>
        <w:spacing w:after="120"/>
      </w:pPr>
      <w:r>
        <w:rPr>
          <w:b/>
          <w:bCs/>
        </w:rPr>
        <w:t xml:space="preserve">Feed the table's Trust Score</w:t>
      </w:r>
    </w:p>
    <w:p>
      <w:pPr>
        <w:pStyle w:val="ListParagraph"/>
        <w:numPr>
          <w:ilvl w:val="0"/>
          <w:numId w:val="103"/>
        </w:numPr>
        <w:spacing w:after="80" w:line="264" w:lineRule="auto"/>
      </w:pPr>
      <w:r>
        <w:t xml:space="preserve">Map the table-level term to the table. CPC's glossary already carries one table term per table — Part Record, BOM Link, Supplier Record, Purchase Order Record, Work Order Record, Lot Record, Inspection Record, Nonconformance Report, Shipment Record, Plant Record and Employee Record.</w:t>
      </w:r>
    </w:p>
    <w:p>
      <w:pPr>
        <w:pStyle w:val="ListParagraph"/>
        <w:numPr>
          <w:ilvl w:val="0"/>
          <w:numId w:val="103"/>
        </w:numPr>
        <w:spacing w:after="80" w:line="264" w:lineRule="auto"/>
      </w:pPr>
      <w:r>
        <w:t xml:space="preserve">Open the </w:t>
      </w:r>
      <w:r>
        <w:rPr>
          <w:rFonts w:ascii="Consolas" w:hAnsi="Consolas"/>
          <w:color w:val="0A5560"/>
          <w:sz w:val="20"/>
          <w:szCs w:val="20"/>
        </w:rPr>
        <w:t xml:space="preserve">lots</w:t>
      </w:r>
      <w:r>
        <w:t xml:space="preserve"> table's Glossary tab (or the Lot Record term's Data Elements tab) and link </w:t>
      </w:r>
      <w:r>
        <w:rPr>
          <w:b/>
          <w:bCs/>
        </w:rPr>
        <w:t xml:space="preserve">Lot Record</w:t>
      </w:r>
      <w:r>
        <w:t xml:space="preserve"> to the </w:t>
      </w:r>
      <w:r>
        <w:rPr>
          <w:rFonts w:ascii="Consolas" w:hAnsi="Consolas"/>
          <w:color w:val="0A5560"/>
          <w:sz w:val="20"/>
          <w:szCs w:val="20"/>
        </w:rPr>
        <w:t xml:space="preserve">lots</w:t>
      </w:r>
      <w:r>
        <w:t xml:space="preserve"> table. This table-level term — not the column links — is the glossary-term input the Trust Score actually reads.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lots table — Glossary tab with Lot Record linked</w:t>
      </w:r>
    </w:p>
    <w:p>
      <w:pPr>
        <w:pStyle w:val="ListParagraph"/>
        <w:numPr>
          <w:ilvl w:val="0"/>
          <w:numId w:val="103"/>
        </w:numPr>
        <w:spacing w:after="80" w:line="264" w:lineRule="auto"/>
      </w:pPr>
      <w:r>
        <w:t xml:space="preserve">Run </w:t>
      </w:r>
      <w:r>
        <w:rPr>
          <w:b/>
          <w:bCs/>
        </w:rPr>
        <w:t xml:space="preserve">Calculate Trust Score</w:t>
      </w:r>
      <w:r>
        <w:t xml:space="preserve">. In the Data Canvas, open the </w:t>
      </w:r>
      <w:r>
        <w:rPr>
          <w:rFonts w:ascii="Consolas" w:hAnsi="Consolas"/>
          <w:color w:val="0A5560"/>
          <w:sz w:val="20"/>
          <w:szCs w:val="20"/>
        </w:rPr>
        <w:t xml:space="preserve">Cascade_Manufacturing</w:t>
      </w:r>
      <w:r>
        <w:t xml:space="preserve"> source and select the </w:t>
      </w:r>
      <w:r>
        <w:rPr>
          <w:rFonts w:ascii="Consolas" w:hAnsi="Consolas"/>
          <w:color w:val="0A5560"/>
          <w:sz w:val="20"/>
          <w:szCs w:val="20"/>
        </w:rPr>
        <w:t xml:space="preserve">lots</w:t>
      </w:r>
      <w:r>
        <w:t xml:space="preserve"> table, then </w:t>
      </w:r>
      <w:r>
        <w:rPr>
          <w:b/>
          <w:bCs/>
        </w:rPr>
        <w:t xml:space="preserve">Actions → Process → Start Calculate Trust Score</w:t>
      </w:r>
      <w:r>
        <w:t xml:space="preserve">. The table term you just linked is one of the four inputs, so the number stays low until the others are in place.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lots table — Trust Score after calculation</w:t>
      </w:r>
    </w:p>
    <w:p>
      <w:pPr>
        <w:spacing w:after="120"/>
      </w:pPr>
      <w:r>
        <w:t xml:space="preserve">Why this works: the Trust Score is an aggregate of four inputs — Data Quality, User Ratings, verified Data Lineage, and whether a Glossary Term is assigned. Assigning a term satisfies one of them, and it is the only one you can set without profiling the data. On its own it will not lift the table out of Untrusted: Data Quality is the dominant input and stays Not Computed until the data is profiled in Workshop 4.</w:t>
      </w:r>
    </w:p>
    <w:p>
      <w:pPr>
        <w:spacing w:after="120"/>
      </w:pPr>
      <w:r>
        <w:t xml:space="preserve">To watch the score climb now, also rate the table (stars) and set its Data Lineage to Verified, then re-run the calculation. In other words the Trust Score is a sliding scale: it computes from whatever inputs are present and rises as you add each one — a linked term, Verified lineage, a rating — then climbs furthest once Data Quality is computed in Workshop 4.</w:t>
      </w:r>
    </w:p>
    <w:p>
      <w:pPr>
        <w:pStyle w:val="Heading2"/>
      </w:pPr>
      <w:r>
        <w:t xml:space="preserve">Part D — Link the rest of the Catalog</w:t>
      </w:r>
    </w:p>
    <w:p>
      <w:pPr>
        <w:spacing w:after="120"/>
      </w:pPr>
      <w:r>
        <w:t xml:space="preserve">Part C linked one table; now repeat across the whole source. The map below lists the business terms and the columns they link to, grouped by table — all 100 links are in </w:t>
      </w:r>
      <w:r>
        <w:rPr>
          <w:rFonts w:ascii="Consolas" w:hAnsi="Consolas"/>
          <w:color w:val="0A5560"/>
          <w:sz w:val="20"/>
          <w:szCs w:val="20"/>
        </w:rPr>
        <w:t xml:space="preserve">assets/CPC-Term-Linking-Map.csv</w:t>
      </w:r>
      <w:r>
        <w:t xml:space="preserve">. Work table by table:</w:t>
      </w:r>
    </w:p>
    <w:p>
      <w:pPr>
        <w:spacing w:after="120"/>
      </w:pPr>
      <w:r>
        <w:rPr>
          <w:b/>
          <w:bCs/>
        </w:rPr>
        <w:t xml:space="preserve">Also link each table's table-level term:</w:t>
      </w:r>
      <w:r>
        <w:t xml:space="preserve"> as you finish each table, link its table-level term to the table — Part Record to </w:t>
      </w:r>
      <w:r>
        <w:rPr>
          <w:rFonts w:ascii="Consolas" w:hAnsi="Consolas"/>
          <w:color w:val="0A5560"/>
          <w:sz w:val="20"/>
          <w:szCs w:val="20"/>
        </w:rPr>
        <w:t xml:space="preserve">parts</w:t>
      </w:r>
      <w:r>
        <w:t xml:space="preserve">, BOM Link to </w:t>
      </w:r>
      <w:r>
        <w:rPr>
          <w:rFonts w:ascii="Consolas" w:hAnsi="Consolas"/>
          <w:color w:val="0A5560"/>
          <w:sz w:val="20"/>
          <w:szCs w:val="20"/>
        </w:rPr>
        <w:t xml:space="preserve">boms</w:t>
      </w:r>
      <w:r>
        <w:t xml:space="preserve">, Supplier Record to </w:t>
      </w:r>
      <w:r>
        <w:rPr>
          <w:rFonts w:ascii="Consolas" w:hAnsi="Consolas"/>
          <w:color w:val="0A5560"/>
          <w:sz w:val="20"/>
          <w:szCs w:val="20"/>
        </w:rPr>
        <w:t xml:space="preserve">suppliers</w:t>
      </w:r>
      <w:r>
        <w:t xml:space="preserve">, Purchase Order Record to </w:t>
      </w:r>
      <w:r>
        <w:rPr>
          <w:rFonts w:ascii="Consolas" w:hAnsi="Consolas"/>
          <w:color w:val="0A5560"/>
          <w:sz w:val="20"/>
          <w:szCs w:val="20"/>
        </w:rPr>
        <w:t xml:space="preserve">purchase_orders</w:t>
      </w:r>
      <w:r>
        <w:t xml:space="preserve">, Work Order Record to </w:t>
      </w:r>
      <w:r>
        <w:rPr>
          <w:rFonts w:ascii="Consolas" w:hAnsi="Consolas"/>
          <w:color w:val="0A5560"/>
          <w:sz w:val="20"/>
          <w:szCs w:val="20"/>
        </w:rPr>
        <w:t xml:space="preserve">work_orders</w:t>
      </w:r>
      <w:r>
        <w:t xml:space="preserve">, Lot Record to </w:t>
      </w:r>
      <w:r>
        <w:rPr>
          <w:rFonts w:ascii="Consolas" w:hAnsi="Consolas"/>
          <w:color w:val="0A5560"/>
          <w:sz w:val="20"/>
          <w:szCs w:val="20"/>
        </w:rPr>
        <w:t xml:space="preserve">lots</w:t>
      </w:r>
      <w:r>
        <w:t xml:space="preserve">, Inspection Record to </w:t>
      </w:r>
      <w:r>
        <w:rPr>
          <w:rFonts w:ascii="Consolas" w:hAnsi="Consolas"/>
          <w:color w:val="0A5560"/>
          <w:sz w:val="20"/>
          <w:szCs w:val="20"/>
        </w:rPr>
        <w:t xml:space="preserve">inspections</w:t>
      </w:r>
      <w:r>
        <w:t xml:space="preserve">, Nonconformance Report to </w:t>
      </w:r>
      <w:r>
        <w:rPr>
          <w:rFonts w:ascii="Consolas" w:hAnsi="Consolas"/>
          <w:color w:val="0A5560"/>
          <w:sz w:val="20"/>
          <w:szCs w:val="20"/>
        </w:rPr>
        <w:t xml:space="preserve">ncrs</w:t>
      </w:r>
      <w:r>
        <w:t xml:space="preserve">, Shipment Record to </w:t>
      </w:r>
      <w:r>
        <w:rPr>
          <w:rFonts w:ascii="Consolas" w:hAnsi="Consolas"/>
          <w:color w:val="0A5560"/>
          <w:sz w:val="20"/>
          <w:szCs w:val="20"/>
        </w:rPr>
        <w:t xml:space="preserve">shipments</w:t>
      </w:r>
      <w:r>
        <w:t xml:space="preserve">, Plant Record to </w:t>
      </w:r>
      <w:r>
        <w:rPr>
          <w:rFonts w:ascii="Consolas" w:hAnsi="Consolas"/>
          <w:color w:val="0A5560"/>
          <w:sz w:val="20"/>
          <w:szCs w:val="20"/>
        </w:rPr>
        <w:t xml:space="preserve">plants</w:t>
      </w:r>
      <w:r>
        <w:t xml:space="preserve">, and Employee Record to </w:t>
      </w:r>
      <w:r>
        <w:rPr>
          <w:rFonts w:ascii="Consolas" w:hAnsi="Consolas"/>
          <w:color w:val="0A5560"/>
          <w:sz w:val="20"/>
          <w:szCs w:val="20"/>
        </w:rPr>
        <w:t xml:space="preserve">employees</w:t>
      </w:r>
      <w:r>
        <w:t xml:space="preserve">. That table term is the glossary-term input each table's Trust Score actually reads.</w:t>
      </w:r>
    </w:p>
    <w:p>
      <w:pPr>
        <w:pStyle w:val="ListParagraph"/>
        <w:numPr>
          <w:ilvl w:val="0"/>
          <w:numId w:val="104"/>
        </w:numPr>
        <w:spacing w:after="80" w:line="264" w:lineRule="auto"/>
      </w:pPr>
      <w:r>
        <w:t xml:space="preserve">For each table, link every term to the column shown, using the term's Data Elements tab exactly as in Part C.</w:t>
      </w:r>
    </w:p>
    <w:p>
      <w:pPr>
        <w:pStyle w:val="ListParagraph"/>
        <w:numPr>
          <w:ilvl w:val="0"/>
          <w:numId w:val="104"/>
        </w:numPr>
        <w:spacing w:after="80" w:line="264" w:lineRule="auto"/>
      </w:pPr>
      <w:r>
        <w:t xml:space="preserve">When a table is done, select it in the Data Canvas and run </w:t>
      </w:r>
      <w:r>
        <w:rPr>
          <w:b/>
          <w:bCs/>
        </w:rPr>
        <w:t xml:space="preserve">Actions → Process → Start Calculate Trust Score</w:t>
      </w:r>
      <w:r>
        <w:t xml:space="preserve">, so each table records its glossary-term input. (Expect the number to stay low until the data is profiled in Workshop 4.)</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Table</w:t>
            </w:r>
          </w:p>
        </w:tc>
        <w:tc>
          <w:tcPr>
            <w:tcW w:w="6460" w:type="dxa"/>
            <w:shd w:val="clear" w:color="auto" w:fill="EEF6FA"/>
            <w:tcMar>
              <w:top w:w="120" w:type="dxa"/>
              <w:left w:w="180" w:type="dxa"/>
              <w:bottom w:w="120" w:type="dxa"/>
              <w:right w:w="180" w:type="dxa"/>
            </w:tcMar>
          </w:tcPr>
          <w:p>
            <w:pPr>
              <w:spacing w:after="0"/>
            </w:pPr>
            <w:r>
              <w:rPr>
                <w:b/>
                <w:bCs/>
              </w:rPr>
              <w:t xml:space="preserve">Business terms to link (term → column)</w:t>
            </w:r>
          </w:p>
        </w:tc>
      </w:tr>
      <w:tr>
        <w:tc>
          <w:tcPr>
            <w:tcW w:w="2900" w:type="dxa"/>
            <w:tcMar>
              <w:top w:w="120" w:type="dxa"/>
              <w:left w:w="180" w:type="dxa"/>
              <w:bottom w:w="120" w:type="dxa"/>
              <w:right w:w="180" w:type="dxa"/>
            </w:tcMar>
          </w:tcPr>
          <w:p>
            <w:pPr>
              <w:spacing w:after="0"/>
            </w:pPr>
            <w:r>
              <w:t xml:space="preserve">parts</w:t>
            </w:r>
          </w:p>
        </w:tc>
        <w:tc>
          <w:tcPr>
            <w:tcW w:w="6460" w:type="dxa"/>
            <w:tcMar>
              <w:top w:w="120" w:type="dxa"/>
              <w:left w:w="180" w:type="dxa"/>
              <w:bottom w:w="120" w:type="dxa"/>
              <w:right w:w="180" w:type="dxa"/>
            </w:tcMar>
          </w:tcPr>
          <w:p>
            <w:pPr>
              <w:spacing w:after="0"/>
            </w:pPr>
            <w:r>
              <w:t xml:space="preserve">Part ID → part_id; Part Number → part_no; Revision Code → rev_cd; Part Name → part_nm; Part Type Code → part_type_cd; UOM Code → uom_cd; Unit Cost → unit_cost; Safety Critical Flag → safety_critical_flag; Part Status → part_status</w:t>
            </w:r>
          </w:p>
        </w:tc>
      </w:tr>
      <w:tr>
        <w:tc>
          <w:tcPr>
            <w:tcW w:w="2900" w:type="dxa"/>
            <w:tcMar>
              <w:top w:w="120" w:type="dxa"/>
              <w:left w:w="180" w:type="dxa"/>
              <w:bottom w:w="120" w:type="dxa"/>
              <w:right w:w="180" w:type="dxa"/>
            </w:tcMar>
          </w:tcPr>
          <w:p>
            <w:pPr>
              <w:spacing w:after="0"/>
            </w:pPr>
            <w:r>
              <w:t xml:space="preserve">boms</w:t>
            </w:r>
          </w:p>
        </w:tc>
        <w:tc>
          <w:tcPr>
            <w:tcW w:w="6460" w:type="dxa"/>
            <w:tcMar>
              <w:top w:w="120" w:type="dxa"/>
              <w:left w:w="180" w:type="dxa"/>
              <w:bottom w:w="120" w:type="dxa"/>
              <w:right w:w="180" w:type="dxa"/>
            </w:tcMar>
          </w:tcPr>
          <w:p>
            <w:pPr>
              <w:spacing w:after="0"/>
            </w:pPr>
            <w:r>
              <w:t xml:space="preserve">BOM ID → bom_id; Parent Part ID → parent_part_id; Child Part ID → child_part_id; Quantity Per → qty_per; Effective Date → effective_dt; BOM Status → bom_status</w:t>
            </w:r>
          </w:p>
        </w:tc>
      </w:tr>
      <w:tr>
        <w:tc>
          <w:tcPr>
            <w:tcW w:w="2900" w:type="dxa"/>
            <w:tcMar>
              <w:top w:w="120" w:type="dxa"/>
              <w:left w:w="180" w:type="dxa"/>
              <w:bottom w:w="120" w:type="dxa"/>
              <w:right w:w="180" w:type="dxa"/>
            </w:tcMar>
          </w:tcPr>
          <w:p>
            <w:pPr>
              <w:spacing w:after="0"/>
            </w:pPr>
            <w:r>
              <w:t xml:space="preserve">suppliers</w:t>
            </w:r>
          </w:p>
        </w:tc>
        <w:tc>
          <w:tcPr>
            <w:tcW w:w="6460" w:type="dxa"/>
            <w:tcMar>
              <w:top w:w="120" w:type="dxa"/>
              <w:left w:w="180" w:type="dxa"/>
              <w:bottom w:w="120" w:type="dxa"/>
              <w:right w:w="180" w:type="dxa"/>
            </w:tcMar>
          </w:tcPr>
          <w:p>
            <w:pPr>
              <w:spacing w:after="0"/>
            </w:pPr>
            <w:r>
              <w:t xml:space="preserve">Supplier ID → supplier_id; Supplier Name → supplier_nm; Contact Email → contact_email; Phone → phone; City → city; St → st; ASL Status → asl_status; Status Date → status_dt; Quality Rating Code → quality_rating_cd</w:t>
            </w:r>
          </w:p>
        </w:tc>
      </w:tr>
      <w:tr>
        <w:tc>
          <w:tcPr>
            <w:tcW w:w="2900" w:type="dxa"/>
            <w:tcMar>
              <w:top w:w="120" w:type="dxa"/>
              <w:left w:w="180" w:type="dxa"/>
              <w:bottom w:w="120" w:type="dxa"/>
              <w:right w:w="180" w:type="dxa"/>
            </w:tcMar>
          </w:tcPr>
          <w:p>
            <w:pPr>
              <w:spacing w:after="0"/>
            </w:pPr>
            <w:r>
              <w:t xml:space="preserve">purchase_orders</w:t>
            </w:r>
          </w:p>
        </w:tc>
        <w:tc>
          <w:tcPr>
            <w:tcW w:w="6460" w:type="dxa"/>
            <w:tcMar>
              <w:top w:w="120" w:type="dxa"/>
              <w:left w:w="180" w:type="dxa"/>
              <w:bottom w:w="120" w:type="dxa"/>
              <w:right w:w="180" w:type="dxa"/>
            </w:tcMar>
          </w:tcPr>
          <w:p>
            <w:pPr>
              <w:spacing w:after="0"/>
            </w:pPr>
            <w:r>
              <w:t xml:space="preserve">PO ID → po_id; PO Number → po_no; Supplier ID → supplier_id; Part ID → part_id; Quantity Ordered → qty_ordered; Unit Price → unit_price; Order Date → order_dt; Promised Date → promised_dt; PO Status → po_status</w:t>
            </w:r>
          </w:p>
        </w:tc>
      </w:tr>
      <w:tr>
        <w:tc>
          <w:tcPr>
            <w:tcW w:w="2900" w:type="dxa"/>
            <w:tcMar>
              <w:top w:w="120" w:type="dxa"/>
              <w:left w:w="180" w:type="dxa"/>
              <w:bottom w:w="120" w:type="dxa"/>
              <w:right w:w="180" w:type="dxa"/>
            </w:tcMar>
          </w:tcPr>
          <w:p>
            <w:pPr>
              <w:spacing w:after="0"/>
            </w:pPr>
            <w:r>
              <w:t xml:space="preserve">work_orders</w:t>
            </w:r>
          </w:p>
        </w:tc>
        <w:tc>
          <w:tcPr>
            <w:tcW w:w="6460" w:type="dxa"/>
            <w:tcMar>
              <w:top w:w="120" w:type="dxa"/>
              <w:left w:w="180" w:type="dxa"/>
              <w:bottom w:w="120" w:type="dxa"/>
              <w:right w:w="180" w:type="dxa"/>
            </w:tcMar>
          </w:tcPr>
          <w:p>
            <w:pPr>
              <w:spacing w:after="0"/>
            </w:pPr>
            <w:r>
              <w:t xml:space="preserve">WO ID → wo_id; WO Number → wo_no; Part ID → part_id; Plant ID → pl_id; Quantity Planned → qty_planned; Quantity Completed → qty_completed; Quantity Scrapped → qty_scrapped; Start Date → start_dt; Due Date → due_dt; WO Status → wo_status</w:t>
            </w:r>
          </w:p>
        </w:tc>
      </w:tr>
      <w:tr>
        <w:tc>
          <w:tcPr>
            <w:tcW w:w="2900" w:type="dxa"/>
            <w:tcMar>
              <w:top w:w="120" w:type="dxa"/>
              <w:left w:w="180" w:type="dxa"/>
              <w:bottom w:w="120" w:type="dxa"/>
              <w:right w:w="180" w:type="dxa"/>
            </w:tcMar>
          </w:tcPr>
          <w:p>
            <w:pPr>
              <w:spacing w:after="0"/>
            </w:pPr>
            <w:r>
              <w:t xml:space="preserve">lots</w:t>
            </w:r>
          </w:p>
        </w:tc>
        <w:tc>
          <w:tcPr>
            <w:tcW w:w="6460" w:type="dxa"/>
            <w:tcMar>
              <w:top w:w="120" w:type="dxa"/>
              <w:left w:w="180" w:type="dxa"/>
              <w:bottom w:w="120" w:type="dxa"/>
              <w:right w:w="180" w:type="dxa"/>
            </w:tcMar>
          </w:tcPr>
          <w:p>
            <w:pPr>
              <w:spacing w:after="0"/>
            </w:pPr>
            <w:r>
              <w:t xml:space="preserve">Lot ID → lot_id; Lot Number → lot_no; Part ID → part_id; WO ID → wo_id; Supplier ID → supplier_id; Quantity → qty; Manufacture Date → mfg_dt; CoC Flag → coc_flag; Lot Status → lot_status</w:t>
            </w:r>
          </w:p>
        </w:tc>
      </w:tr>
      <w:tr>
        <w:tc>
          <w:tcPr>
            <w:tcW w:w="2900" w:type="dxa"/>
            <w:tcMar>
              <w:top w:w="120" w:type="dxa"/>
              <w:left w:w="180" w:type="dxa"/>
              <w:bottom w:w="120" w:type="dxa"/>
              <w:right w:w="180" w:type="dxa"/>
            </w:tcMar>
          </w:tcPr>
          <w:p>
            <w:pPr>
              <w:spacing w:after="0"/>
            </w:pPr>
            <w:r>
              <w:t xml:space="preserve">inspections</w:t>
            </w:r>
          </w:p>
        </w:tc>
        <w:tc>
          <w:tcPr>
            <w:tcW w:w="6460" w:type="dxa"/>
            <w:tcMar>
              <w:top w:w="120" w:type="dxa"/>
              <w:left w:w="180" w:type="dxa"/>
              <w:bottom w:w="120" w:type="dxa"/>
              <w:right w:w="180" w:type="dxa"/>
            </w:tcMar>
          </w:tcPr>
          <w:p>
            <w:pPr>
              <w:spacing w:after="0"/>
            </w:pPr>
            <w:r>
              <w:t xml:space="preserve">Inspection ID → insp_id; Lot ID → lot_id; Inspection Type Code → insp_type_cd; Inspection Date → insp_dt; Inspector Employee ID → inspector_emp_id; Sample Quantity → sample_qty; Defects Found → defects_found; Result Code → result_cd</w:t>
            </w:r>
          </w:p>
        </w:tc>
      </w:tr>
      <w:tr>
        <w:tc>
          <w:tcPr>
            <w:tcW w:w="2900" w:type="dxa"/>
            <w:tcMar>
              <w:top w:w="120" w:type="dxa"/>
              <w:left w:w="180" w:type="dxa"/>
              <w:bottom w:w="120" w:type="dxa"/>
              <w:right w:w="180" w:type="dxa"/>
            </w:tcMar>
          </w:tcPr>
          <w:p>
            <w:pPr>
              <w:spacing w:after="0"/>
            </w:pPr>
            <w:r>
              <w:t xml:space="preserve">ncrs</w:t>
            </w:r>
          </w:p>
        </w:tc>
        <w:tc>
          <w:tcPr>
            <w:tcW w:w="6460" w:type="dxa"/>
            <w:tcMar>
              <w:top w:w="120" w:type="dxa"/>
              <w:left w:w="180" w:type="dxa"/>
              <w:bottom w:w="120" w:type="dxa"/>
              <w:right w:w="180" w:type="dxa"/>
            </w:tcMar>
          </w:tcPr>
          <w:p>
            <w:pPr>
              <w:spacing w:after="0"/>
            </w:pPr>
            <w:r>
              <w:t xml:space="preserve">NCR ID → ncr_id; NCR Number → ncr_no; Lot ID → lot_id; Part ID → part_id; Defect Code → defect_cd; Severity Code → severity_cd; Disposition Code → disposition_cd; MRB Approval Flag → mrb_approval_flag; Opened Date → opened_dt; Opened By Employee ID → opened_by_emp_id; Closed Date → closed_dt; NCR Status → ncr_status</w:t>
            </w:r>
          </w:p>
        </w:tc>
      </w:tr>
      <w:tr>
        <w:tc>
          <w:tcPr>
            <w:tcW w:w="2900" w:type="dxa"/>
            <w:tcMar>
              <w:top w:w="120" w:type="dxa"/>
              <w:left w:w="180" w:type="dxa"/>
              <w:bottom w:w="120" w:type="dxa"/>
              <w:right w:w="180" w:type="dxa"/>
            </w:tcMar>
          </w:tcPr>
          <w:p>
            <w:pPr>
              <w:spacing w:after="0"/>
            </w:pPr>
            <w:r>
              <w:t xml:space="preserve">shipments</w:t>
            </w:r>
          </w:p>
        </w:tc>
        <w:tc>
          <w:tcPr>
            <w:tcW w:w="6460" w:type="dxa"/>
            <w:tcMar>
              <w:top w:w="120" w:type="dxa"/>
              <w:left w:w="180" w:type="dxa"/>
              <w:bottom w:w="120" w:type="dxa"/>
              <w:right w:w="180" w:type="dxa"/>
            </w:tcMar>
          </w:tcPr>
          <w:p>
            <w:pPr>
              <w:spacing w:after="0"/>
            </w:pPr>
            <w:r>
              <w:t xml:space="preserve">Shipment ID → ship_id; Shipment Number → ship_no; Customer Name → customer_nm; Part ID → part_id; Lot ID → lot_id; Quantity → qty; Ship Date → ship_dt; Destination City → dest_city; Destination State → dest_st; Shipment Status → ship_status</w:t>
            </w:r>
          </w:p>
        </w:tc>
      </w:tr>
      <w:tr>
        <w:tc>
          <w:tcPr>
            <w:tcW w:w="2900" w:type="dxa"/>
            <w:tcMar>
              <w:top w:w="120" w:type="dxa"/>
              <w:left w:w="180" w:type="dxa"/>
              <w:bottom w:w="120" w:type="dxa"/>
              <w:right w:w="180" w:type="dxa"/>
            </w:tcMar>
          </w:tcPr>
          <w:p>
            <w:pPr>
              <w:spacing w:after="0"/>
            </w:pPr>
            <w:r>
              <w:t xml:space="preserve">plants</w:t>
            </w:r>
          </w:p>
        </w:tc>
        <w:tc>
          <w:tcPr>
            <w:tcW w:w="6460" w:type="dxa"/>
            <w:tcMar>
              <w:top w:w="120" w:type="dxa"/>
              <w:left w:w="180" w:type="dxa"/>
              <w:bottom w:w="120" w:type="dxa"/>
              <w:right w:w="180" w:type="dxa"/>
            </w:tcMar>
          </w:tcPr>
          <w:p>
            <w:pPr>
              <w:spacing w:after="0"/>
            </w:pPr>
            <w:r>
              <w:t xml:space="preserve">Plant ID → pl_id; Plant Name → pl_name; Plant Address → pl_addr; Plant City → pl_city; Plant State → pl_st; Plant ZIP → pl_zip; Plant Phone → pl_phone; Manager Employee ID → mgr_emp_id; Plant Open Date → open_dt; Plant Status → pl_status</w:t>
            </w:r>
          </w:p>
        </w:tc>
      </w:tr>
      <w:tr>
        <w:tc>
          <w:tcPr>
            <w:tcW w:w="2900" w:type="dxa"/>
            <w:tcMar>
              <w:top w:w="120" w:type="dxa"/>
              <w:left w:w="180" w:type="dxa"/>
              <w:bottom w:w="120" w:type="dxa"/>
              <w:right w:w="180" w:type="dxa"/>
            </w:tcMar>
          </w:tcPr>
          <w:p>
            <w:pPr>
              <w:spacing w:after="0"/>
            </w:pPr>
            <w:r>
              <w:t xml:space="preserve">employees</w:t>
            </w:r>
          </w:p>
        </w:tc>
        <w:tc>
          <w:tcPr>
            <w:tcW w:w="6460" w:type="dxa"/>
            <w:tcMar>
              <w:top w:w="120" w:type="dxa"/>
              <w:left w:w="180" w:type="dxa"/>
              <w:bottom w:w="120" w:type="dxa"/>
              <w:right w:w="180" w:type="dxa"/>
            </w:tcMar>
          </w:tcPr>
          <w:p>
            <w:pPr>
              <w:spacing w:after="0"/>
            </w:pPr>
            <w:r>
              <w:t xml:space="preserve">Employee ID → emp_id; First Name → first_nm; Last Name → last_nm; Email → email; Plant ID → pl_id; Role Code → role_cd; Hire Date → hire_dt; Employee Status → emp_status</w:t>
            </w:r>
          </w:p>
        </w:tc>
      </w:tr>
    </w:tbl>
    <w:p>
      <w:pPr>
        <w:spacing w:after="120"/>
      </w:pPr>
    </w:p>
    <w:p>
      <w:pPr>
        <w:spacing w:after="120"/>
      </w:pPr>
      <w:r>
        <w:t xml:space="preserve">The document store (</w:t>
      </w:r>
      <w:r>
        <w:rPr>
          <w:rFonts w:ascii="Consolas" w:hAnsi="Consolas"/>
          <w:color w:val="0A5560"/>
          <w:sz w:val="20"/>
          <w:szCs w:val="20"/>
        </w:rPr>
        <w:t xml:space="preserve">Cascade_Documents</w:t>
      </w:r>
      <w:r>
        <w:t xml:space="preserve">) is governed by this same glossary. Its terms link to whole folders — for example Lot Record to the </w:t>
      </w:r>
      <w:r>
        <w:rPr>
          <w:rFonts w:ascii="Consolas" w:hAnsi="Consolas"/>
          <w:color w:val="0A5560"/>
          <w:sz w:val="20"/>
          <w:szCs w:val="20"/>
        </w:rPr>
        <w:t xml:space="preserve">quality</w:t>
      </w:r>
      <w:r>
        <w:t xml:space="preserve"> folder (the per-lot certificates), Nonconformance Report to </w:t>
      </w:r>
      <w:r>
        <w:rPr>
          <w:rFonts w:ascii="Consolas" w:hAnsi="Consolas"/>
          <w:color w:val="0A5560"/>
          <w:sz w:val="20"/>
          <w:szCs w:val="20"/>
        </w:rPr>
        <w:t xml:space="preserve">ncr-reports</w:t>
      </w:r>
      <w:r>
        <w:t xml:space="preserve">, and Shipment Record to </w:t>
      </w:r>
      <w:r>
        <w:rPr>
          <w:rFonts w:ascii="Consolas" w:hAnsi="Consolas"/>
          <w:color w:val="0A5560"/>
          <w:sz w:val="20"/>
          <w:szCs w:val="20"/>
        </w:rPr>
        <w:t xml:space="preserve">correspondence</w:t>
      </w:r>
      <w:r>
        <w:t xml:space="preserve"> (the recall letter) — so one vocabulary spans both the database and the file store.</w:t>
      </w:r>
    </w:p>
    <w:p>
      <w:pPr>
        <w:pStyle w:val="Heading2"/>
      </w:pPr>
      <w:r>
        <w:t xml:space="preserve">Part E — Assign the stewards</w:t>
      </w:r>
    </w:p>
    <w:p>
      <w:pPr>
        <w:spacing w:after="120"/>
      </w:pPr>
      <w:r>
        <w:t xml:space="preserve">Import carried the descriptive properties; now put the people on the terms. </w:t>
      </w:r>
      <w:r>
        <w:rPr>
          <w:rFonts w:ascii="Consolas" w:hAnsi="Consolas"/>
          <w:color w:val="0A5560"/>
          <w:sz w:val="20"/>
          <w:szCs w:val="20"/>
        </w:rPr>
        <w:t xml:space="preserve">assets/CPC-glossary-user-map.csv</w:t>
      </w:r>
      <w:r>
        <w:t xml:space="preserve"> records the expertise-driven map — set each category's terms' Business Steward and Owner accordingly, and set Status to Accepted as each steward signs off their own terms: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Steward</w:t>
            </w:r>
          </w:p>
        </w:tc>
        <w:tc>
          <w:tcPr>
            <w:tcW w:w="6460" w:type="dxa"/>
            <w:shd w:val="clear" w:color="auto" w:fill="EEF6FA"/>
            <w:tcMar>
              <w:top w:w="120" w:type="dxa"/>
              <w:left w:w="180" w:type="dxa"/>
              <w:bottom w:w="120" w:type="dxa"/>
              <w:right w:w="180" w:type="dxa"/>
            </w:tcMar>
          </w:tcPr>
          <w:p>
            <w:pPr>
              <w:spacing w:after="0"/>
            </w:pPr>
            <w:r>
              <w:rPr>
                <w:b/>
                <w:bCs/>
              </w:rPr>
              <w:t xml:space="preserve">Categories owned</w:t>
            </w:r>
          </w:p>
        </w:tc>
      </w:tr>
      <w:tr>
        <w:tc>
          <w:tcPr>
            <w:tcW w:w="2900" w:type="dxa"/>
            <w:tcMar>
              <w:top w:w="120" w:type="dxa"/>
              <w:left w:w="180" w:type="dxa"/>
              <w:bottom w:w="120" w:type="dxa"/>
              <w:right w:w="180" w:type="dxa"/>
            </w:tcMar>
          </w:tcPr>
          <w:p>
            <w:pPr>
              <w:spacing w:after="0"/>
            </w:pPr>
            <w:r>
              <w:t xml:space="preserve">Nora Whitaker</w:t>
            </w:r>
          </w:p>
        </w:tc>
        <w:tc>
          <w:tcPr>
            <w:tcW w:w="6460" w:type="dxa"/>
            <w:tcMar>
              <w:top w:w="120" w:type="dxa"/>
              <w:left w:w="180" w:type="dxa"/>
              <w:bottom w:w="120" w:type="dxa"/>
              <w:right w:w="180" w:type="dxa"/>
            </w:tcMar>
          </w:tcPr>
          <w:p>
            <w:pPr>
              <w:spacing w:after="0"/>
            </w:pPr>
            <w:r>
              <w:t xml:space="preserve">Production; Traceability; Plant Operations</w:t>
            </w:r>
          </w:p>
        </w:tc>
      </w:tr>
      <w:tr>
        <w:tc>
          <w:tcPr>
            <w:tcW w:w="2900" w:type="dxa"/>
            <w:tcMar>
              <w:top w:w="120" w:type="dxa"/>
              <w:left w:w="180" w:type="dxa"/>
              <w:bottom w:w="120" w:type="dxa"/>
              <w:right w:w="180" w:type="dxa"/>
            </w:tcMar>
          </w:tcPr>
          <w:p>
            <w:pPr>
              <w:spacing w:after="0"/>
            </w:pPr>
            <w:r>
              <w:t xml:space="preserve">Felix Okonkwo</w:t>
            </w:r>
          </w:p>
        </w:tc>
        <w:tc>
          <w:tcPr>
            <w:tcW w:w="6460" w:type="dxa"/>
            <w:tcMar>
              <w:top w:w="120" w:type="dxa"/>
              <w:left w:w="180" w:type="dxa"/>
              <w:bottom w:w="120" w:type="dxa"/>
              <w:right w:w="180" w:type="dxa"/>
            </w:tcMar>
          </w:tcPr>
          <w:p>
            <w:pPr>
              <w:spacing w:after="0"/>
            </w:pPr>
            <w:r>
              <w:t xml:space="preserve">Parts &amp; BOM; Suppliers &amp; Purchasing</w:t>
            </w:r>
          </w:p>
        </w:tc>
      </w:tr>
      <w:tr>
        <w:tc>
          <w:tcPr>
            <w:tcW w:w="2900" w:type="dxa"/>
            <w:tcMar>
              <w:top w:w="120" w:type="dxa"/>
              <w:left w:w="180" w:type="dxa"/>
              <w:bottom w:w="120" w:type="dxa"/>
              <w:right w:w="180" w:type="dxa"/>
            </w:tcMar>
          </w:tcPr>
          <w:p>
            <w:pPr>
              <w:spacing w:after="0"/>
            </w:pPr>
            <w:r>
              <w:t xml:space="preserve">Yuki Mori</w:t>
            </w:r>
          </w:p>
        </w:tc>
        <w:tc>
          <w:tcPr>
            <w:tcW w:w="6460" w:type="dxa"/>
            <w:tcMar>
              <w:top w:w="120" w:type="dxa"/>
              <w:left w:w="180" w:type="dxa"/>
              <w:bottom w:w="120" w:type="dxa"/>
              <w:right w:w="180" w:type="dxa"/>
            </w:tcMar>
          </w:tcPr>
          <w:p>
            <w:pPr>
              <w:spacing w:after="0"/>
            </w:pPr>
            <w:r>
              <w:t xml:space="preserve">Quality &amp; Inspection; Nonconformance (all CDE)</w:t>
            </w:r>
          </w:p>
        </w:tc>
      </w:tr>
      <w:tr>
        <w:tc>
          <w:tcPr>
            <w:tcW w:w="2900" w:type="dxa"/>
            <w:tcMar>
              <w:top w:w="120" w:type="dxa"/>
              <w:left w:w="180" w:type="dxa"/>
              <w:bottom w:w="120" w:type="dxa"/>
              <w:right w:w="180" w:type="dxa"/>
            </w:tcMar>
          </w:tcPr>
          <w:p>
            <w:pPr>
              <w:spacing w:after="0"/>
            </w:pPr>
            <w:r>
              <w:t xml:space="preserve">Silas Grant</w:t>
            </w:r>
          </w:p>
        </w:tc>
        <w:tc>
          <w:tcPr>
            <w:tcW w:w="6460" w:type="dxa"/>
            <w:tcMar>
              <w:top w:w="120" w:type="dxa"/>
              <w:left w:w="180" w:type="dxa"/>
              <w:bottom w:w="120" w:type="dxa"/>
              <w:right w:w="180" w:type="dxa"/>
            </w:tcMar>
          </w:tcPr>
          <w:p>
            <w:pPr>
              <w:spacing w:after="0"/>
            </w:pPr>
            <w:r>
              <w:t xml:space="preserve">Shipments &amp; Customers — and future document-record terms</w:t>
            </w:r>
          </w:p>
        </w:tc>
      </w:tr>
    </w:tbl>
    <w:p>
      <w:pPr>
        <w:spacing w:after="120"/>
      </w:pPr>
    </w:p>
    <w:p>
      <w:pPr>
        <w:spacing w:after="120"/>
      </w:pPr>
      <w:r>
        <w:t xml:space="preserve">Set </w:t>
      </w:r>
      <w:r>
        <w:rPr>
          <w:b/>
          <w:bCs/>
        </w:rPr>
        <w:t xml:space="preserve">Custodian</w:t>
      </w:r>
      <w:r>
        <w:t xml:space="preserve"> to Petra Novak (Data Storage Administrator) on the identifier terms her storage estate carries, and add Yuki Mori as a </w:t>
      </w:r>
      <w:r>
        <w:rPr>
          <w:b/>
          <w:bCs/>
        </w:rPr>
        <w:t xml:space="preserve">Stakeholder</w:t>
      </w:r>
      <w:r>
        <w:t xml:space="preserve"> on anything quality adjacent — CoC, MRB, severity and disposition terms.</w:t>
      </w:r>
    </w:p>
    <w:p>
      <w:pPr>
        <w:pStyle w:val="Heading1"/>
      </w:pPr>
      <w:r>
        <w:t xml:space="preserve">Introducing the Similarity Score</w:t>
      </w:r>
    </w:p>
    <w:p>
      <w:pPr>
        <w:spacing w:after="120"/>
      </w:pPr>
      <w:r>
        <w:t xml:space="preserve">In Part C you opened the Suggested Columns view and approved the matches PDC proposed. Those proposals are not name guesses — they come from PDC's metadata similarity engine, and each one carries a </w:t>
      </w:r>
      <w:r>
        <w:rPr>
          <w:b/>
          <w:bCs/>
        </w:rPr>
        <w:t xml:space="preserve">Similarity Score</w:t>
      </w:r>
      <w:r>
        <w:t xml:space="preserve">. This short section introduces that score so you know what you are approving.</w:t>
      </w:r>
    </w:p>
    <w:p>
      <w:pPr>
        <w:pStyle w:val="Heading2"/>
      </w:pPr>
      <w:r>
        <w:t xml:space="preserve">What the score measures</w:t>
      </w:r>
    </w:p>
    <w:p>
      <w:pPr>
        <w:spacing w:after="120"/>
      </w:pPr>
      <w:r>
        <w:t xml:space="preserve">Metadata similarity uses machine learning to find and rank similar columns, tables, and terms across the whole Catalog. It scores each candidate on metadata structure and meaning rather than column names alone, and expresses the result as a number from 0 to 1 — PDC's confidence that a term fits a column. A higher score is a stronger match.</w:t>
      </w:r>
    </w:p>
    <w:p>
      <w:pPr>
        <w:spacing w:after="120"/>
      </w:pPr>
      <w:r>
        <w:rPr>
          <w:b/>
          <w:bCs/>
        </w:rPr>
        <w:t xml:space="preserve">Meaning over names:</w:t>
      </w:r>
      <w:r>
        <w:t xml:space="preserve"> because the score reads structure and meaning, it can match a column whose name looks nothing like the term. In CPC, the </w:t>
      </w:r>
      <w:r>
        <w:rPr>
          <w:b/>
          <w:bCs/>
        </w:rPr>
        <w:t xml:space="preserve">Part ID</w:t>
      </w:r>
      <w:r>
        <w:t xml:space="preserve"> term can be proposed for </w:t>
      </w:r>
      <w:r>
        <w:rPr>
          <w:rFonts w:ascii="Consolas" w:hAnsi="Consolas"/>
          <w:color w:val="0A5560"/>
          <w:sz w:val="20"/>
          <w:szCs w:val="20"/>
        </w:rPr>
        <w:t xml:space="preserve">parent_part_id</w:t>
      </w:r>
      <w:r>
        <w:t xml:space="preserve"> and </w:t>
      </w:r>
      <w:r>
        <w:rPr>
          <w:rFonts w:ascii="Consolas" w:hAnsi="Consolas"/>
          <w:color w:val="0A5560"/>
          <w:sz w:val="20"/>
          <w:szCs w:val="20"/>
        </w:rPr>
        <w:t xml:space="preserve">child_part_id</w:t>
      </w:r>
      <w:r>
        <w:t xml:space="preserve"> in </w:t>
      </w:r>
      <w:r>
        <w:rPr>
          <w:rFonts w:ascii="Consolas" w:hAnsi="Consolas"/>
          <w:color w:val="0A5560"/>
          <w:sz w:val="20"/>
          <w:szCs w:val="20"/>
        </w:rPr>
        <w:t xml:space="preserve">boms</w:t>
      </w:r>
      <w:r>
        <w:t xml:space="preserve">, and </w:t>
      </w:r>
      <w:r>
        <w:rPr>
          <w:b/>
          <w:bCs/>
        </w:rPr>
        <w:t xml:space="preserve">Lot ID</w:t>
      </w:r>
      <w:r>
        <w:t xml:space="preserve"> for </w:t>
      </w:r>
      <w:r>
        <w:rPr>
          <w:rFonts w:ascii="Consolas" w:hAnsi="Consolas"/>
          <w:color w:val="0A5560"/>
          <w:sz w:val="20"/>
          <w:szCs w:val="20"/>
        </w:rPr>
        <w:t xml:space="preserve">lot_id</w:t>
      </w:r>
      <w:r>
        <w:t xml:space="preserve"> across the quality tables — links a name-only search would miss.</w:t>
      </w:r>
    </w:p>
    <w:p>
      <w:pPr>
        <w:spacing w:after="120"/>
      </w:pPr>
      <w:r>
        <w:rPr>
          <w:b/>
          <w:bCs/>
        </w:rPr>
        <w:t xml:space="preserve">It runs as a job, not on demand:</w:t>
      </w:r>
      <w:r>
        <w:t xml:space="preserve"> the Suggested Columns you see are the results of a metadata similarity run, not generated the moment you open the tab. An administrator runs that job; you review what it produced.</w:t>
      </w:r>
    </w:p>
    <w:p>
      <w:pPr>
        <w:pStyle w:val="Heading2"/>
      </w:pPr>
      <w:r>
        <w:t xml:space="preserve">Reading and acting on suggestions</w:t>
      </w:r>
    </w:p>
    <w:p>
      <w:pPr>
        <w:spacing w:after="120"/>
      </w:pPr>
      <w:r>
        <w:t xml:space="preserve">The Suggested Columns list shows matches above a score threshold — 0.5 by default. Lower the threshold to see more, looser candidates; raise it to see only the closest. Then act on each one:</w:t>
      </w:r>
    </w:p>
    <w:p>
      <w:pPr>
        <w:pStyle w:val="ListParagraph"/>
        <w:numPr>
          <w:ilvl w:val="0"/>
          <w:numId w:val="2"/>
        </w:numPr>
        <w:spacing w:after="60"/>
      </w:pPr>
      <w:r>
        <w:rPr>
          <w:b/>
          <w:bCs/>
        </w:rPr>
        <w:t xml:space="preserve">Approve</w:t>
      </w:r>
      <w:r>
        <w:t xml:space="preserve"> assigns the term to the column automatically — the same Business Term Association you would create by hand in the Elements view, only faster.</w:t>
      </w:r>
    </w:p>
    <w:p>
      <w:pPr>
        <w:pStyle w:val="ListParagraph"/>
        <w:numPr>
          <w:ilvl w:val="0"/>
          <w:numId w:val="2"/>
        </w:numPr>
        <w:spacing w:after="60"/>
      </w:pPr>
      <w:r>
        <w:rPr>
          <w:b/>
          <w:bCs/>
        </w:rPr>
        <w:t xml:space="preserve">Reject</w:t>
      </w:r>
      <w:r>
        <w:t xml:space="preserve"> dismisses a wrong match. A rejected suggestion is excluded from future runs for that asset, so reject deliberately rather than to tidy the list.</w:t>
      </w:r>
    </w:p>
    <w:p>
      <w:pPr>
        <w:spacing w:after="120"/>
      </w:pPr>
      <w:r>
        <w:rPr>
          <w:b/>
          <w:bCs/>
        </w:rPr>
        <w:t xml:space="preserve">Your judgment still decides:</w:t>
      </w:r>
      <w:r>
        <w:t xml:space="preserve"> the score assists, it does not approve. A high score is a recommendation, not a verdict — approve the matches that genuinely describe the column, and the same over-linking cautions from the previous section apply. Good semantic coverage, not volume, is the goal.</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Suggested Columns — lots.lot_no</w:t>
      </w:r>
    </w:p>
    <w:p>
      <w:pPr>
        <w:pStyle w:val="Heading1"/>
      </w:pPr>
      <w:r>
        <w:t xml:space="preserve">Verify your work</w:t>
      </w:r>
    </w:p>
    <w:p>
      <w:pPr>
        <w:pStyle w:val="ListParagraph"/>
        <w:numPr>
          <w:ilvl w:val="0"/>
          <w:numId w:val="2"/>
        </w:numPr>
        <w:spacing w:after="60"/>
      </w:pPr>
      <w:r>
        <w:t xml:space="preserve">☐  The CPC Business Glossary exists, with eight categories and your terms beneath them.</w:t>
      </w:r>
    </w:p>
    <w:p>
      <w:pPr>
        <w:pStyle w:val="ListParagraph"/>
        <w:numPr>
          <w:ilvl w:val="0"/>
          <w:numId w:val="2"/>
        </w:numPr>
        <w:spacing w:after="60"/>
      </w:pPr>
      <w:r>
        <w:t xml:space="preserve">☐  Each term has a Definition, a Domain, a Sensitivity, a Classification, and a Business Steward.</w:t>
      </w:r>
    </w:p>
    <w:p>
      <w:pPr>
        <w:pStyle w:val="ListParagraph"/>
        <w:numPr>
          <w:ilvl w:val="0"/>
          <w:numId w:val="2"/>
        </w:numPr>
        <w:spacing w:after="60"/>
      </w:pPr>
      <w:r>
        <w:t xml:space="preserve">☐  Each term you linked lists its columns on the Data Elements tab, and the </w:t>
      </w:r>
      <w:r>
        <w:rPr>
          <w:rFonts w:ascii="Consolas" w:hAnsi="Consolas"/>
          <w:color w:val="0A5560"/>
          <w:sz w:val="20"/>
          <w:szCs w:val="20"/>
        </w:rPr>
        <w:t xml:space="preserve">lots</w:t>
      </w:r>
      <w:r>
        <w:t xml:space="preserve"> columns show their assigned business term.</w:t>
      </w:r>
    </w:p>
    <w:p>
      <w:pPr>
        <w:pStyle w:val="ListParagraph"/>
        <w:numPr>
          <w:ilvl w:val="0"/>
          <w:numId w:val="2"/>
        </w:numPr>
        <w:spacing w:after="60"/>
      </w:pPr>
      <w:r>
        <w:t xml:space="preserve">☐  Every data table — all eleven, </w:t>
      </w:r>
      <w:r>
        <w:rPr>
          <w:rFonts w:ascii="Consolas" w:hAnsi="Consolas"/>
          <w:color w:val="0A5560"/>
          <w:sz w:val="20"/>
          <w:szCs w:val="20"/>
        </w:rPr>
        <w:t xml:space="preserve">parts</w:t>
      </w:r>
      <w:r>
        <w:t xml:space="preserve"> through </w:t>
      </w:r>
      <w:r>
        <w:rPr>
          <w:rFonts w:ascii="Consolas" w:hAnsi="Consolas"/>
          <w:color w:val="0A5560"/>
          <w:sz w:val="20"/>
          <w:szCs w:val="20"/>
        </w:rPr>
        <w:t xml:space="preserve">employees</w:t>
      </w:r>
      <w:r>
        <w:t xml:space="preserve"> — has its terms linked, each carries its own table-level term (Lot Record, Part Record, and so on) that its Trust Score reads, and each has had its Trust Score recalculated.</w:t>
      </w:r>
    </w:p>
    <w:p>
      <w:pPr>
        <w:pStyle w:val="ListParagraph"/>
        <w:numPr>
          <w:ilvl w:val="0"/>
          <w:numId w:val="2"/>
        </w:numPr>
        <w:spacing w:after="60"/>
      </w:pPr>
      <w:r>
        <w:t xml:space="preserve">☐  After re-running Calculate Trust Score, the </w:t>
      </w:r>
      <w:r>
        <w:rPr>
          <w:rFonts w:ascii="Consolas" w:hAnsi="Consolas"/>
          <w:color w:val="0A5560"/>
          <w:sz w:val="20"/>
          <w:szCs w:val="20"/>
        </w:rPr>
        <w:t xml:space="preserve">lots</w:t>
      </w:r>
      <w:r>
        <w:t xml:space="preserve"> Trust Score is no longer 0 / Untrusted.</w:t>
      </w:r>
    </w:p>
    <w:p>
      <w:pPr>
        <w:pStyle w:val="ListParagraph"/>
        <w:numPr>
          <w:ilvl w:val="0"/>
          <w:numId w:val="2"/>
        </w:numPr>
        <w:spacing w:after="60"/>
      </w:pPr>
      <w:r>
        <w:t xml:space="preserve">☐  Stewardship is assigned per Part E — Nora, Felix, Yuki and Silas each own their categories.</w:t>
      </w:r>
    </w:p>
    <w:p>
      <w:pPr>
        <w:pStyle w:val="ListParagraph"/>
        <w:numPr>
          <w:ilvl w:val="0"/>
          <w:numId w:val="2"/>
        </w:numPr>
        <w:spacing w:after="60"/>
      </w:pPr>
      <w:r>
        <w:t xml:space="preserve">☐  You can explain why the score moved (the glossary-term input) and why a quality-based score still waits for Workshop 4 profiling.</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Import fails, or terms land under Unassigned</w:t>
            </w:r>
          </w:p>
        </w:tc>
        <w:tc>
          <w:tcPr>
            <w:tcW w:w="6460" w:type="dxa"/>
            <w:tcMar>
              <w:top w:w="120" w:type="dxa"/>
              <w:left w:w="180" w:type="dxa"/>
              <w:bottom w:w="120" w:type="dxa"/>
              <w:right w:w="180" w:type="dxa"/>
            </w:tcMar>
          </w:tcPr>
          <w:p>
            <w:pPr>
              <w:spacing w:after="0"/>
            </w:pPr>
            <w:r>
              <w:t xml:space="preserve">Your file's columns or Parent values do not match the expected schema. Export a glossary first and mirror its exact headers and parent references. The supplied JSONL imports as-is — if it fails, check you did not edit it.</w:t>
            </w:r>
          </w:p>
        </w:tc>
      </w:tr>
      <w:tr>
        <w:tc>
          <w:tcPr>
            <w:tcW w:w="2900" w:type="dxa"/>
            <w:tcMar>
              <w:top w:w="120" w:type="dxa"/>
              <w:left w:w="180" w:type="dxa"/>
              <w:bottom w:w="120" w:type="dxa"/>
              <w:right w:w="180" w:type="dxa"/>
            </w:tcMar>
          </w:tcPr>
          <w:p>
            <w:pPr>
              <w:spacing w:after="0"/>
            </w:pPr>
            <w:r>
              <w:t xml:space="preserve">Term created but no governance shows</w:t>
            </w:r>
          </w:p>
        </w:tc>
        <w:tc>
          <w:tcPr>
            <w:tcW w:w="6460" w:type="dxa"/>
            <w:tcMar>
              <w:top w:w="120" w:type="dxa"/>
              <w:left w:w="180" w:type="dxa"/>
              <w:bottom w:w="120" w:type="dxa"/>
              <w:right w:w="180" w:type="dxa"/>
            </w:tcMar>
          </w:tcPr>
          <w:p>
            <w:pPr>
              <w:spacing w:after="0"/>
            </w:pPr>
            <w:r>
              <w:t xml:space="preserve">Sensitivity, Domain, Classification, and Steward are set per term in the Properties panel. Open the term's Summary tab and fill them in.</w:t>
            </w:r>
          </w:p>
        </w:tc>
      </w:tr>
      <w:tr>
        <w:tc>
          <w:tcPr>
            <w:tcW w:w="2900" w:type="dxa"/>
            <w:tcMar>
              <w:top w:w="120" w:type="dxa"/>
              <w:left w:w="180" w:type="dxa"/>
              <w:bottom w:w="120" w:type="dxa"/>
              <w:right w:w="180" w:type="dxa"/>
            </w:tcMar>
          </w:tcPr>
          <w:p>
            <w:pPr>
              <w:spacing w:after="0"/>
            </w:pPr>
            <w:r>
              <w:t xml:space="preserve">Trust Score still 0 after linking a term</w:t>
            </w:r>
          </w:p>
        </w:tc>
        <w:tc>
          <w:tcPr>
            <w:tcW w:w="6460" w:type="dxa"/>
            <w:tcMar>
              <w:top w:w="120" w:type="dxa"/>
              <w:left w:w="180" w:type="dxa"/>
              <w:bottom w:w="120" w:type="dxa"/>
              <w:right w:w="180" w:type="dxa"/>
            </w:tcMar>
          </w:tcPr>
          <w:p>
            <w:pPr>
              <w:spacing w:after="0"/>
            </w:pPr>
            <w:r>
              <w:t xml:space="preserve">Re-run the Calculate Trust Score job after the term is linked. A completed job with activeMillis 0 means it had no inputs at the moment it ran.</w:t>
            </w:r>
          </w:p>
        </w:tc>
      </w:tr>
      <w:tr>
        <w:tc>
          <w:tcPr>
            <w:tcW w:w="2900" w:type="dxa"/>
            <w:tcMar>
              <w:top w:w="120" w:type="dxa"/>
              <w:left w:w="180" w:type="dxa"/>
              <w:bottom w:w="120" w:type="dxa"/>
              <w:right w:w="180" w:type="dxa"/>
            </w:tcMar>
          </w:tcPr>
          <w:p>
            <w:pPr>
              <w:spacing w:after="0"/>
            </w:pPr>
            <w:r>
              <w:t xml:space="preserve">Cannot create or edit glossary items</w:t>
            </w:r>
          </w:p>
        </w:tc>
        <w:tc>
          <w:tcPr>
            <w:tcW w:w="6460" w:type="dxa"/>
            <w:tcMar>
              <w:top w:w="120" w:type="dxa"/>
              <w:left w:w="180" w:type="dxa"/>
              <w:bottom w:w="120" w:type="dxa"/>
              <w:right w:w="180" w:type="dxa"/>
            </w:tcMar>
          </w:tcPr>
          <w:p>
            <w:pPr>
              <w:spacing w:after="0"/>
            </w:pPr>
            <w:r>
              <w:t xml:space="preserve">Glossary editing is governed by role-based access control and requires the </w:t>
            </w:r>
            <w:r>
              <w:rPr>
                <w:b/>
                <w:bCs/>
              </w:rPr>
              <w:t xml:space="preserve">Business Steward</w:t>
            </w:r>
            <w:r>
              <w:t xml:space="preserve"> role. In the CPC cast that is Yuki, Felix, Silas — and Nora, whose account carries both Business Steward and Data Steward. A Data Steward role alone cannot edit the glossary.</w:t>
            </w:r>
          </w:p>
        </w:tc>
      </w:tr>
    </w:tbl>
    <w:p>
      <w:pPr>
        <w:spacing w:after="120"/>
      </w:pPr>
    </w:p>
    <w:p>
      <w:pPr>
        <w:pStyle w:val="Heading1"/>
      </w:pPr>
      <w:r>
        <w:t xml:space="preserve">Why it matters &amp; discussion</w:t>
      </w:r>
    </w:p>
    <w:p>
      <w:pPr>
        <w:spacing w:after="120"/>
      </w:pPr>
      <w:r>
        <w:t xml:space="preserve">A new analyst searches the Catalog for traceability data. Because CPC governs each traceability field as its own term — Lot Number, CoC Flag, Lot Status, MRB Approval Flag, all classified, stewarded by name and linked to every matching column — the search returns exactly the right fields with their governance attached. Discuss: what would that same search return with no glossary, and what would it cost CPC, mid-recall or mid-audit, to assemble that answer by hand?</w:t>
      </w:r>
    </w:p>
    <w:p>
      <w:pPr>
        <w:pStyle w:val="Heading1"/>
      </w:pPr>
      <w:r>
        <w:t xml:space="preserve">What's next</w:t>
      </w:r>
    </w:p>
    <w:p>
      <w:pPr>
        <w:spacing w:after="120"/>
      </w:pPr>
      <w:r>
        <w:t xml:space="preserve">Your business vocabulary now exists and is linked to the data. Workshop 4 runs Data Profiling and Data Quality: PDC profiles the data — the operational layer, row counts, and keys — and Andre Gibson (Data Developer) turns CPC's quality-system obligations into scheduled, scored business rules. With both a linked term and profiled quality in place, Calculate Trust Score finally produces a real, quality-based number.</w:t>
      </w:r>
    </w:p>
    <w:p>
      <w:pPr>
        <w:spacing w:after="120"/>
      </w:pPr>
      <w:r>
        <w:t xml:space="preserve">All Cascade Precision Components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3: Build the Business Glossary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 Id="rId101" Type="http://schemas.openxmlformats.org/officeDocument/2006/relationships/image" Target="media/two-app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the Business Glossary</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