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Management → Data Identification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 Pattern (</w:t>
      </w:r>
      <w:r>
        <w:rPr>
          <w:rFonts w:ascii="Consolas" w:hAnsi="Consolas"/>
          <w:color w:val="0A5560"/>
          <w:sz w:val="20"/>
          <w:szCs w:val="20"/>
        </w:rPr>
        <w:t xml:space="preserve">patternsRules</w:t>
      </w:r>
      <w:r>
        <w:t xml:space="preserve"> JSON) per regex seed, one Dictionary (</w:t>
      </w:r>
      <w:r>
        <w:rPr>
          <w:rFonts w:ascii="Consolas" w:hAnsi="Consolas"/>
          <w:color w:val="0A5560"/>
          <w:sz w:val="20"/>
          <w:szCs w:val="20"/>
        </w:rPr>
        <w:t xml:space="preserve">dictionariesRules</w:t>
      </w:r>
      <w:r>
        <w:t xml:space="preserve"> JSON + values CSV) per reference-list seed,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Patterns/          one cscu_&lt;term&gt;.json per regex seed             (patternsRules)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Dictionaries/      one cscu_&lt;term&gt;_rule.json + cscu_&lt;term&gt;.csv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per reference-list seed                         (dictionariesRules)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contentPatterns</w:t>
      </w:r>
      <w:r>
        <w:t xml:space="preserve"> — the induced value signature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numbers). This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Management → Data Identification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select the files under </w:t>
      </w:r>
      <w:r>
        <w:rPr>
          <w:rFonts w:ascii="Consolas" w:hAnsi="Consolas"/>
          <w:color w:val="0A5560"/>
          <w:sz w:val="20"/>
          <w:szCs w:val="20"/>
        </w:rPr>
        <w:t xml:space="preserve">out/Patterns/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select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with its values CSV under </w:t>
      </w:r>
      <w:r>
        <w:rPr>
          <w:rFonts w:ascii="Consolas" w:hAnsi="Consolas"/>
          <w:color w:val="0A5560"/>
          <w:sz w:val="20"/>
          <w:szCs w:val="20"/>
        </w:rPr>
        <w:t xml:space="preserve">out/Dictionaries/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out/Patterns/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out/Dictionaries/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