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GLOSSARY GENERATOR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APP WORKSHOP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Build the Glossary with the Glossary Generator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Scan, review, govern and apply CSCU's governed glossary — and author the Registry — with the app.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Solution Architect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60–90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spacing w:after="120"/>
      </w:pPr>
      <w:r>
        <w:rPr>
          <w:b/>
          <w:bCs/>
        </w:rPr>
        <w:t xml:space="preserve">Prerequisites:</w:t>
      </w:r>
      <w:r>
        <w:t xml:space="preserve"> the shared lab running with CSCU loaded (</w:t>
      </w:r>
      <w:r>
        <w:rPr>
          <w:rFonts w:ascii="Consolas" w:hAnsi="Consolas"/>
          <w:color w:val="0A5560"/>
          <w:sz w:val="20"/>
          <w:szCs w:val="20"/>
        </w:rPr>
        <w:t xml:space="preserve">data_sources/lab</w:t>
      </w:r>
      <w:r>
        <w:t xml:space="preserve"> → </w:t>
      </w:r>
      <w:r>
        <w:rPr>
          <w:rFonts w:ascii="Consolas" w:hAnsi="Consolas"/>
          <w:color w:val="0A5560"/>
          <w:sz w:val="20"/>
          <w:szCs w:val="20"/>
        </w:rPr>
        <w:t xml:space="preserve">make up &amp;&amp; make load SCENARIO=CSCU</w:t>
      </w:r>
      <w:r>
        <w:t xml:space="preserve">), PDC reachable over HTTPS, the CSCU domain pack installed (</w:t>
      </w:r>
      <w:r>
        <w:rPr>
          <w:rFonts w:ascii="Consolas" w:hAnsi="Consolas"/>
          <w:color w:val="0A5560"/>
          <w:sz w:val="20"/>
          <w:szCs w:val="20"/>
        </w:rPr>
        <w:t xml:space="preserve">data_sources/CSCU/cscu-domain-pack.zip</w:t>
      </w:r>
      <w:r>
        <w:t xml:space="preserve"> → unzip into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).</w:t>
      </w:r>
    </w:p>
    <w:p>
      <w:pPr>
        <w:pStyle w:val="Heading1"/>
      </w:pPr>
      <w:r>
        <w:t xml:space="preserve">1. The scenario</w:t>
      </w:r>
    </w:p>
    <w:p>
      <w:pPr>
        <w:spacing w:after="120"/>
      </w:pPr>
      <w:r>
        <w:rPr>
          <w:b/>
          <w:bCs/>
        </w:rPr>
        <w:t xml:space="preserve">Copper State Credit Union</w:t>
      </w:r>
      <w:r>
        <w:t xml:space="preserve"> is a fictional Arizona credit union with six branches (Phoenix, Tempe, Tucson, Casa Grande, Globe, Prescott), ~13 pilot members, and a core banking schema (</w:t>
      </w:r>
      <w:r>
        <w:rPr>
          <w:rFonts w:ascii="Consolas" w:hAnsi="Consolas"/>
          <w:color w:val="0A5560"/>
          <w:sz w:val="20"/>
          <w:szCs w:val="20"/>
        </w:rPr>
        <w:t xml:space="preserve">cscu_core</w:t>
      </w:r>
      <w:r>
        <w:t xml:space="preserve">, 11 tables) plus a document store (</w:t>
      </w:r>
      <w:r>
        <w:rPr>
          <w:rFonts w:ascii="Consolas" w:hAnsi="Consolas"/>
          <w:color w:val="0A5560"/>
          <w:sz w:val="20"/>
          <w:szCs w:val="20"/>
        </w:rPr>
        <w:t xml:space="preserve">cscu-documents</w:t>
      </w:r>
      <w:r>
        <w:t xml:space="preserve"> bucket, 18 files). Its data estate has exactly the governance problems the Registry approach fixes: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PII everywhere</w:t>
      </w:r>
      <w:r>
        <w:t xml:space="preserve"> — SSNs, DOBs, card PANs, account and routing numbers spread across </w:t>
      </w:r>
      <w:r>
        <w:rPr>
          <w:rFonts w:ascii="Consolas" w:hAnsi="Consolas"/>
          <w:color w:val="0A5560"/>
          <w:sz w:val="20"/>
          <w:szCs w:val="20"/>
        </w:rPr>
        <w:t xml:space="preserve">members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cards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accounts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ach_payments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planted PCI violation</w:t>
      </w:r>
      <w:r>
        <w:t xml:space="preserve"> — </w:t>
      </w:r>
      <w:r>
        <w:rPr>
          <w:rFonts w:ascii="Consolas" w:hAnsi="Consolas"/>
          <w:color w:val="0A5560"/>
          <w:sz w:val="20"/>
          <w:szCs w:val="20"/>
        </w:rPr>
        <w:t xml:space="preserve">cards.cvv_cd</w:t>
      </w:r>
      <w:r>
        <w:t xml:space="preserve"> stores card verification values, which PCI DSS forbids after authorization. Your steward review must catch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Cryptic core-banking names</w:t>
      </w:r>
      <w:r>
        <w:t xml:space="preserve"> — </w:t>
      </w:r>
      <w:r>
        <w:rPr>
          <w:rFonts w:ascii="Consolas" w:hAnsi="Consolas"/>
          <w:color w:val="0A5560"/>
          <w:sz w:val="20"/>
          <w:szCs w:val="20"/>
        </w:rPr>
        <w:t xml:space="preserve">mbr_no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prin_bal_amt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apr_rt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ach_rte_no</w:t>
      </w:r>
      <w:r>
        <w:t xml:space="preserve">. The generator's abbreviation expansion (plus the CSCU pack) turns them into readable terms: </w:t>
      </w:r>
      <w:r>
        <w:rPr>
          <w:i/>
          <w:iCs/>
        </w:rPr>
        <w:t xml:space="preserve">Member Number</w:t>
      </w:r>
      <w:r>
        <w:t xml:space="preserve">, </w:t>
      </w:r>
      <w:r>
        <w:rPr>
          <w:i/>
          <w:iCs/>
        </w:rPr>
        <w:t xml:space="preserve">Principal Balance Amount</w:t>
      </w:r>
      <w:r>
        <w:t xml:space="preserve">, </w:t>
      </w:r>
      <w:r>
        <w:rPr>
          <w:i/>
          <w:iCs/>
        </w:rPr>
        <w:t xml:space="preserve">APR</w:t>
      </w:r>
      <w:r>
        <w:t xml:space="preserve">, </w:t>
      </w:r>
      <w:r>
        <w:rPr>
          <w:i/>
          <w:iCs/>
        </w:rPr>
        <w:t xml:space="preserve">ACH Routing Number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compliance story that spans sources</w:t>
      </w:r>
      <w:r>
        <w:t xml:space="preserve"> — SAR 97001 (structuring: two $9,450 transfers just under the $10,000 threshold) exists as database rows (</w:t>
      </w:r>
      <w:r>
        <w:rPr>
          <w:rFonts w:ascii="Consolas" w:hAnsi="Consolas"/>
          <w:color w:val="0A5560"/>
          <w:sz w:val="20"/>
          <w:szCs w:val="20"/>
        </w:rPr>
        <w:t xml:space="preserve">suspicious_activity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ach_payments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transactions</w:t>
      </w:r>
      <w:r>
        <w:t xml:space="preserve">) </w:t>
      </w:r>
      <w:r>
        <w:rPr>
          <w:i/>
          <w:iCs/>
        </w:rPr>
        <w:t xml:space="preserve">and</w:t>
      </w:r>
      <w:r>
        <w:t xml:space="preserve"> as documents (the Q2 SAR summary PDF, the ACH batch JSON). One glossary must cover both.</w:t>
      </w:r>
    </w:p>
    <w:p>
      <w:pPr>
        <w:jc w:val="center"/>
        <w:spacing w:before="120" w:after="160"/>
      </w:pPr>
      <w:r>
        <w:drawing>
          <wp:inline xmlns:wp="http://schemas.openxmlformats.org/drawingml/2006/wordprocessingDrawing" distT="0" distB="0" distL="0" distR="0">
            <wp:extent cx="5760720" cy="3028070"/>
            <wp:docPr id="101" name="two-app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two-apps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What you will build</w:t>
      </w:r>
    </w:p>
    <w:p>
      <w:pPr>
        <w:spacing w:after="120"/>
      </w:pPr>
      <w:r>
        <w:t xml:space="preserve">An import-ready </w:t>
      </w:r>
      <w:r>
        <w:rPr>
          <w:b/>
          <w:bCs/>
        </w:rPr>
        <w:t xml:space="preserve">business glossary</w:t>
      </w:r>
      <w:r>
        <w:t xml:space="preserve"> for PDC — one reviewed term per business-meaningful column and document folder, each with governed tags (</w:t>
      </w:r>
      <w:r>
        <w:rPr>
          <w:rFonts w:ascii="Consolas" w:hAnsi="Consolas"/>
          <w:color w:val="0A5560"/>
          <w:sz w:val="20"/>
          <w:szCs w:val="20"/>
        </w:rPr>
        <w:t xml:space="preserve">pci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aml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lending</w:t>
      </w:r>
      <w:r>
        <w:t xml:space="preserve">, …), rule-based sensitivity, CDE flags, and steward assignments — plus the </w:t>
      </w:r>
      <w:r>
        <w:rPr>
          <w:b/>
          <w:bCs/>
        </w:rPr>
        <w:t xml:space="preserve">Registry</w:t>
      </w:r>
      <w:r>
        <w:t xml:space="preserve"> the Policy Generator will later read to emit Data Identification methods.</w:t>
      </w:r>
    </w:p>
    <w:p>
      <w:pPr>
        <w:pStyle w:val="Heading1"/>
      </w:pPr>
      <w:r>
        <w:t xml:space="preserve">3. Lab flow</w:t>
      </w:r>
    </w:p>
    <w:p>
      <w:pPr>
        <w:pStyle w:val="Heading2"/>
      </w:pPr>
      <w:r>
        <w:t xml:space="preserve">Step 1 — Stand up the sources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data_sources/lab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cp .env.example .env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make up                    # shared postgres + minio (all scenarios)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make load SCENARIO=CSCU    # cscu_core db + cscu-documents bucket, verified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make console</w:t>
      </w:r>
      <w:r>
        <w:t xml:space="preserve"> reprints the PDC connection values (database </w:t>
      </w:r>
      <w:r>
        <w:rPr>
          <w:rFonts w:ascii="Consolas" w:hAnsi="Consolas"/>
          <w:color w:val="0A5560"/>
          <w:sz w:val="20"/>
          <w:szCs w:val="20"/>
        </w:rPr>
        <w:t xml:space="preserve">CopperState_Core_Banking</w:t>
      </w:r>
      <w:r>
        <w:t xml:space="preserve">, object store </w:t>
      </w:r>
      <w:r>
        <w:rPr>
          <w:rFonts w:ascii="Consolas" w:hAnsi="Consolas"/>
          <w:color w:val="0A5560"/>
          <w:sz w:val="20"/>
          <w:szCs w:val="20"/>
        </w:rPr>
        <w:t xml:space="preserve">CopperState_Documents</w:t>
      </w:r>
      <w:r>
        <w:t xml:space="preserve">).</w:t>
      </w:r>
    </w:p>
    <w:p>
      <w:pPr>
        <w:pStyle w:val="Heading2"/>
      </w:pPr>
      <w:r>
        <w:t xml:space="preserve">Step 2 — Register the sources in PDC</w:t>
      </w:r>
    </w:p>
    <w:p>
      <w:pPr>
        <w:spacing w:after="120"/>
      </w:pPr>
      <w:r>
        <w:t xml:space="preserve">Use the app's </w:t>
      </w:r>
      <w:r>
        <w:rPr>
          <w:b/>
          <w:bCs/>
        </w:rPr>
        <w:t xml:space="preserve">bulk loader</w:t>
      </w:r>
      <w:r>
        <w:t xml:space="preserve"> (Connections → Bulk-load data sources) with </w:t>
      </w:r>
      <w:r>
        <w:rPr>
          <w:rFonts w:ascii="Consolas" w:hAnsi="Consolas"/>
          <w:color w:val="0A5560"/>
          <w:sz w:val="20"/>
          <w:szCs w:val="20"/>
        </w:rPr>
        <w:t xml:space="preserve">data_sources/CSCU/cscu-datasources.csv</w:t>
      </w:r>
      <w:r>
        <w:t xml:space="preserve">, or create the two sources by hand. Then run </w:t>
      </w:r>
      <w:r>
        <w:rPr>
          <w:b/>
          <w:bCs/>
        </w:rPr>
        <w:t xml:space="preserve">Metadata Ingest → Profile → Data Identification</w:t>
      </w:r>
      <w:r>
        <w:t xml:space="preserve"> in PDC, and click </w:t>
      </w:r>
      <w:r>
        <w:rPr>
          <w:b/>
          <w:bCs/>
        </w:rPr>
        <w:t xml:space="preserve">Scan Files</w:t>
      </w:r>
      <w:r>
        <w:t xml:space="preserve"> on the document store. (Identify </w:t>
      </w:r>
      <w:r>
        <w:rPr>
          <w:i/>
          <w:iCs/>
        </w:rPr>
        <w:t xml:space="preserve">once</w:t>
      </w:r>
      <w:r>
        <w:t xml:space="preserve"> — the steward's overrides come later and must not be clobbered.)</w:t>
      </w:r>
    </w:p>
    <w:p>
      <w:pPr>
        <w:pStyle w:val="Heading2"/>
      </w:pPr>
      <w:r>
        <w:t xml:space="preserve">Step 3 — Install the scenario and start the app</w:t>
      </w:r>
    </w:p>
    <w:p>
      <w:pPr>
        <w:spacing w:after="120"/>
      </w:pPr>
      <w:r>
        <w:t xml:space="preserve">Unzip </w:t>
      </w:r>
      <w:r>
        <w:rPr>
          <w:rFonts w:ascii="Consolas" w:hAnsi="Consolas"/>
          <w:color w:val="0A5560"/>
          <w:sz w:val="20"/>
          <w:szCs w:val="20"/>
        </w:rPr>
        <w:t xml:space="preserve">cscu-domain-pack.zip</w:t>
      </w:r>
      <w:r>
        <w:t xml:space="preserve"> into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 (this drops </w:t>
      </w:r>
      <w:r>
        <w:rPr>
          <w:rFonts w:ascii="Consolas" w:hAnsi="Consolas"/>
          <w:color w:val="0A5560"/>
          <w:sz w:val="20"/>
          <w:szCs w:val="20"/>
        </w:rPr>
        <w:t xml:space="preserve">domain_pack.json</w:t>
      </w:r>
      <w:r>
        <w:t xml:space="preserve"> and the </w:t>
      </w:r>
      <w:r>
        <w:rPr>
          <w:rFonts w:ascii="Consolas" w:hAnsi="Consolas"/>
          <w:color w:val="0A5560"/>
          <w:sz w:val="20"/>
          <w:szCs w:val="20"/>
        </w:rPr>
        <w:t xml:space="preserve">people.json</w:t>
      </w:r>
      <w:r>
        <w:t xml:space="preserve"> steward roster), delete any previous </w:t>
      </w:r>
      <w:r>
        <w:rPr>
          <w:rFonts w:ascii="Consolas" w:hAnsi="Consolas"/>
          <w:color w:val="0A5560"/>
          <w:sz w:val="20"/>
          <w:szCs w:val="20"/>
        </w:rPr>
        <w:t xml:space="preserve">tag_dictionary.json</w:t>
      </w:r>
      <w:r>
        <w:t xml:space="preserve">, then </w:t>
      </w:r>
      <w:r>
        <w:rPr>
          <w:rFonts w:ascii="Consolas" w:hAnsi="Consolas"/>
          <w:color w:val="0A5560"/>
          <w:sz w:val="20"/>
          <w:szCs w:val="20"/>
        </w:rPr>
        <w:t xml:space="preserve">./run.sh</w:t>
      </w:r>
      <w:r>
        <w:t xml:space="preserve">. Confirm on </w:t>
      </w:r>
      <w:r>
        <w:rPr>
          <w:rFonts w:ascii="Consolas" w:hAnsi="Consolas"/>
          <w:color w:val="0A5560"/>
          <w:sz w:val="20"/>
          <w:szCs w:val="20"/>
        </w:rPr>
        <w:t xml:space="preserve">/config</w:t>
      </w:r>
      <w:r>
        <w:t xml:space="preserve"> that </w:t>
      </w:r>
      <w:r>
        <w:rPr>
          <w:rFonts w:ascii="Consolas" w:hAnsi="Consolas"/>
          <w:color w:val="0A5560"/>
          <w:sz w:val="20"/>
          <w:szCs w:val="20"/>
        </w:rPr>
        <w:t xml:space="preserve">GLOSSARY_COMPANY=Copper State Credit Union</w:t>
      </w:r>
      <w:r>
        <w:t xml:space="preserve">.</w:t>
      </w:r>
    </w:p>
    <w:p>
      <w:pPr>
        <w:pStyle w:val="Heading2"/>
      </w:pPr>
      <w:r>
        <w:t xml:space="preserve">Step 4 — Scan &amp; review</w:t>
      </w:r>
    </w:p>
    <w:p>
      <w:pPr>
        <w:spacing w:after="120"/>
      </w:pPr>
      <w:r>
        <w:t xml:space="preserve">Connect to </w:t>
      </w:r>
      <w:r>
        <w:rPr>
          <w:rFonts w:ascii="Consolas" w:hAnsi="Consolas"/>
          <w:color w:val="0A5560"/>
          <w:sz w:val="20"/>
          <w:szCs w:val="20"/>
        </w:rPr>
        <w:t xml:space="preserve">cscu_core</w:t>
      </w:r>
      <w:r>
        <w:t xml:space="preserve"> (schema </w:t>
      </w:r>
      <w:r>
        <w:rPr>
          <w:rFonts w:ascii="Consolas" w:hAnsi="Consolas"/>
          <w:color w:val="0A5560"/>
          <w:sz w:val="20"/>
          <w:szCs w:val="20"/>
        </w:rPr>
        <w:t xml:space="preserve">cscu_core</w:t>
      </w:r>
      <w:r>
        <w:t xml:space="preserve">, read-only </w:t>
      </w:r>
      <w:r>
        <w:rPr>
          <w:rFonts w:ascii="Consolas" w:hAnsi="Consolas"/>
          <w:color w:val="0A5560"/>
          <w:sz w:val="20"/>
          <w:szCs w:val="20"/>
        </w:rPr>
        <w:t xml:space="preserve">pdc_user</w:t>
      </w:r>
      <w:r>
        <w:t xml:space="preserve">), </w:t>
      </w:r>
      <w:r>
        <w:rPr>
          <w:b/>
          <w:bCs/>
        </w:rPr>
        <w:t xml:space="preserve">Scan</w:t>
      </w:r>
      <w:r>
        <w:t xml:space="preserve">, then </w:t>
      </w:r>
      <w:r>
        <w:rPr>
          <w:b/>
          <w:bCs/>
        </w:rPr>
        <w:t xml:space="preserve">Add to glossary</w:t>
      </w:r>
      <w:r>
        <w:t xml:space="preserve"> from the MinIO bucket so one glossary spans both sources. On the review grid: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 the expansions: </w:t>
      </w:r>
      <w:r>
        <w:rPr>
          <w:rFonts w:ascii="Consolas" w:hAnsi="Consolas"/>
          <w:color w:val="0A5560"/>
          <w:sz w:val="20"/>
          <w:szCs w:val="20"/>
        </w:rPr>
        <w:t xml:space="preserve">mbr_since_dt</w:t>
      </w:r>
      <w:r>
        <w:t xml:space="preserve"> → </w:t>
      </w:r>
      <w:r>
        <w:rPr>
          <w:i/>
          <w:iCs/>
        </w:rPr>
        <w:t xml:space="preserve">Member Since Date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apr_rt</w:t>
      </w:r>
      <w:r>
        <w:t xml:space="preserve"> → </w:t>
      </w:r>
      <w:r>
        <w:rPr>
          <w:i/>
          <w:iCs/>
        </w:rPr>
        <w:t xml:space="preserve">APR Rate</w:t>
      </w:r>
      <w:r>
        <w:t xml:space="preserve">. Edit anything weak.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sensitivity: </w:t>
      </w:r>
      <w:r>
        <w:rPr>
          <w:rFonts w:ascii="Consolas" w:hAnsi="Consolas"/>
          <w:color w:val="0A5560"/>
          <w:sz w:val="20"/>
          <w:szCs w:val="20"/>
        </w:rPr>
        <w:t xml:space="preserve">ssn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card_no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acct_no</w:t>
      </w:r>
      <w:r>
        <w:t xml:space="preserve"> must be HIGH. The profiler and the pack's sensitivity floors should already say so — verify, don't trust.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Find the planted violation:</w:t>
      </w:r>
      <w:r>
        <w:t xml:space="preserve"> </w:t>
      </w:r>
      <w:r>
        <w:rPr>
          <w:rFonts w:ascii="Consolas" w:hAnsi="Consolas"/>
          <w:color w:val="0A5560"/>
          <w:sz w:val="20"/>
          <w:szCs w:val="20"/>
        </w:rPr>
        <w:t xml:space="preserve">cvv_cd</w:t>
      </w:r>
      <w:r>
        <w:t xml:space="preserve"> on </w:t>
      </w:r>
      <w:r>
        <w:rPr>
          <w:rFonts w:ascii="Consolas" w:hAnsi="Consolas"/>
          <w:color w:val="0A5560"/>
          <w:sz w:val="20"/>
          <w:szCs w:val="20"/>
        </w:rPr>
        <w:t xml:space="preserve">cards</w:t>
      </w:r>
      <w:r>
        <w:t xml:space="preserve">. Its column comment and the PCI attestation PDF both flag it. Keep the term, set sensitivity HIGH, tag </w:t>
      </w:r>
      <w:r>
        <w:rPr>
          <w:rFonts w:ascii="Consolas" w:hAnsi="Consolas"/>
          <w:color w:val="0A5560"/>
          <w:sz w:val="20"/>
          <w:szCs w:val="20"/>
        </w:rPr>
        <w:t xml:space="preserve">pci</w:t>
      </w:r>
      <w:r>
        <w:t xml:space="preserve">, and note the remediation in the definition — the glossary is where the finding becomes visible to everyone.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 the tags the CSCU pack derived: </w:t>
      </w:r>
      <w:r>
        <w:rPr>
          <w:rFonts w:ascii="Consolas" w:hAnsi="Consolas"/>
          <w:color w:val="0A5560"/>
          <w:sz w:val="20"/>
          <w:szCs w:val="20"/>
        </w:rPr>
        <w:t xml:space="preserve">ach_rte_no</w:t>
      </w:r>
      <w:r>
        <w:t xml:space="preserve"> → </w:t>
      </w:r>
      <w:r>
        <w:rPr>
          <w:rFonts w:ascii="Consolas" w:hAnsi="Consolas"/>
          <w:color w:val="0A5560"/>
          <w:sz w:val="20"/>
          <w:szCs w:val="20"/>
        </w:rPr>
        <w:t xml:space="preserve">payments · ach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risk_rating_cd</w:t>
      </w:r>
      <w:r>
        <w:t xml:space="preserve"> → </w:t>
      </w:r>
      <w:r>
        <w:rPr>
          <w:rFonts w:ascii="Consolas" w:hAnsi="Consolas"/>
          <w:color w:val="0A5560"/>
          <w:sz w:val="20"/>
          <w:szCs w:val="20"/>
        </w:rPr>
        <w:t xml:space="preserve">compliance · aml</w:t>
      </w:r>
      <w:r>
        <w:t xml:space="preserve">, statements folder → </w:t>
      </w:r>
      <w:r>
        <w:rPr>
          <w:rFonts w:ascii="Consolas" w:hAnsi="Consolas"/>
          <w:color w:val="0A5560"/>
          <w:sz w:val="20"/>
          <w:szCs w:val="20"/>
        </w:rPr>
        <w:t xml:space="preserve">statement · records</w:t>
      </w:r>
      <w:r>
        <w:t xml:space="preserve">. A bare </w:t>
      </w:r>
      <w:r>
        <w:rPr>
          <w:rFonts w:ascii="Consolas" w:hAnsi="Consolas"/>
          <w:color w:val="0A5560"/>
          <w:sz w:val="20"/>
          <w:szCs w:val="20"/>
        </w:rPr>
        <w:t xml:space="preserve">document</w:t>
      </w:r>
      <w:r>
        <w:t xml:space="preserve"> tag means a vocabulary gap — extend the pack, don't hand-edit. Tags are standardised </w:t>
      </w:r>
      <w:r>
        <w:rPr>
          <w:b/>
          <w:bCs/>
        </w:rPr>
        <w:t xml:space="preserve">lower-case</w:t>
      </w:r>
      <w:r>
        <w:t xml:space="preserve"> (</w:t>
      </w:r>
      <w:r>
        <w:rPr>
          <w:rFonts w:ascii="Consolas" w:hAnsi="Consolas"/>
          <w:color w:val="0A5560"/>
          <w:sz w:val="20"/>
          <w:szCs w:val="20"/>
        </w:rPr>
        <w:t xml:space="preserve">pci</w:t>
      </w:r>
      <w:r>
        <w:t xml:space="preserve">, never </w:t>
      </w:r>
      <w:r>
        <w:rPr>
          <w:rFonts w:ascii="Consolas" w:hAnsi="Consolas"/>
          <w:color w:val="0A5560"/>
          <w:sz w:val="20"/>
          <w:szCs w:val="20"/>
        </w:rPr>
        <w:t xml:space="preserve">PCI</w:t>
      </w:r>
      <w:r>
        <w:t xml:space="preserve">) — they are search facets in PDC, and case variants would fragment the facet.</w:t>
      </w:r>
    </w:p>
    <w:p>
      <w:pPr>
        <w:pStyle w:val="Heading2"/>
      </w:pPr>
      <w:r>
        <w:t xml:space="preserve">Step 4a — Put the agents to work</w:t>
      </w:r>
    </w:p>
    <w:p>
      <w:pPr>
        <w:spacing w:after="120"/>
      </w:pPr>
      <w:r>
        <w:t xml:space="preserve">The grid carries a set of local AI agents. They share one contract: the deterministic rules run first, the model only adds judgment, every proposal is guardrailed to the governed vocabulary, and </w:t>
      </w:r>
      <w:r>
        <w:rPr>
          <w:b/>
          <w:bCs/>
        </w:rPr>
        <w:t xml:space="preserve">nothing applies itself</w:t>
      </w:r>
      <w:r>
        <w:t xml:space="preserve"> — you click.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AI suggest (evidence)</w:t>
      </w:r>
      <w:r>
        <w:t xml:space="preserve"> — the model reads each row's </w:t>
      </w:r>
      <w:r>
        <w:rPr>
          <w:i/>
          <w:iCs/>
        </w:rPr>
        <w:t xml:space="preserve">scan evidence</w:t>
      </w:r>
      <w:r>
        <w:t xml:space="preserve"> (the induced value format such as </w:t>
      </w:r>
      <w:r>
        <w:rPr>
          <w:rFonts w:ascii="Consolas" w:hAnsi="Consolas"/>
          <w:color w:val="0A5560"/>
          <w:sz w:val="20"/>
          <w:szCs w:val="20"/>
        </w:rPr>
        <w:t xml:space="preserve">^CSCU-\d{6}$</w:t>
      </w:r>
      <w:r>
        <w:t xml:space="preserve">, profiled reference values, PII class) and proposes the business name (as a suggestion chip), governed tags, and a tighten-only sensitivity.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Duplicate groups come with advice.</w:t>
      </w:r>
      <w:r>
        <w:t xml:space="preserve"> Every duplicate header now recommends </w:t>
      </w:r>
      <w:r>
        <w:rPr>
          <w:b/>
          <w:bCs/>
        </w:rPr>
        <w:t xml:space="preserve">Merge / Disambiguate / Keep separate</w:t>
      </w:r>
      <w:r>
        <w:t xml:space="preserve">, with the reason: a foreign key between the columns (same concept by construction), matching or conflicting induced formats, overlapping or disjoint code lists. </w:t>
      </w:r>
      <w:r>
        <w:rPr>
          <w:b/>
          <w:bCs/>
        </w:rPr>
        <w:t xml:space="preserve">AI advise</w:t>
      </w:r>
      <w:r>
        <w:t xml:space="preserve"> escalates the ambiguous groups — it samples live values from the member columns over your connection and compares the actual populations, then lets the model adjudicate whatever is still unclear.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AI QA definitions</w:t>
      </w:r>
      <w:r>
        <w:t xml:space="preserve"> — a linter (circular, vague, echoed, copy-pasted definitions) plus the model judging whether each definition actually explains the business meaning; flagged rows get a proposed rewrite you apply per row. Run it before Generate — checkpoints 2 and 3 are easier to defend with clean definitions.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AI categorize</w:t>
      </w:r>
      <w:r>
        <w:t xml:space="preserve"> — files any uncategorized terms into the known categories.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Find similar</w:t>
      </w:r>
      <w:r>
        <w:t xml:space="preserve"> — proposes same-concept merges across </w:t>
      </w:r>
      <w:r>
        <w:rPr>
          <w:i/>
          <w:iCs/>
        </w:rPr>
        <w:t xml:space="preserve">different</w:t>
      </w:r>
      <w:r>
        <w:t xml:space="preserve"> names (</w:t>
      </w:r>
      <w:r>
        <w:rPr>
          <w:rFonts w:ascii="Consolas" w:hAnsi="Consolas"/>
          <w:color w:val="0A5560"/>
          <w:sz w:val="20"/>
          <w:szCs w:val="20"/>
        </w:rPr>
        <w:t xml:space="preserve">phone</w:t>
      </w:r>
      <w:r>
        <w:t xml:space="preserve"> vs </w:t>
      </w:r>
      <w:r>
        <w:rPr>
          <w:rFonts w:ascii="Consolas" w:hAnsi="Consolas"/>
          <w:color w:val="0A5560"/>
          <w:sz w:val="20"/>
          <w:szCs w:val="20"/>
        </w:rPr>
        <w:t xml:space="preserve">cust_phone_no</w:t>
      </w:r>
      <w:r>
        <w:t xml:space="preserve">), and now reads the data evidence too: a shape match is marked </w:t>
      </w:r>
      <w:r>
        <w:rPr>
          <w:i/>
          <w:iCs/>
        </w:rPr>
        <w:t xml:space="preserve">strong</w:t>
      </w:r>
      <w:r>
        <w:t xml:space="preserve">, while look-alike names holding different data are flagged </w:t>
      </w:r>
      <w:r>
        <w:rPr>
          <w:b/>
          <w:bCs/>
        </w:rPr>
        <w:t xml:space="preserve">different concepts</w:t>
      </w:r>
      <w:r>
        <w:t xml:space="preserve"> with the merge withheld.</w:t>
      </w:r>
    </w:p>
    <w:p>
      <w:pPr>
        <w:pStyle w:val="Heading2"/>
      </w:pPr>
      <w:r>
        <w:t xml:space="preserve">Step 4b — Steward judgment lab: work the </w:t>
      </w:r>
      <w:r>
        <w:rPr>
          <w:i/>
          <w:iCs/>
        </w:rPr>
        <w:t xml:space="preserve">Find similar</w:t>
      </w:r>
      <w:r>
        <w:t xml:space="preserve"> list</w:t>
      </w:r>
    </w:p>
    <w:p>
      <w:pPr>
        <w:spacing w:after="120"/>
      </w:pPr>
      <w:r>
        <w:t xml:space="preserve">Run </w:t>
      </w:r>
      <w:r>
        <w:rPr>
          <w:b/>
          <w:bCs/>
        </w:rPr>
        <w:t xml:space="preserve">Find similar</w:t>
      </w:r>
      <w:r>
        <w:t xml:space="preserve"> with the threshold at its default </w:t>
      </w:r>
      <w:r>
        <w:rPr>
          <w:b/>
          <w:bCs/>
        </w:rPr>
        <w:t xml:space="preserve">0.60</w:t>
      </w:r>
      <w:r>
        <w:t xml:space="preserve"> and merge nothing yet. The point of this exercise: the advisor supplies </w:t>
      </w:r>
      <w:r>
        <w:rPr>
          <w:i/>
          <w:iCs/>
        </w:rPr>
        <w:t xml:space="preserve">evidence</w:t>
      </w:r>
      <w:r>
        <w:t xml:space="preserve">; the steward supplies </w:t>
      </w:r>
      <w:r>
        <w:rPr>
          <w:i/>
          <w:iCs/>
        </w:rPr>
        <w:t xml:space="preserve">meaning</w:t>
      </w:r>
      <w:r>
        <w:t xml:space="preserve"> — and at 0.60 the list deliberately contains both. Work it top-down: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The strong trio.</w:t>
      </w:r>
      <w:r>
        <w:t xml:space="preserve"> </w:t>
      </w:r>
      <w:r>
        <w:rPr>
          <w:rFonts w:ascii="Consolas" w:hAnsi="Consolas"/>
          <w:color w:val="0A5560"/>
          <w:sz w:val="20"/>
          <w:szCs w:val="20"/>
        </w:rPr>
        <w:t xml:space="preserve">Employee ID ← Manager Employee ID / Reviewer Employee ID / Filed By Employee ID</w:t>
      </w:r>
      <w:r>
        <w:t xml:space="preserve"> — each justified by a foreign key (</w:t>
      </w:r>
      <w:r>
        <w:rPr>
          <w:i/>
          <w:iCs/>
        </w:rPr>
        <w:t xml:space="preserve">"same concept by construction"</w:t>
      </w:r>
      <w:r>
        <w:t xml:space="preserve">). The FK proves the columns share a value domain: they all hold employee ids. Whether they are one </w:t>
      </w:r>
      <w:r>
        <w:rPr>
          <w:b/>
          <w:bCs/>
        </w:rPr>
        <w:t xml:space="preserve">term</w:t>
      </w:r>
      <w:r>
        <w:t xml:space="preserve"> is a policy decision the tool cannot make:</w:t>
      </w:r>
    </w:p>
    <w:p>
      <w:pPr>
        <w:pStyle w:val="ListParagraph"/>
        <w:numPr>
          <w:ilvl w:val="0"/>
          <w:numId w:val="2"/>
        </w:numPr>
        <w:ind w:left="1080"/>
        <w:spacing w:after="60"/>
      </w:pPr>
      <w:r>
        <w:rPr>
          <w:i/>
          <w:iCs/>
        </w:rPr>
        <w:t xml:space="preserve">One concept, many columns</w:t>
      </w:r>
      <w:r>
        <w:t xml:space="preserve"> (PDC-native): merge all three — the </w:t>
      </w:r>
      <w:r>
        <w:rPr>
          <w:rFonts w:ascii="Consolas" w:hAnsi="Consolas"/>
          <w:color w:val="0A5560"/>
          <w:sz w:val="20"/>
          <w:szCs w:val="20"/>
        </w:rPr>
        <w:t xml:space="preserve">mgr_emp_id</w:t>
      </w:r>
      <w:r>
        <w:t xml:space="preserve"> column simply links to </w:t>
      </w:r>
      <w:r>
        <w:rPr>
          <w:b/>
          <w:bCs/>
        </w:rPr>
        <w:t xml:space="preserve">Employee ID</w:t>
      </w:r>
      <w:r>
        <w:t xml:space="preserve">.</w:t>
      </w:r>
    </w:p>
    <w:p>
      <w:pPr>
        <w:pStyle w:val="ListParagraph"/>
        <w:numPr>
          <w:ilvl w:val="0"/>
          <w:numId w:val="2"/>
        </w:numPr>
        <w:ind w:left="1080"/>
        <w:spacing w:after="60"/>
      </w:pPr>
      <w:r>
        <w:rPr>
          <w:i/>
          <w:iCs/>
        </w:rPr>
        <w:t xml:space="preserve">Role-qualified terms</w:t>
      </w:r>
      <w:r>
        <w:t xml:space="preserve">: dismiss all three — </w:t>
      </w:r>
      <w:r>
        <w:rPr>
          <w:b/>
          <w:bCs/>
        </w:rPr>
        <w:t xml:space="preserve">Manager Employee ID</w:t>
      </w:r>
      <w:r>
        <w:t xml:space="preserve"> carries meaning ("who approves") the bare identifier doesn't.</w:t>
      </w:r>
    </w:p>
    <w:p>
      <w:pPr>
        <w:spacing w:after="120"/>
      </w:pPr>
      <w:r>
        <w:t xml:space="preserve">Either is defensible; deciding the three </w:t>
      </w:r>
      <w:r>
        <w:rPr>
          <w:b/>
          <w:bCs/>
        </w:rPr>
        <w:t xml:space="preserve">inconsistently</w:t>
      </w:r>
      <w:r>
        <w:t xml:space="preserve"> is not. Pick a policy, apply it to all three, record it in the surviving term's definition. If you merged, open the Dictionary page and run the </w:t>
      </w:r>
      <w:r>
        <w:rPr>
          <w:b/>
          <w:bCs/>
        </w:rPr>
        <w:t xml:space="preserve">AI fold advisor</w:t>
      </w:r>
      <w:r>
        <w:t xml:space="preserve"> so the governed vocabulary folds the same way — the grid and the vocabulary must tell one story.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The classic traps — dismiss each, and say why out loud:</w:t>
      </w:r>
      <w:r>
        <w:t xml:space="preserve"> </w:t>
      </w:r>
      <w:r>
        <w:rPr>
          <w:rFonts w:ascii="Consolas" w:hAnsi="Consolas"/>
          <w:color w:val="0A5560"/>
          <w:sz w:val="20"/>
          <w:szCs w:val="20"/>
        </w:rPr>
        <w:t xml:space="preserve">Balance Amount ← Available Balance Amount</w:t>
      </w:r>
      <w:r>
        <w:t xml:space="preserve"> (ledger vs available); </w:t>
      </w:r>
      <w:r>
        <w:rPr>
          <w:rFonts w:ascii="Consolas" w:hAnsi="Consolas"/>
          <w:color w:val="0A5560"/>
          <w:sz w:val="20"/>
          <w:szCs w:val="20"/>
        </w:rPr>
        <w:t xml:space="preserve">Account Number ← External Account Number</w:t>
      </w:r>
      <w:r>
        <w:t xml:space="preserve"> (ours vs the counterparty's); </w:t>
      </w:r>
      <w:r>
        <w:rPr>
          <w:rFonts w:ascii="Consolas" w:hAnsi="Consolas"/>
          <w:color w:val="0A5560"/>
          <w:sz w:val="20"/>
          <w:szCs w:val="20"/>
        </w:rPr>
        <w:t xml:space="preserve">Dr Amount ← Cr Amount</w:t>
      </w:r>
      <w:r>
        <w:t xml:space="preserve"> (opposites!); </w:t>
      </w:r>
      <w:r>
        <w:rPr>
          <w:rFonts w:ascii="Consolas" w:hAnsi="Consolas"/>
          <w:color w:val="0A5560"/>
          <w:sz w:val="20"/>
          <w:szCs w:val="20"/>
        </w:rPr>
        <w:t xml:space="preserve">Branch City ← Branch County</w:t>
      </w:r>
      <w:r>
        <w:t xml:space="preserve">; </w:t>
      </w:r>
      <w:r>
        <w:rPr>
          <w:rFonts w:ascii="Consolas" w:hAnsi="Consolas"/>
          <w:color w:val="0A5560"/>
          <w:sz w:val="20"/>
          <w:szCs w:val="20"/>
        </w:rPr>
        <w:t xml:space="preserve">KYC Status ← SAR Status</w:t>
      </w:r>
      <w:r>
        <w:t xml:space="preserve"> (different regulatory processes). High string similarity, different business meaning. </w:t>
      </w:r>
      <w:r>
        <w:rPr>
          <w:b/>
          <w:bCs/>
        </w:rPr>
        <w:t xml:space="preserve">Dismissing is the review</w:t>
      </w:r>
      <w:r>
        <w:t xml:space="preserve"> — each dismissal is a recorded decision the audit can defend.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The junk pair.</w:t>
      </w:r>
      <w:r>
        <w:t xml:space="preserve"> </w:t>
      </w:r>
      <w:r>
        <w:rPr>
          <w:rFonts w:ascii="Consolas" w:hAnsi="Consolas"/>
          <w:color w:val="0A5560"/>
          <w:sz w:val="20"/>
          <w:szCs w:val="20"/>
        </w:rPr>
        <w:t xml:space="preserve">June Debits ← June Credits</w:t>
      </w:r>
      <w:r>
        <w:t xml:space="preserve"> — neither merge nor dismiss: period-specific spreadsheet noise. Untick their </w:t>
      </w:r>
      <w:r>
        <w:rPr>
          <w:b/>
          <w:bCs/>
        </w:rPr>
        <w:t xml:space="preserve">Keep</w:t>
      </w:r>
      <w:r>
        <w:t xml:space="preserve"> boxes; they should never reach PDC at all.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t xml:space="preserve">Drag the </w:t>
      </w:r>
      <w:r>
        <w:rPr>
          <w:b/>
          <w:bCs/>
        </w:rPr>
        <w:t xml:space="preserve">threshold to ~0.75</w:t>
      </w:r>
      <w:r>
        <w:t xml:space="preserve"> and watch the noise fall away — that is the working setting for routine passes; 0.60 was the teaching setting.</w:t>
      </w:r>
    </w:p>
    <w:p>
      <w:pPr>
        <w:spacing w:after="120"/>
      </w:pPr>
      <w:r>
        <w:rPr>
          <w:b/>
          <w:bCs/>
        </w:rPr>
        <w:t xml:space="preserve">Checkpoint:</w:t>
      </w:r>
      <w:r>
        <w:t xml:space="preserve"> you dismissed more than you merged. A cohort that merges everything the advisor suggests has missed the lesson.</w:t>
      </w:r>
    </w:p>
    <w:p>
      <w:pPr>
        <w:pStyle w:val="Heading2"/>
      </w:pPr>
      <w:r>
        <w:t xml:space="preserve">Step 5 — Govern</w:t>
      </w:r>
    </w:p>
    <w:p>
      <w:pPr>
        <w:spacing w:after="120"/>
      </w:pPr>
      <w:r>
        <w:t xml:space="preserve">The roster is pre-seeded with the CSCU team, each steward carrying the expertise keywords the matcher uses. </w:t>
      </w:r>
      <w:r>
        <w:rPr>
          <w:b/>
          <w:bCs/>
        </w:rPr>
        <w:t xml:space="preserve">Auto-assign all slots</w:t>
      </w:r>
      <w:r>
        <w:t xml:space="preserve"> and verify the result: </w:t>
      </w:r>
      <w:r>
        <w:rPr>
          <w:i/>
          <w:iCs/>
        </w:rPr>
        <w:t xml:space="preserve">Elena Ramirez</w:t>
      </w:r>
      <w:r>
        <w:t xml:space="preserve"> stewards </w:t>
      </w:r>
      <w:r>
        <w:rPr>
          <w:b/>
          <w:bCs/>
        </w:rPr>
        <w:t xml:space="preserve">Member, Accounts &amp; Deposits, Transactions, Branch Operations</w:t>
      </w:r>
      <w:r>
        <w:t xml:space="preserve">; </w:t>
      </w:r>
      <w:r>
        <w:rPr>
          <w:i/>
          <w:iCs/>
        </w:rPr>
        <w:t xml:space="preserve">Marcus Webb</w:t>
      </w:r>
      <w:r>
        <w:t xml:space="preserve"> </w:t>
      </w:r>
      <w:r>
        <w:rPr>
          <w:b/>
          <w:bCs/>
        </w:rPr>
        <w:t xml:space="preserve">Lending, Finance &amp; Ledger</w:t>
      </w:r>
      <w:r>
        <w:t xml:space="preserve">; </w:t>
      </w:r>
      <w:r>
        <w:rPr>
          <w:i/>
          <w:iCs/>
        </w:rPr>
        <w:t xml:space="preserve">Nadia Flores</w:t>
      </w:r>
      <w:r>
        <w:t xml:space="preserve"> </w:t>
      </w:r>
      <w:r>
        <w:rPr>
          <w:b/>
          <w:bCs/>
        </w:rPr>
        <w:t xml:space="preserve">Compliance &amp; Risk, Records &amp; Documents</w:t>
      </w:r>
      <w:r>
        <w:t xml:space="preserve">; </w:t>
      </w:r>
      <w:r>
        <w:rPr>
          <w:i/>
          <w:iCs/>
        </w:rPr>
        <w:t xml:space="preserve">Tom Callahan</w:t>
      </w:r>
      <w:r>
        <w:t xml:space="preserve"> </w:t>
      </w:r>
      <w:r>
        <w:rPr>
          <w:b/>
          <w:bCs/>
        </w:rPr>
        <w:t xml:space="preserve">Cards &amp; Payments</w:t>
      </w:r>
      <w:r>
        <w:t xml:space="preserve">. Elena's Data Steward role fills the </w:t>
      </w:r>
      <w:r>
        <w:rPr>
          <w:b/>
          <w:bCs/>
        </w:rPr>
        <w:t xml:space="preserve">owner</w:t>
      </w:r>
      <w:r>
        <w:t xml:space="preserve"> slots, and </w:t>
      </w:r>
      <w:r>
        <w:rPr>
          <w:i/>
          <w:iCs/>
        </w:rPr>
        <w:t xml:space="preserve">Omar Haddad</w:t>
      </w:r>
      <w:r>
        <w:t xml:space="preserve"> (Data Storage Administrator) fills every </w:t>
      </w:r>
      <w:r>
        <w:rPr>
          <w:b/>
          <w:bCs/>
        </w:rPr>
        <w:t xml:space="preserve">custodian</w:t>
      </w:r>
      <w:r>
        <w:t xml:space="preserve"> slot — every pick shows its confidence and matched terms. Set ratings (Auto/DQ), review date, and status.</w:t>
      </w:r>
    </w:p>
    <w:p>
      <w:pPr>
        <w:pStyle w:val="Heading2"/>
      </w:pPr>
      <w:r>
        <w:t xml:space="preserve">Step 6 — Generate, import, resolve, apply</w:t>
      </w:r>
    </w:p>
    <w:p>
      <w:pPr>
        <w:spacing w:after="120"/>
      </w:pPr>
      <w:r>
        <w:rPr>
          <w:b/>
          <w:bCs/>
        </w:rPr>
        <w:t xml:space="preserve">Generate JSONL</w:t>
      </w:r>
      <w:r>
        <w:t xml:space="preserve"> (writes the Registry alongside), import it in PDC (</w:t>
      </w:r>
      <w:r>
        <w:rPr>
          <w:b/>
          <w:bCs/>
        </w:rPr>
        <w:t xml:space="preserve">Business Glossary → Actions → Import</w:t>
      </w:r>
      <w:r>
        <w:t xml:space="preserve">), </w:t>
      </w:r>
      <w:r>
        <w:rPr>
          <w:b/>
          <w:bCs/>
        </w:rPr>
        <w:t xml:space="preserve">Resolve term ids</w:t>
      </w:r>
      <w:r>
        <w:t xml:space="preserve">, then </w:t>
      </w:r>
      <w:r>
        <w:rPr>
          <w:b/>
          <w:bCs/>
        </w:rPr>
        <w:t xml:space="preserve">Apply to PDC</w:t>
      </w:r>
      <w:r>
        <w:t xml:space="preserve"> — dry-run first, always. Finish with the Trust Score rollup.</w:t>
      </w:r>
    </w:p>
    <w:p>
      <w:pPr>
        <w:pStyle w:val="Heading2"/>
      </w:pPr>
      <w:r>
        <w:t xml:space="preserve">Step 7 — Draft the Data Identification rules</w:t>
      </w:r>
    </w:p>
    <w:p>
      <w:pPr>
        <w:spacing w:after="120"/>
      </w:pPr>
      <w:r>
        <w:t xml:space="preserve">Still on the Govern page, click </w:t>
      </w:r>
      <w:r>
        <w:rPr>
          <w:b/>
          <w:bCs/>
        </w:rPr>
        <w:t xml:space="preserve">Draft policies (AI)</w:t>
      </w:r>
      <w:r>
        <w:t xml:space="preserve">. Every kept term whose scan produced a detection seed becomes a ready-to-import PDC rule: the induced </w:t>
      </w:r>
      <w:r>
        <w:rPr>
          <w:rFonts w:ascii="Consolas" w:hAnsi="Consolas"/>
          <w:color w:val="0A5560"/>
          <w:sz w:val="20"/>
          <w:szCs w:val="20"/>
        </w:rPr>
        <w:t xml:space="preserve">^CSCU-\d{6}$</w:t>
      </w:r>
      <w:r>
        <w:t xml:space="preserve"> becomes a </w:t>
      </w:r>
      <w:r>
        <w:rPr>
          <w:b/>
          <w:bCs/>
        </w:rPr>
        <w:t xml:space="preserve">Data Pattern</w:t>
      </w:r>
      <w:r>
        <w:t xml:space="preserve">, the profiled code lists (risk ratings, SAR statuses, …) become </w:t>
      </w:r>
      <w:r>
        <w:rPr>
          <w:b/>
          <w:bCs/>
        </w:rPr>
        <w:t xml:space="preserve">Dictionaries</w:t>
      </w:r>
      <w:r>
        <w:t xml:space="preserve"> with their values CSVs — one zip, with an INDEX. The AI agent polishes each rule's column-name hint and tag pick, guardrailed to the governed vocabulary. Review every rule, then import under </w:t>
      </w:r>
      <w:r>
        <w:rPr>
          <w:b/>
          <w:bCs/>
        </w:rPr>
        <w:t xml:space="preserve">Management → Data Identification</w:t>
      </w:r>
      <w:r>
        <w:t xml:space="preserve"> (the Technical Track's Module 03 teaches exactly what each field means).</w:t>
      </w:r>
    </w:p>
    <w:p>
      <w:pPr>
        <w:pStyle w:val="Heading1"/>
      </w:pPr>
      <w:r>
        <w:t xml:space="preserve">4. Checkpoints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Check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Evidence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11 tables + 18 documents scanned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Sources chip on the Glossary page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cvv_cd</w:t>
            </w:r>
            <w:r>
              <w:t xml:space="preserve"> flagged HIGH /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pci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review grid row + your note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SAR terms marked CDE, HIGH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suspicious_activity</w:t>
            </w:r>
            <w:r>
              <w:t xml:space="preserve"> terms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Tags all governed (no drift)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Dictionary page: 0 off-vocabulary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Stewards assigned per domain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Govern page slots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Registry written at export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registries/registry.&lt;glossary&gt;.json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Definition QA clean, policies drafted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QA panel empty · drafted-policies.zip</w:t>
            </w:r>
          </w:p>
        </w:tc>
      </w:tr>
    </w:tbl>
    <w:p>
      <w:pPr>
        <w:spacing w:after="120"/>
      </w:pPr>
    </w:p>
    <w:p>
      <w:pPr>
        <w:jc w:val="center"/>
        <w:spacing w:before="120" w:after="160"/>
      </w:pPr>
      <w:r>
        <w:drawing>
          <wp:inline xmlns:wp="http://schemas.openxmlformats.org/drawingml/2006/wordprocessingDrawing" distT="0" distB="0" distL="0" distR="0">
            <wp:extent cx="5760720" cy="3256059"/>
            <wp:docPr id="102" name="registry-spin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registry-spine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6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5. Where the story continues</w:t>
      </w:r>
    </w:p>
    <w:p>
      <w:pPr>
        <w:spacing w:after="120"/>
      </w:pPr>
      <w:r>
        <w:t xml:space="preserve">The Registry you just produced is the input contract for the </w:t>
      </w:r>
      <w:r>
        <w:rPr>
          <w:b/>
          <w:bCs/>
        </w:rPr>
        <w:t xml:space="preserve">Policy Generator</w:t>
      </w:r>
      <w:r>
        <w:t xml:space="preserve">. Its </w:t>
      </w:r>
      <w:r>
        <w:rPr>
          <w:i/>
          <w:iCs/>
        </w:rPr>
        <w:t xml:space="preserve">authoring</w:t>
      </w:r>
      <w:r>
        <w:t xml:space="preserve"> half already runs inside this app — </w:t>
      </w:r>
      <w:r>
        <w:rPr>
          <w:b/>
          <w:bCs/>
        </w:rPr>
        <w:t xml:space="preserve">Draft policies (AI)</w:t>
      </w:r>
      <w:r>
        <w:t xml:space="preserve"> turned your detection seeds into importable dictionaries and patterns in Step 7. The remaining half — binding the rules to reconciled term ids over the API and </w:t>
      </w:r>
      <w:r>
        <w:rPr>
          <w:b/>
          <w:bCs/>
        </w:rPr>
        <w:t xml:space="preserve">drift-checking</w:t>
      </w:r>
      <w:r>
        <w:t xml:space="preserve"> deployed methods against the Registry — is the separate Policy Generator session.</w:t>
      </w:r>
    </w:p>
    <w:p>
      <w:pPr>
        <w:spacing w:after="120"/>
      </w:pPr>
      <w:r>
        <w:rPr>
          <w:i/>
          <w:iCs/>
        </w:rPr>
        <w:t xml:space="preserve">All Copper State Credit Union data — members, accounts, transactions, SARs and documents —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App Workshop: Glossary Generator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  <w:num w:numId="100">
    <w:abstractNumId w:val="23"/>
    <w:lvlOverride w:ilvl="0">
      <w:startOverride w:val="1"/>
    </w:lvlOverride>
  </w:num>
  <w:num w:numId="101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Relationship Id="rId101" Type="http://schemas.openxmlformats.org/officeDocument/2006/relationships/image" Target="media/two-apps.png"/><Relationship Id="rId102" Type="http://schemas.openxmlformats.org/officeDocument/2006/relationships/image" Target="media/registry-spine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the Glossary with the Glossary Generator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