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MODULE 02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Data Identification: the Engine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How dictionaries and patterns combine into policies that tag CSCU's data — and where the steward takes over.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 / Admin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pStyle w:val="Heading1"/>
      </w:pPr>
      <w:r>
        <w:t xml:space="preserve">Why this matters</w:t>
      </w:r>
    </w:p>
    <w:p>
      <w:pPr>
        <w:spacing w:after="120"/>
      </w:pPr>
      <w:r>
        <w:t xml:space="preserve">Profiling tells you what your data looks like. Data Identification is the step that turns those profiling results into governance: it scans the profiled values, recognises what they are, and applies </w:t>
      </w:r>
      <w:r>
        <w:rPr>
          <w:b/>
          <w:bCs/>
        </w:rPr>
        <w:t xml:space="preserve">Tags</w:t>
      </w:r>
      <w:r>
        <w:t xml:space="preserve"> and </w:t>
      </w:r>
      <w:r>
        <w:rPr>
          <w:b/>
          <w:bCs/>
        </w:rPr>
        <w:t xml:space="preserve">Business Terms</w:t>
      </w:r>
      <w:r>
        <w:t xml:space="preserve"> automatically. It is how a raw column called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becomes a column the catalog knows is PII, Sensitive, and linked to the Email Address business term — without anyone tagging it by hand. Those tags are also what later business rules act on.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Remember.</w:t>
      </w:r>
      <w:r>
        <w:t xml:space="preserve"> Data Identification runs on </w:t>
      </w:r>
      <w:r>
        <w:rPr>
          <w:i/>
          <w:iCs/>
        </w:rPr>
        <w:t xml:space="preserve">profiled</w:t>
      </w:r>
      <w:r>
        <w:t xml:space="preserve"> data, so profiling must come first — a method can only match values it can see. And the Trust Score is computed </w:t>
      </w:r>
      <w:r>
        <w:rPr>
          <w:i/>
          <w:iCs/>
        </w:rPr>
        <w:t xml:space="preserve">last</w:t>
      </w:r>
      <w:r>
        <w:t xml:space="preserve">, after tags exist. The pipeline is: profiling → identification → business rules → Trust Score.</w:t>
      </w:r>
    </w:p>
    <w:p>
      <w:pPr>
        <w:pStyle w:val="Heading1"/>
      </w:pPr>
      <w:r>
        <w:t xml:space="preserve">Two methods, one goal</w:t>
      </w:r>
    </w:p>
    <w:p>
      <w:pPr>
        <w:spacing w:after="120"/>
      </w:pPr>
      <w:r>
        <w:t xml:space="preserve">Data Identification classifies each profiled column two complementary ways, then tags it. The two lenses catch different things, which is why you usually run both together.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Matches on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Good for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Dictionary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column's actual values, against predefined lists of known terms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account/transaction/status codes, branch names, NACHA return codes, custom vocabulary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Pattern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shape of the values, as a character-position signature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emails, SSNs, member and account numbers, routing numbers, card PANs — anything with a recognisable format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core equation: </w:t>
      </w:r>
      <w:r>
        <w:rPr>
          <w:b/>
          <w:bCs/>
        </w:rPr>
        <w:t xml:space="preserve">Data Dictionary + Pattern Analysis = a Data Identification Policy.</w:t>
      </w:r>
      <w:r>
        <w:t xml:space="preserve"> You select the methods that fit your data, run them as one job, and on every match the policy applies tags.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method selection — dictionaries and patterns as one policy</w:t>
      </w:r>
    </w:p>
    <w:p>
      <w:pPr>
        <w:pStyle w:val="Heading1"/>
      </w:pPr>
      <w:r>
        <w:t xml:space="preserve">Method 1 — Data Dictionaries</w:t>
      </w:r>
    </w:p>
    <w:p>
      <w:pPr>
        <w:spacing w:after="120"/>
      </w:pPr>
      <w:r>
        <w:t xml:space="preserve">A data dictionary is a collection of predefined terms and values. Unlike a glossary, it actively scans the actual column values and classifies the column by what it </w:t>
      </w:r>
      <w:r>
        <w:rPr>
          <w:i/>
          <w:iCs/>
        </w:rPr>
        <w:t xml:space="preserve">contains</w:t>
      </w:r>
      <w:r>
        <w:t xml:space="preserve">, not just its name — so it can identify data that names alone never reveal, such as a column of two-letter state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System-defined.</w:t>
      </w:r>
      <w:r>
        <w:t xml:space="preserve"> PDC ships with 95 built-in dictionaries — ISO country codes, currency symbols, standard classifications — ready to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User-defined.</w:t>
      </w:r>
      <w:r>
        <w:t xml:space="preserve"> Built for your business context. Authoring these — for CSCU's account types, transaction codes, risk ratings and NACHA return codes — is the work of Module 03, and 18 ready-made CSCU dictionaries ship with it.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Best practice — custom methods only in production.</w:t>
      </w:r>
      <w:r>
        <w:t xml:space="preserve"> The built-ins are useful for a first exploration (and the platform workshops demo them), but a governed identification program runs on </w:t>
      </w:r>
      <w:r>
        <w:rPr>
          <w:b/>
          <w:bCs/>
        </w:rPr>
        <w:t xml:space="preserve">custom dictionaries and patterns only</w:t>
      </w:r>
      <w:r>
        <w:t xml:space="preserve">: built-ins are opaque, unversioned, and change between PDC releases, so a tag stamped by one cannot be audited or diffed. A custom method is a reviewable artifact — its regex or value list came from profiled evidence, it lives in version control, and every change is tracked. At </w:t>
      </w:r>
      <w:r>
        <w:rPr>
          <w:b/>
          <w:bCs/>
        </w:rPr>
        <w:t xml:space="preserve">Select Methods</w:t>
      </w:r>
      <w:r>
        <w:t xml:space="preserve">, the production policy is simply: select only your own prefixed method set. Anything a built-in would have covered (SSNs, emails, phones, states) is authored as a custom method from a vetted canonical shape or curated list instead.</w:t>
      </w:r>
    </w:p>
    <w:p>
      <w:pPr>
        <w:pStyle w:val="Heading2"/>
      </w:pPr>
      <w:r>
        <w:t xml:space="preserve">The matching rule and confidence score</w:t>
      </w:r>
    </w:p>
    <w:p>
      <w:pPr>
        <w:spacing w:after="120"/>
      </w:pPr>
      <w:r>
        <w:t xml:space="preserve">Every dictionary carries a JSON rule. It computes a weighted confidence score, tests it against conditions, and — if they pass — applies tags. Condensed, the CSCU Transaction Types rule (</w:t>
      </w:r>
      <w:r>
        <w:rPr>
          <w:rFonts w:ascii="Consolas" w:hAnsi="Consolas"/>
          <w:color w:val="0A5560"/>
          <w:sz w:val="20"/>
          <w:szCs w:val="20"/>
        </w:rPr>
        <w:t xml:space="preserve">cscu_transaction_types_rule.json</w:t>
      </w:r>
      <w:r>
        <w:t xml:space="preserve">, Module 03) reads: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In plain language.</w:t>
      </w:r>
      <w:r>
        <w:t xml:space="preserve"> Confidence = value similarity × 0.8 + column-name hint × 0.2 (the regex </w:t>
      </w:r>
      <w:r>
        <w:rPr>
          <w:rFonts w:ascii="Consolas" w:hAnsi="Consolas"/>
          <w:color w:val="0A5560"/>
          <w:sz w:val="20"/>
          <w:szCs w:val="20"/>
        </w:rPr>
        <w:t xml:space="preserve">(?i)txn_?type|transaction_?type</w:t>
      </w:r>
      <w:r>
        <w:t xml:space="preserve"> scores the name). Fires when confidence ≥ 0.6 </w:t>
      </w:r>
      <w:r>
        <w:rPr>
          <w:b/>
          <w:bCs/>
        </w:rPr>
        <w:t xml:space="preserve">or</w:t>
      </w:r>
      <w:r>
        <w:t xml:space="preserve"> the metadata score alone ≥ 0.7. On a match it tags the column </w:t>
      </w:r>
      <w:r>
        <w:rPr>
          <w:b/>
          <w:bCs/>
        </w:rPr>
        <w:t xml:space="preserve">Transaction Type</w:t>
      </w:r>
      <w:r>
        <w:t xml:space="preserve"> and assigns the business term </w:t>
      </w:r>
      <w:r>
        <w:rPr>
          <w:b/>
          <w:bCs/>
        </w:rPr>
        <w:t xml:space="preserve">Transaction Type Code</w:t>
      </w:r>
      <w:r>
        <w:t xml:space="preserve">. A low-cardinality enum like </w:t>
      </w:r>
      <w:r>
        <w:rPr>
          <w:rFonts w:ascii="Consolas" w:hAnsi="Consolas"/>
          <w:color w:val="0A5560"/>
          <w:sz w:val="20"/>
          <w:szCs w:val="20"/>
        </w:rPr>
        <w:t xml:space="preserve">txn_type_cd</w:t>
      </w:r>
      <w:r>
        <w:t xml:space="preserve"> (eight distinct values, all inside the list) scores near-perfect similarity — which is exactly why dictionaries are the right tool for code columns.</w:t>
      </w:r>
    </w:p>
    <w:p>
      <w:pPr>
        <w:pStyle w:val="Heading1"/>
      </w:pPr>
      <w:r>
        <w:t xml:space="preserve">Method 2 — Data Patterns</w:t>
      </w:r>
    </w:p>
    <w:p>
      <w:pPr>
        <w:spacing w:after="120"/>
      </w:pPr>
      <w:r>
        <w:t xml:space="preserve">Pattern analysis reduces each value to a signature — a character-by-character substitution that records where letters, digits, symbols and whitespace fall. It is dimensional reduction for text, and it is what lets PDC recognise a </w:t>
      </w:r>
      <w:r>
        <w:rPr>
          <w:i/>
          <w:iCs/>
        </w:rPr>
        <w:t xml:space="preserve">format</w:t>
      </w:r>
      <w:r>
        <w:t xml:space="preserve"> rather than a value.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Means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Means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lower-case letter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whitespace (space, tab)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upper-case letter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symbol  - / \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! $ % ^ &amp; *</w:t>
            </w:r>
          </w:p>
        </w:tc>
      </w:tr>
      <w:tr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digit 0–9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-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other / control character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Worked example.</w:t>
      </w:r>
      <w:r>
        <w:t xml:space="preserve"> A CSCU member number </w:t>
      </w:r>
      <w:r>
        <w:rPr>
          <w:rFonts w:ascii="Consolas" w:hAnsi="Consolas"/>
          <w:color w:val="0A5560"/>
          <w:sz w:val="20"/>
          <w:szCs w:val="20"/>
        </w:rPr>
        <w:t xml:space="preserve">CSCU-100501</w:t>
      </w:r>
      <w:r>
        <w:t xml:space="preserve"> reduces to </w:t>
      </w:r>
      <w:r>
        <w:rPr>
          <w:rFonts w:ascii="Consolas" w:hAnsi="Consolas"/>
          <w:color w:val="0A5560"/>
          <w:sz w:val="20"/>
          <w:szCs w:val="20"/>
        </w:rPr>
        <w:t xml:space="preserve">AAAA-nnnnnn</w:t>
      </w:r>
      <w:r>
        <w:t xml:space="preserve"> — four letters, a kept dash, six digits. An account number </w:t>
      </w:r>
      <w:r>
        <w:rPr>
          <w:rFonts w:ascii="Consolas" w:hAnsi="Consolas"/>
          <w:color w:val="0A5560"/>
          <w:sz w:val="20"/>
          <w:szCs w:val="20"/>
        </w:rPr>
        <w:t xml:space="preserve">ACC-00070001</w:t>
      </w:r>
      <w:r>
        <w:t xml:space="preserve"> reduces to </w:t>
      </w:r>
      <w:r>
        <w:rPr>
          <w:rFonts w:ascii="Consolas" w:hAnsi="Consolas"/>
          <w:color w:val="0A5560"/>
          <w:sz w:val="20"/>
          <w:szCs w:val="20"/>
        </w:rPr>
        <w:t xml:space="preserve">AAA-nnnnnnnn</w:t>
      </w:r>
      <w:r>
        <w:t xml:space="preserve">; a routing number </w:t>
      </w:r>
      <w:r>
        <w:rPr>
          <w:rFonts w:ascii="Consolas" w:hAnsi="Consolas"/>
          <w:color w:val="0A5560"/>
          <w:sz w:val="20"/>
          <w:szCs w:val="20"/>
        </w:rPr>
        <w:t xml:space="preserve">122100024</w:t>
      </w:r>
      <w:r>
        <w:t xml:space="preserve"> is simply </w:t>
      </w:r>
      <w:r>
        <w:rPr>
          <w:rFonts w:ascii="Consolas" w:hAnsi="Consolas"/>
          <w:color w:val="0A5560"/>
          <w:sz w:val="20"/>
          <w:szCs w:val="20"/>
        </w:rPr>
        <w:t xml:space="preserve">nnnnnnnnn</w:t>
      </w:r>
      <w:r>
        <w:t xml:space="preserve">. Significant symbols (a dash or underscore) can be kept verbatim, and case can optionally be tracked.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pattern signature illustration</w:t>
      </w:r>
    </w:p>
    <w:p>
      <w:pPr>
        <w:pStyle w:val="Heading2"/>
      </w:pPr>
      <w:r>
        <w:t xml:space="preserve">Position analysis, and from pattern to tag</w:t>
      </w:r>
    </w:p>
    <w:p>
      <w:pPr>
        <w:spacing w:after="120"/>
      </w:pPr>
      <w:r>
        <w:t xml:space="preserve">As values stream in, PDC tallies each recurring pattern and tracks the largest and smallest character seen at every position — revealing fixed prefixes (here, the </w:t>
      </w:r>
      <w:r>
        <w:rPr>
          <w:rFonts w:ascii="Consolas" w:hAnsi="Consolas"/>
          <w:color w:val="0A5560"/>
          <w:sz w:val="20"/>
          <w:szCs w:val="20"/>
        </w:rPr>
        <w:t xml:space="preserve">CSCU-</w:t>
      </w:r>
      <w:r>
        <w:t xml:space="preserve"> prefix) and how variable each position is, so it can propose tighter RegEx. The top ~20 patterns are kept and fed to three jobs at once: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RegEx generation</w:t>
      </w:r>
      <w:r>
        <w:t xml:space="preserve"> — an auto-built regular expression for the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identification</w:t>
      </w:r>
      <w:r>
        <w:t xml:space="preserve"> — a profiled column's </w:t>
      </w:r>
      <w:r>
        <w:rPr>
          <w:rFonts w:ascii="Consolas" w:hAnsi="Consolas"/>
          <w:color w:val="0A5560"/>
          <w:sz w:val="20"/>
          <w:szCs w:val="20"/>
        </w:rPr>
        <w:t xml:space="preserve">profilePattern</w:t>
      </w:r>
      <w:r>
        <w:t xml:space="preserve"> is compared, with a confidence score, to a predefined pattern; on a match it applies tags, exactly as a dictionary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Data-quality checks</w:t>
      </w:r>
      <w:r>
        <w:t xml:space="preserve"> — values that fall outside the accepted pattern surface as outliers, the candidate errors a DQ rule flags.</w:t>
      </w:r>
    </w:p>
    <w:p>
      <w:pPr>
        <w:pStyle w:val="Heading1"/>
      </w:pPr>
      <w:r>
        <w:t xml:space="preserve">Policies — combining the two</w:t>
      </w:r>
    </w:p>
    <w:p>
      <w:pPr>
        <w:spacing w:after="120"/>
      </w:pPr>
      <w:r>
        <w:t xml:space="preserve">Together, dictionaries and data patterns are called data identification policies. PDC ships many, spanning whole sectors — </w:t>
      </w:r>
      <w:r>
        <w:rPr>
          <w:b/>
          <w:bCs/>
        </w:rPr>
        <w:t xml:space="preserve">Finance</w:t>
      </w:r>
      <w:r>
        <w:t xml:space="preserve">, </w:t>
      </w:r>
      <w:r>
        <w:rPr>
          <w:b/>
          <w:bCs/>
        </w:rPr>
        <w:t xml:space="preserve">PCI-DSS</w:t>
      </w:r>
      <w:r>
        <w:t xml:space="preserve">, and </w:t>
      </w:r>
      <w:r>
        <w:rPr>
          <w:b/>
          <w:bCs/>
        </w:rPr>
        <w:t xml:space="preserve">Data Privacy</w:t>
      </w:r>
      <w:r>
        <w:t xml:space="preserve"> are the ones a credit union reaches for first. You select the methods relevant to your data and run them as one job. After a run, open the Galaxy View to visualise the tagging, follow the data flow, and locate sensitive data with its security and sensitivity at a glance.</w:t>
      </w:r>
    </w:p>
    <w:p>
      <w:pPr>
        <w:pStyle w:val="Heading1"/>
      </w:pPr>
      <w:r>
        <w:t xml:space="preserve">Running Data Identification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Open the Data Identification tile.</w:t>
      </w:r>
      <w:r>
        <w:t xml:space="preserve"> On a profiled table, choose Actions → Process, then the Data Identification card.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Select Methods.</w:t>
      </w:r>
      <w:r>
        <w:t xml:space="preserve"> Pick the dictionaries and data patterns that fit your data — together they form the policy.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Start, and track in Workers.</w:t>
      </w:r>
      <w:r>
        <w:t xml:space="preserve"> The job runs asynchronously; watch its progress on the Workers page.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Read the results in Data Canvas.</w:t>
      </w:r>
      <w:r>
        <w:t xml:space="preserve"> Matching columns are now tagged — for example PII and Sensitive — ready for search and governance.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identification results on members</w:t>
      </w:r>
    </w:p>
    <w:p>
      <w:pPr>
        <w:pStyle w:val="Heading1"/>
      </w:pPr>
      <w:r>
        <w:t xml:space="preserve">Data Identification in action — a simple CSCU policy</w:t>
      </w:r>
    </w:p>
    <w:p>
      <w:pPr>
        <w:spacing w:after="120"/>
      </w:pPr>
      <w:r>
        <w:t xml:space="preserve">You don't have to build anything to see this work. PDC's built-in Data Privacy policy already covers email and US ZIP. Run it on the Copper State Credit Union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 table and read what it applies.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matches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Tags applied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Sens.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members.email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 data pattern (regex value match) + name hint "email"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PII · Sensitive · term Email Address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members.zip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US ZIP pattern nnnnn / nnnnn-nnnn + name hint "zip"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PII · Location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members.ssn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SSN pattern nnn-nn-nnnn + name hint "ssn"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PII · Sensitive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Plus a table tag </w:t>
      </w:r>
      <w:r>
        <w:rPr>
          <w:b/>
          <w:bCs/>
        </w:rPr>
        <w:t xml:space="preserve">Contains_Personal_Data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. Each rule fires when confidence clears its threshold and cardinality is high enough, and the table's Sensitivity reflects the highest matched column. That is the whole loop: profiled values in, governed tags out — and those tags are exactly what a business rule reads next.</w:t>
      </w:r>
    </w:p>
    <w:p>
      <w:pPr>
        <w:pStyle w:val="Heading1"/>
      </w:pPr>
      <w:r>
        <w:t xml:space="preserve">From tags to business rules</w:t>
      </w:r>
    </w:p>
    <w:p>
      <w:pPr>
        <w:spacing w:after="120"/>
      </w:pPr>
      <w:r>
        <w:t xml:space="preserve">Identification is where governance starts, not where it ends. Once a column is recognised, a business rule can act on it. CSCU's flagship example lives right in the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 table.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CSCU-Marketing-OptOut-Compliance.</w:t>
      </w:r>
      <w:r>
        <w:t xml:space="preserve"> The schema carries a consent flag, </w:t>
      </w:r>
      <w:r>
        <w:rPr>
          <w:rFonts w:ascii="Consolas" w:hAnsi="Consolas"/>
          <w:color w:val="0A5560"/>
          <w:sz w:val="20"/>
          <w:szCs w:val="20"/>
        </w:rPr>
        <w:t xml:space="preserve">opted_out_marketing</w:t>
      </w:r>
      <w:r>
        <w:t xml:space="preserve"> — TRUE means the member has opted out of marketing and must not be contacted. Identification has already tagged </w:t>
      </w:r>
      <w:r>
        <w:rPr>
          <w:rFonts w:ascii="Consolas" w:hAnsi="Consolas"/>
          <w:color w:val="0A5560"/>
          <w:sz w:val="20"/>
          <w:szCs w:val="20"/>
        </w:rPr>
        <w:t xml:space="preserve">members.email</w:t>
      </w:r>
      <w:r>
        <w:t xml:space="preserve"> as PII. The business rule joins the two: no marketing email may be sent to any member whose opt-out flag is TRUE. And the data is seeded to test it — three opted-out members still hold a valid email address, which is precisely the violation the rule must catch (Workshop 4).</w:t>
      </w:r>
    </w:p>
    <w:p>
      <w:pPr>
        <w:spacing w:after="120"/>
      </w:pPr>
      <w:r>
        <w:t xml:space="preserve">And note what identification </w:t>
      </w:r>
      <w:r>
        <w:rPr>
          <w:i/>
          <w:iCs/>
        </w:rPr>
        <w:t xml:space="preserve">misses</w:t>
      </w:r>
      <w:r>
        <w:t xml:space="preserve">: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is a 3-digit column no generic method recognises. The failing PCI business rule (Workshop 4), the PCI attestation document, and the steward's review triangulate what the engine cannot see alone — engines baseline, stewards decide.</w:t>
      </w:r>
    </w:p>
    <w:p>
      <w:pPr>
        <w:pStyle w:val="Heading1"/>
      </w:pPr>
      <w:r>
        <w:t xml:space="preserve">Where the steward fits</w:t>
      </w:r>
    </w:p>
    <w:p>
      <w:pPr>
        <w:spacing w:after="120"/>
      </w:pPr>
      <w:r>
        <w:t xml:space="preserve">Identification is the </w:t>
      </w:r>
      <w:r>
        <w:rPr>
          <w:b/>
          <w:bCs/>
        </w:rPr>
        <w:t xml:space="preserve">baseline</w:t>
      </w:r>
      <w:r>
        <w:t xml:space="preserve">, not the verdict. Sensitivity conflicts resolve toward the identified value, but a steward override — applied through the Glossary Generator in Module 01 — wins last. Run identification </w:t>
      </w:r>
      <w:r>
        <w:rPr>
          <w:b/>
          <w:bCs/>
        </w:rPr>
        <w:t xml:space="preserve">once</w:t>
      </w:r>
      <w:r>
        <w:t xml:space="preserve">; re-running it after steward overrides clobbers their work.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Dictionaries match content</w:t>
      </w:r>
      <w:r>
        <w:t xml:space="preserve"> — known values, via a weighted confidence score and a cardinality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Patterns match shape</w:t>
      </w:r>
      <w:r>
        <w:t xml:space="preserve"> — a per-position signature that also generates RegEx and finds data-quality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Policies combine both</w:t>
      </w:r>
      <w:r>
        <w:t xml:space="preserve"> — selected methods, run as one job, on already-profiled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is governance</w:t>
      </w:r>
      <w:r>
        <w:t xml:space="preserve"> — Tags and Business Terms that feed Sensitivity, search, the Galaxy View, and the business rules that act on them.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Module 03 — Build Your Own CSCU Dictionary &amp; Pattern authors the methods behind this engine for CSCU's own member numbers, account codes, and compliance vocabulary — 18 dictionaries and 7 patterns ship ready-made.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The app drafts these now.</w:t>
      </w:r>
      <w:r>
        <w:t xml:space="preserve"> The Glossary Generator's </w:t>
      </w:r>
      <w:r>
        <w:rPr>
          <w:b/>
          <w:bCs/>
        </w:rPr>
        <w:t xml:space="preserve">Draft policies (AI)</w:t>
      </w:r>
      <w:r>
        <w:t xml:space="preserve"> button (Module 01) turns its scan's detection seeds — induced value regexes and profiled reference lists — into these same </w:t>
      </w:r>
      <w:r>
        <w:rPr>
          <w:rFonts w:ascii="Consolas" w:hAnsi="Consolas"/>
          <w:color w:val="0A5560"/>
          <w:sz w:val="20"/>
          <w:szCs w:val="20"/>
        </w:rPr>
        <w:t xml:space="preserve">patternsRules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dictionariesRules</w:t>
      </w:r>
      <w:r>
        <w:t xml:space="preserve"> files automatically. Module 03 is where you learn what every field means, so you can </w:t>
      </w:r>
      <w:r>
        <w:rPr>
          <w:i/>
          <w:iCs/>
        </w:rPr>
        <w:t xml:space="preserve">review and adjust</w:t>
      </w:r>
      <w:r>
        <w:t xml:space="preserve"> a draft instead of trusting it.</w:t>
      </w: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Technical Track — Module 02: Data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Identification: the Engine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