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60"/>
      </w:pPr>
      <w:r>
        <w:rPr>
          <w:rFonts w:ascii="Arial" w:hAnsi="Arial"/>
          <w:b/>
          <w:color w:val="244B5A"/>
          <w:sz w:val="18"/>
        </w:rPr>
        <w:t>PLAYBOOK TÉCNICO DE EXECUÇÃO</w:t>
      </w:r>
    </w:p>
    <w:p>
      <w:pPr>
        <w:pStyle w:val="Title"/>
      </w:pPr>
      <w:r>
        <w:t>Calibração de analisador</w:t>
        <w:br/>
        <w:t>cromatográfico on-line</w:t>
      </w:r>
    </w:p>
    <w:p>
      <w:pPr>
        <w:keepNext w:val="0"/>
        <w:spacing w:after="360"/>
      </w:pPr>
      <w:r>
        <w:rPr>
          <w:rFonts w:ascii="Arial" w:hAnsi="Arial"/>
          <w:b w:val="0"/>
          <w:color w:val="66717D"/>
          <w:sz w:val="22"/>
        </w:rPr>
        <w:t>Agilent 490 Micro GC  |  CAL-1211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232"/>
        <w:gridCol w:w="7876"/>
      </w:tblGrid>
      <w:tr>
        <w:tc>
          <w:tcPr>
            <w:tcW w:type="dxa" w:w="223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877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Objetivo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Executar e documentar a verificação/calibração do analisador com gás certificado, preservando a configuração e a rastreabilidade.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Escopo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Inspeção, baseline, conexão do gás, estabilização, corridas, avaliação, registro e retorno à operação. Não inclui reparo interno.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Condição operacional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A confirmar com Operação: medição congelada/transferida, fluxo de calibração liberado e intervenção autorizada.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Equipe de referência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1 técnico de medição + 1 técnico de laboratório (CAL-1211).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Duração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3 h de mão de obra (CAL-1211). A estabilização indicada no documento-base é de no mínimo 6 h; planejar a janela total.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Local / tag / nº de série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A preencher antes da execução.</w:t>
            </w:r>
          </w:p>
        </w:tc>
      </w:tr>
    </w:tbl>
    <w:p>
      <w:pPr>
        <w:pStyle w:val="Heading1"/>
      </w:pPr>
      <w:r>
        <w:t>Resultado final esperado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Analisador disponível, sem falhas críticas ou fatais ativas e com comunicação estável.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Resultados avaliados contra o método aprovado e os requisitos de confirmação metrológica.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Configuração original preservada ou alteração formalmente aprovada e registrada.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CROM-M-01, certificado do gás, dados brutos, cromatogramas e registro da ordem de serviço anexados.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2F4F5"/>
          <w:left w:val="single" w:sz="2" w:color="F2F4F5"/>
          <w:bottom w:val="single" w:sz="2" w:color="F2F4F5"/>
          <w:right w:val="single" w:sz="2" w:color="F2F4F5"/>
          <w:insideH w:val="single" w:sz="2" w:color="F2F4F5"/>
          <w:insideV w:val="single" w:sz="2" w:color="F2F4F5"/>
        </w:tblBorders>
      </w:tblPr>
      <w:tblGrid>
        <w:gridCol w:w="10109"/>
      </w:tblGrid>
      <w:tr>
        <w:tc>
          <w:tcPr>
            <w:tcW w:type="dxa" w:w="10340"/>
            <w:shd w:fill="F2F4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44B5A"/>
                <w:sz w:val="18"/>
              </w:rPr>
              <w:t>REGRA DE LIBERAÇÃO</w:t>
            </w:r>
          </w:p>
          <w:p>
            <w:pPr>
              <w:spacing w:after="0"/>
            </w:pPr>
            <w:r>
              <w:rPr>
                <w:rFonts w:ascii="Arial" w:hAnsi="Arial"/>
                <w:color w:val="1E2933"/>
                <w:sz w:val="17"/>
              </w:rPr>
              <w:t>Não iniciar sem identificar positivamente equipamento, método, gás de calibração, concentrações certificadas e critério de aceitação vigente.</w:t>
            </w:r>
          </w:p>
        </w:tc>
      </w:tr>
    </w:tbl>
    <w:p>
      <w:r>
        <w:br w:type="page"/>
      </w:r>
    </w:p>
    <w:p>
      <w:pPr>
        <w:keepNext w:val="0"/>
        <w:spacing w:after="60"/>
      </w:pPr>
      <w:r>
        <w:rPr>
          <w:rFonts w:ascii="Arial" w:hAnsi="Arial"/>
          <w:b/>
          <w:color w:val="244B5A"/>
          <w:sz w:val="18"/>
        </w:rPr>
        <w:t>ANEXO A</w:t>
      </w:r>
    </w:p>
    <w:p>
      <w:pPr>
        <w:pStyle w:val="Heading1"/>
      </w:pPr>
      <w:r>
        <w:t>Checklist de execução de campo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2F4F5"/>
          <w:left w:val="single" w:sz="2" w:color="F2F4F5"/>
          <w:bottom w:val="single" w:sz="2" w:color="F2F4F5"/>
          <w:right w:val="single" w:sz="2" w:color="F2F4F5"/>
          <w:insideH w:val="single" w:sz="2" w:color="F2F4F5"/>
          <w:insideV w:val="single" w:sz="2" w:color="F2F4F5"/>
        </w:tblBorders>
      </w:tblPr>
      <w:tblGrid>
        <w:gridCol w:w="10109"/>
      </w:tblGrid>
      <w:tr>
        <w:tc>
          <w:tcPr>
            <w:tcW w:type="dxa" w:w="10340"/>
            <w:shd w:fill="F2F4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44B5A"/>
                <w:sz w:val="18"/>
              </w:rPr>
              <w:t>INSTRUÇÃO DE USO</w:t>
            </w:r>
          </w:p>
          <w:p>
            <w:pPr>
              <w:spacing w:after="0"/>
            </w:pPr>
            <w:r>
              <w:rPr>
                <w:rFonts w:ascii="Arial" w:hAnsi="Arial"/>
                <w:color w:val="1E2933"/>
                <w:sz w:val="17"/>
              </w:rPr>
              <w:t>Preencher este anexo durante a atividade. Marcar cada item somente após confirmar o resultado e registrar a evidência correspondente. Itens não aplicáveis exigem justificativa.</w:t>
            </w:r>
          </w:p>
        </w:tc>
      </w:tr>
    </w:tbl>
    <w:p>
      <w:pPr>
        <w:pStyle w:val="Heading2"/>
      </w:pPr>
      <w:r>
        <w:t>A.1 Liberação e controle do trabalho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232"/>
        <w:gridCol w:w="7876"/>
      </w:tblGrid>
      <w:tr>
        <w:tc>
          <w:tcPr>
            <w:tcW w:type="dxa" w:w="223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7877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Execução técnica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Executar etapas, registrar baseline, dados e desvios.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Laboratório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Confirmar certificado, mistura, validade e rastreabilidade do gás.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Operação / liberação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Autorizar intervenção, congelamento/transferência e retorno ao serviço.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Supervisão técnica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Aprovar método, critérios, desvios e alterações.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Encerramento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Validar registros e fechar PT/WO conforme sistema local.</w:t>
            </w:r>
          </w:p>
        </w:tc>
      </w:tr>
    </w:tbl>
    <w:p>
      <w:pPr>
        <w:pStyle w:val="Heading2"/>
      </w:pPr>
      <w:r>
        <w:t>Pré-requisitos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160"/>
        <w:gridCol w:w="5112"/>
        <w:gridCol w:w="1800"/>
        <w:gridCol w:w="1036"/>
      </w:tblGrid>
      <w:tr>
        <w:tc>
          <w:tcPr>
            <w:tcW w:type="dxa" w:w="216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Verificação</w:t>
            </w:r>
          </w:p>
        </w:tc>
        <w:tc>
          <w:tcPr>
            <w:tcW w:type="dxa" w:w="511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Critério para prosseguir</w:t>
            </w:r>
          </w:p>
        </w:tc>
        <w:tc>
          <w:tcPr>
            <w:tcW w:type="dxa" w:w="180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Resp.</w:t>
            </w:r>
          </w:p>
        </w:tc>
        <w:tc>
          <w:tcPr>
            <w:tcW w:type="dxa" w:w="1037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PT e análise de risco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Emitidas, comunicadas e barreiras implantadas.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Liberação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Tag e configuração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Equipamento e canais confirmados no campo e no CDS.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Execução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Impacto da medição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Congelamento/transferência autorizado e partes informadas.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Operação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Gás de calibração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Certificado válido; componentes/faixas compatíveis com o método.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Laboratório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Gás de arraste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Tipo corresponde à configuração; suprimento seco e limpo.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Execução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Instrumentos de teste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Identificados, adequados e com calibração válida.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Execução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Backup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Método, fatores, integração e configuração exportados.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Execução</w:t>
            </w:r>
          </w:p>
        </w:tc>
        <w:tc>
          <w:tcPr>
            <w:tcW w:type="dxa" w:w="10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</w:tr>
    </w:tbl>
    <w:p>
      <w:pPr>
        <w:pStyle w:val="Heading2"/>
      </w:pPr>
      <w:r>
        <w:t>Riscos críticos e barreiras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376"/>
        <w:gridCol w:w="4896"/>
        <w:gridCol w:w="2836"/>
      </w:tblGrid>
      <w:tr>
        <w:tc>
          <w:tcPr>
            <w:tcW w:type="dxa" w:w="2376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Risco</w:t>
            </w:r>
          </w:p>
        </w:tc>
        <w:tc>
          <w:tcPr>
            <w:tcW w:type="dxa" w:w="4896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Barreira obrigatória</w:t>
            </w:r>
          </w:p>
        </w:tc>
        <w:tc>
          <w:tcPr>
            <w:tcW w:type="dxa" w:w="2837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Parar quando</w:t>
            </w:r>
          </w:p>
        </w:tc>
      </w:tr>
      <w:t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Gás inflamável / pressurizado</w:t>
            </w:r>
          </w:p>
        </w:tc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Ventilação, teste de vazamento, conexões compatíveis e controle da fonte.</w:t>
            </w:r>
          </w:p>
        </w:tc>
        <w:tc>
          <w:tcPr>
            <w:tcW w:type="dxa" w:w="28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Vazamento, atmosfera insegura ou pressão não controlada.</w:t>
            </w:r>
          </w:p>
        </w:tc>
      </w:tr>
      <w:t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Superfície quente</w:t>
            </w:r>
          </w:p>
        </w:tc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Confirmar temperatura antes de tocar linhas aquecidas.</w:t>
            </w:r>
          </w:p>
        </w:tc>
        <w:tc>
          <w:tcPr>
            <w:tcW w:type="dxa" w:w="28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Temperatura incompatível com a intervenção.</w:t>
            </w:r>
          </w:p>
        </w:tc>
      </w:tr>
      <w:t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Perda de medição</w:t>
            </w:r>
          </w:p>
        </w:tc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Autorização e comunicação contínua com Operação.</w:t>
            </w:r>
          </w:p>
        </w:tc>
        <w:tc>
          <w:tcPr>
            <w:tcW w:type="dxa" w:w="28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Comunicação perdida ou impacto não previsto.</w:t>
            </w:r>
          </w:p>
        </w:tc>
      </w:tr>
      <w:t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Alteração indevida</w:t>
            </w:r>
          </w:p>
        </w:tc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Backup e dupla verificação antes de aplicar método/fator.</w:t>
            </w:r>
          </w:p>
        </w:tc>
        <w:tc>
          <w:tcPr>
            <w:tcW w:type="dxa" w:w="28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Valor original ausente ou alteração não autorizada.</w:t>
            </w:r>
          </w:p>
        </w:tc>
      </w:tr>
    </w:tbl>
    <w:p>
      <w:r>
        <w:br w:type="page"/>
      </w:r>
    </w:p>
    <w:p>
      <w:pPr>
        <w:pStyle w:val="Heading1"/>
      </w:pPr>
      <w:r>
        <w:t>A.2 Recursos e baseline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72"/>
        <w:gridCol w:w="3816"/>
        <w:gridCol w:w="4420"/>
      </w:tblGrid>
      <w:tr>
        <w:tc>
          <w:tcPr>
            <w:tcW w:type="dxa" w:w="187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3816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Especificação mínima</w:t>
            </w:r>
          </w:p>
        </w:tc>
        <w:tc>
          <w:tcPr>
            <w:tcW w:type="dxa" w:w="4421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Finalidade / verificação</w:t>
            </w:r>
          </w:p>
        </w:tc>
      </w:tr>
      <w:tr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Laptop + CDS</w:t>
            </w:r>
          </w:p>
        </w:tc>
        <w:tc>
          <w:tcPr>
            <w:tcW w:type="dxa" w:w="38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Software e licença compatíveis; cabo/rede disponível.</w:t>
            </w:r>
          </w:p>
        </w:tc>
        <w:tc>
          <w:tcPr>
            <w:tcW w:type="dxa" w:w="44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Conectar, exportar backup e executar sequência.</w:t>
            </w:r>
          </w:p>
        </w:tc>
      </w:tr>
      <w:tr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Gás de calibração</w:t>
            </w:r>
          </w:p>
        </w:tc>
        <w:tc>
          <w:tcPr>
            <w:tcW w:type="dxa" w:w="38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Mistura certificada, dentro da validade e compatível com o método.</w:t>
            </w:r>
          </w:p>
        </w:tc>
        <w:tc>
          <w:tcPr>
            <w:tcW w:type="dxa" w:w="44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Conferir certificado, lote, pressão e concentrações.</w:t>
            </w:r>
          </w:p>
        </w:tc>
      </w:tr>
      <w:tr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Gás de arraste</w:t>
            </w:r>
          </w:p>
        </w:tc>
        <w:tc>
          <w:tcPr>
            <w:tcW w:type="dxa" w:w="38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He/H₂/N₂/Ar conforme configuração; pureza mín. 99,999%.</w:t>
            </w:r>
          </w:p>
        </w:tc>
        <w:tc>
          <w:tcPr>
            <w:tcW w:type="dxa" w:w="44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Pressão de entrada 550 ± 10 kPa (80 ± 1,5 psi), manual p. 21/33.</w:t>
            </w:r>
          </w:p>
        </w:tc>
      </w:tr>
      <w:tr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Regulador e linhas</w:t>
            </w:r>
          </w:p>
        </w:tc>
        <w:tc>
          <w:tcPr>
            <w:tcW w:type="dxa" w:w="38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Regulador de dois estágios; tubing metálico limpo para GC.</w:t>
            </w:r>
          </w:p>
        </w:tc>
        <w:tc>
          <w:tcPr>
            <w:tcW w:type="dxa" w:w="44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Não usar tubing plástico; testar vazamento.</w:t>
            </w:r>
          </w:p>
        </w:tc>
      </w:tr>
      <w:tr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Filtro externo</w:t>
            </w:r>
          </w:p>
        </w:tc>
        <w:tc>
          <w:tcPr>
            <w:tcW w:type="dxa" w:w="38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Elemento de 5 µm e conexões adequadas.</w:t>
            </w:r>
          </w:p>
        </w:tc>
        <w:tc>
          <w:tcPr>
            <w:tcW w:type="dxa" w:w="44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Conferir sentido, condição e ausência de umidade.</w:t>
            </w:r>
          </w:p>
        </w:tc>
      </w:tr>
      <w:tr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Registros</w:t>
            </w:r>
          </w:p>
        </w:tc>
        <w:tc>
          <w:tcPr>
            <w:tcW w:type="dxa" w:w="38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CROM-M-01, WO e meios para fotos/PDF.</w:t>
            </w:r>
          </w:p>
        </w:tc>
        <w:tc>
          <w:tcPr>
            <w:tcW w:type="dxa" w:w="44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Garantir rastreabilidade antes, durante e depois.</w:t>
            </w:r>
          </w:p>
        </w:tc>
      </w:tr>
    </w:tbl>
    <w:p>
      <w:pPr>
        <w:pStyle w:val="Heading2"/>
      </w:pPr>
      <w:r>
        <w:t>Registro da condição inicial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Fotografar equipamento, tag, cilindros, reguladores, conexões e posição das válvulas.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Registrar nº de série, canais, método ativo, versão de software/firmware, IP e estado da comunicação.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Exportar configuração, fatores de resposta, tabela de componentes, integração e último cromatograma válido.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Registrar LEDs, alarmes, pressões, temperaturas, fluxo selecionado e valores vistos no CDS/sistema de controle.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7"/>
        </w:rPr>
        <w:t>Inspecionar cabos, tubing, filtros, aterramento, ventilação e sinais de vazamento/condensação.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2F4F5"/>
          <w:left w:val="single" w:sz="2" w:color="F2F4F5"/>
          <w:bottom w:val="single" w:sz="2" w:color="F2F4F5"/>
          <w:right w:val="single" w:sz="2" w:color="F2F4F5"/>
          <w:insideH w:val="single" w:sz="2" w:color="F2F4F5"/>
          <w:insideV w:val="single" w:sz="2" w:color="F2F4F5"/>
        </w:tblBorders>
      </w:tblPr>
      <w:tblGrid>
        <w:gridCol w:w="10109"/>
      </w:tblGrid>
      <w:tr>
        <w:tc>
          <w:tcPr>
            <w:tcW w:type="dxa" w:w="10340"/>
            <w:shd w:fill="F2F4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44B5A"/>
                <w:sz w:val="18"/>
              </w:rPr>
              <w:t>BASELINE CONFIRMADA</w:t>
            </w:r>
          </w:p>
          <w:p>
            <w:pPr>
              <w:spacing w:after="0"/>
            </w:pPr>
            <w:r>
              <w:rPr>
                <w:rFonts w:ascii="Arial" w:hAnsi="Arial"/>
                <w:color w:val="1E2933"/>
                <w:sz w:val="17"/>
              </w:rPr>
              <w:t>☐ Identificação positiva  ☐ Backup legível  ☐ Condição registrada  ☐ Impacto operacional controlado  ☐ Autorização para prosseguir</w:t>
            </w:r>
          </w:p>
        </w:tc>
      </w:tr>
    </w:tbl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5054"/>
        <w:gridCol w:w="5054"/>
      </w:tblGrid>
      <w:tr>
        <w:tc>
          <w:tcPr>
            <w:tcW w:type="dxa" w:w="505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Vista frontal</w:t>
            </w:r>
          </w:p>
        </w:tc>
        <w:tc>
          <w:tcPr>
            <w:tcW w:type="dxa" w:w="505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Vista traseira</w:t>
            </w:r>
          </w:p>
        </w:tc>
      </w:tr>
      <w:tr>
        <w:tc>
          <w:tcPr>
            <w:tcW w:type="dxa" w:w="50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34640" cy="3020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fro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020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34640" cy="19565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bac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9565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after="0"/>
      </w:pPr>
      <w:r>
        <w:rPr>
          <w:rFonts w:ascii="Arial" w:hAnsi="Arial"/>
          <w:b w:val="0"/>
          <w:color w:val="66717D"/>
          <w:sz w:val="14"/>
        </w:rPr>
        <w:t>Figuras adaptadas do Agilent 490 Micro GC User Manual, p. 17–18.</w:t>
      </w:r>
    </w:p>
    <w:p>
      <w:r>
        <w:br w:type="page"/>
      </w:r>
    </w:p>
    <w:p>
      <w:pPr>
        <w:pStyle w:val="Heading1"/>
      </w:pPr>
      <w:r>
        <w:t>A.3 Execução passo a passo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403"/>
        <w:gridCol w:w="1670"/>
        <w:gridCol w:w="3311"/>
        <w:gridCol w:w="2232"/>
        <w:gridCol w:w="1800"/>
        <w:gridCol w:w="691"/>
      </w:tblGrid>
      <w:tr>
        <w:tc>
          <w:tcPr>
            <w:tcW w:type="dxa" w:w="403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#</w:t>
            </w:r>
          </w:p>
        </w:tc>
        <w:tc>
          <w:tcPr>
            <w:tcW w:type="dxa" w:w="167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Ação de campo</w:t>
            </w:r>
          </w:p>
        </w:tc>
        <w:tc>
          <w:tcPr>
            <w:tcW w:type="dxa" w:w="331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Como executar</w:t>
            </w:r>
          </w:p>
        </w:tc>
        <w:tc>
          <w:tcPr>
            <w:tcW w:type="dxa" w:w="223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Resultado / evidência</w:t>
            </w:r>
          </w:p>
        </w:tc>
        <w:tc>
          <w:tcPr>
            <w:tcW w:type="dxa" w:w="180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Parar quando</w:t>
            </w:r>
          </w:p>
        </w:tc>
        <w:tc>
          <w:tcPr>
            <w:tcW w:type="dxa" w:w="691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1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Confirmar liberação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Revisar PT, risco, tag, impacto e comunicação.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Autorização registrada.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Barreira ausente ou escopo divergente.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2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Validar o gás certificado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Conferir lote, validade, componentes, incertezas e concentrações contra o método.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Certificado anexado e compatibilidade confirmada.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Componente/faixa incompatível ou certificado inválido.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3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Confirmar o gás de arraste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Comparar tipo físico com configuração do CDS. Confirmar 550 ± 10 kPa e pureza mín. 99,999%.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Tipo, pressão e pureza registrados.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Tipo divergente, vazamento ou pressão instável.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4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Inspecionar a linha de amostra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Confirmar linha aberta/desobstruída, filtro correto, ausência de líquido e vent seguro.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Foto e inspeção registradas.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Obstrução, umidade/condensação ou descarga insegura.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5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Registrar e exportar o baseline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Salvar método, fatores, integração, alarmes e cromatograma anterior.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Pacote de backup recuperável.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Backup incompleto ou ilegível.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6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Conectar o laptop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Usar LAN/cabo autorizado; abrir a sessão on-line e confirmar instrumento/canais.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Comunicação estável e equipamento correto.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Conexão intermitente ou instrumento incorreto.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7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Selecionar o fluxo de calibração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Com Operação ciente, posicionar a seleção conforme P&amp;ID/método aprovado.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Fluxo correto confirmado por dois meios.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Posição duvidosa ou impacto não autorizado.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8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Estabilizar o sistema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Aplicar o método aprovado. Aguardar no mínimo 6 h conforme CAL-1211 e até o estado Ready/condições estáveis.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Tendências e horários de início/fim registrados.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Erro crítico/fatal ou instabilidade sem causa conhecida.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2F4F5"/>
          <w:left w:val="single" w:sz="2" w:color="F2F4F5"/>
          <w:bottom w:val="single" w:sz="2" w:color="F2F4F5"/>
          <w:right w:val="single" w:sz="2" w:color="F2F4F5"/>
          <w:insideH w:val="single" w:sz="2" w:color="F2F4F5"/>
          <w:insideV w:val="single" w:sz="2" w:color="F2F4F5"/>
        </w:tblBorders>
      </w:tblPr>
      <w:tblGrid>
        <w:gridCol w:w="10109"/>
      </w:tblGrid>
      <w:tr>
        <w:tc>
          <w:tcPr>
            <w:tcW w:type="dxa" w:w="10340"/>
            <w:shd w:fill="F2F4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44B5A"/>
                <w:sz w:val="18"/>
              </w:rPr>
              <w:t>HOLD POINT HP-01</w:t>
            </w:r>
          </w:p>
          <w:p>
            <w:pPr>
              <w:spacing w:after="0"/>
            </w:pPr>
            <w:r>
              <w:rPr>
                <w:rFonts w:ascii="Arial" w:hAnsi="Arial"/>
                <w:color w:val="1E2933"/>
                <w:sz w:val="17"/>
              </w:rPr>
              <w:t>Antes de executar corridas de calibração: confirmar baseline, certificado, fluxo correto, estabilidade e autorização da supervisão técnica.</w:t>
            </w:r>
          </w:p>
        </w:tc>
      </w:tr>
    </w:tbl>
    <w:p>
      <w:r>
        <w:br w:type="page"/>
      </w:r>
    </w:p>
    <w:p>
      <w:pPr>
        <w:pStyle w:val="Heading1"/>
      </w:pPr>
      <w:r>
        <w:t>A.3 Execução passo a passo — continuação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403"/>
        <w:gridCol w:w="1670"/>
        <w:gridCol w:w="3311"/>
        <w:gridCol w:w="2232"/>
        <w:gridCol w:w="1800"/>
        <w:gridCol w:w="691"/>
      </w:tblGrid>
      <w:tr>
        <w:tc>
          <w:tcPr>
            <w:tcW w:type="dxa" w:w="403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#</w:t>
            </w:r>
          </w:p>
        </w:tc>
        <w:tc>
          <w:tcPr>
            <w:tcW w:type="dxa" w:w="167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Ação de campo</w:t>
            </w:r>
          </w:p>
        </w:tc>
        <w:tc>
          <w:tcPr>
            <w:tcW w:type="dxa" w:w="331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Como executar</w:t>
            </w:r>
          </w:p>
        </w:tc>
        <w:tc>
          <w:tcPr>
            <w:tcW w:type="dxa" w:w="223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Resultado / evidência</w:t>
            </w:r>
          </w:p>
        </w:tc>
        <w:tc>
          <w:tcPr>
            <w:tcW w:type="dxa" w:w="180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Parar quando</w:t>
            </w:r>
          </w:p>
        </w:tc>
        <w:tc>
          <w:tcPr>
            <w:tcW w:type="dxa" w:w="691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9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Executar a sequência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Executar a sequência de calibração definida no método aprovado. Quando aplicável ao checkout, usar ao menos 3 corridas (manual p. 41).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Dados brutos e cromatogramas salvos.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Corrida abortada, pico não identificado ou condição fora do método.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10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Avaliar o cromatograma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Verificar baseline, retenção, integração, identificação e separação dos picos contra o método/histórico.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Avaliação por canal registrada.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Coeluição indevida, ruído/deriva ou identificação duvidosa.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11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Calcular o desempenho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Comparar resultado com valor certificado e calcular erro/repetibilidade pelo requisito metrológico vigente.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Planilha/relatório rastreável.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Critério ausente ou resultado reprovado.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12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Decidir sobre ajuste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Se aprovado, não alterar fatores. Se reprovado, diagnosticar antes de ajustar. Registrar valor original e obter autorização.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Decisão e justificativa registradas.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Causa desconhecida ou ajuste não autorizado.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13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Aplicar ajuste autorizado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Alterar somente o parâmetro aprovado; salvar versão anterior e nova.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Rastreabilidade antes/depois.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Alteração irreversível sem backup.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14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Repetir e validar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Executar nova sequência e reavaliar todos os canais/componentes afetados.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Resultado final dentro do critério aprovado.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Falha persistente ou efeito adverso em outro componente.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15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Restaurar a operação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Retornar fluxo, modo e interfaces conforme alinhamento com Operação. Confirmar valores coerentes.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Aceite da Operação registrado.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Alarme ativo, comunicação instável ou valor incoerente.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  <w:tr>
        <w:tc>
          <w:tcPr>
            <w:tcW w:type="dxa" w:w="4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16</w:t>
            </w:r>
          </w:p>
        </w:tc>
        <w:tc>
          <w:tcPr>
            <w:tcW w:type="dxa" w:w="167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Encerrar e anexar registros</w:t>
            </w:r>
          </w:p>
        </w:tc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Concluir CROM-M-01; anexar certificado, cromatogramas e PDF da calibração ao WO/AMOS.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Pacote final completo e pendências abertas.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Evidência ausente ou desvio sem tratamento.</w:t>
            </w:r>
          </w:p>
        </w:tc>
        <w:tc>
          <w:tcPr>
            <w:tcW w:type="dxa" w:w="69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2"/>
              </w:rPr>
              <w:t>☐</w:t>
            </w:r>
          </w:p>
        </w:tc>
      </w:tr>
    </w:tbl>
    <w:p>
      <w:pPr>
        <w:pStyle w:val="Heading2"/>
      </w:pPr>
      <w:r>
        <w:t>Conexão do filtro externo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114800" cy="35809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il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8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/>
      </w:pPr>
      <w:r>
        <w:rPr>
          <w:rFonts w:ascii="Arial" w:hAnsi="Arial"/>
          <w:b w:val="0"/>
          <w:color w:val="66717D"/>
          <w:sz w:val="14"/>
        </w:rPr>
        <w:t>No conjunto do manual: apertar manualmente e depois mais 1/8 de volta com chave 7/16 pol.; orientar a seta da parte fêmea para a conexão do Micro GC. Confirmar aplicabilidade à instalação local. Fonte: manual, p. 46.</w:t>
      </w:r>
    </w:p>
    <w:p>
      <w:r>
        <w:br w:type="page"/>
      </w:r>
    </w:p>
    <w:p>
      <w:pPr>
        <w:pStyle w:val="Heading1"/>
      </w:pPr>
      <w:r>
        <w:t>A.4 Hold points e aceitação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080"/>
        <w:gridCol w:w="3671"/>
        <w:gridCol w:w="3384"/>
        <w:gridCol w:w="1972"/>
      </w:tblGrid>
      <w:tr>
        <w:tc>
          <w:tcPr>
            <w:tcW w:type="dxa" w:w="108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Hold point</w:t>
            </w:r>
          </w:p>
        </w:tc>
        <w:tc>
          <w:tcPr>
            <w:tcW w:type="dxa" w:w="367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Condição</w:t>
            </w:r>
          </w:p>
        </w:tc>
        <w:tc>
          <w:tcPr>
            <w:tcW w:type="dxa" w:w="338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Evidência</w:t>
            </w:r>
          </w:p>
        </w:tc>
        <w:tc>
          <w:tcPr>
            <w:tcW w:type="dxa" w:w="1973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Autorização</w:t>
            </w:r>
          </w:p>
        </w:tc>
      </w:tr>
      <w:tr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HP-01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Baseline, gases, fluxo e estabilidade confirmados.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Checklist + certificado + backup.</w:t>
            </w:r>
          </w:p>
        </w:tc>
        <w:tc>
          <w:tcPr>
            <w:tcW w:type="dxa" w:w="197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Supervisão técnica</w:t>
            </w:r>
          </w:p>
        </w:tc>
      </w:tr>
      <w:tr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HP-02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Qualquer ajuste de fator, integração ou método.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Resultado reprovado + diagnóstico + valor original.</w:t>
            </w:r>
          </w:p>
        </w:tc>
        <w:tc>
          <w:tcPr>
            <w:tcW w:type="dxa" w:w="197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Aprovador de alteração</w:t>
            </w:r>
          </w:p>
        </w:tc>
      </w:tr>
      <w:tr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HP-03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Retorno ao fluxo de processo/automático.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Resultados finais + ausência de falha crítica.</w:t>
            </w:r>
          </w:p>
        </w:tc>
        <w:tc>
          <w:tcPr>
            <w:tcW w:type="dxa" w:w="197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Operação</w:t>
            </w:r>
          </w:p>
        </w:tc>
      </w:tr>
      <w:tr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HP-04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Encerramento da atividade.</w:t>
            </w:r>
          </w:p>
        </w:tc>
        <w:tc>
          <w:tcPr>
            <w:tcW w:type="dxa" w:w="33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CROM-M-01 e pacote de registros completo.</w:t>
            </w:r>
          </w:p>
        </w:tc>
        <w:tc>
          <w:tcPr>
            <w:tcW w:type="dxa" w:w="197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Responsável pelo encerramento</w:t>
            </w:r>
          </w:p>
        </w:tc>
      </w:tr>
    </w:tbl>
    <w:p>
      <w:pPr>
        <w:pStyle w:val="Heading2"/>
      </w:pPr>
      <w:r>
        <w:t>Critérios de aceitação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944"/>
        <w:gridCol w:w="5256"/>
        <w:gridCol w:w="2908"/>
      </w:tblGrid>
      <w:tr>
        <w:tc>
          <w:tcPr>
            <w:tcW w:type="dxa" w:w="194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5256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Critério</w:t>
            </w:r>
          </w:p>
        </w:tc>
        <w:tc>
          <w:tcPr>
            <w:tcW w:type="dxa" w:w="2909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Método / registro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Gás de calibração</w:t>
            </w:r>
          </w:p>
        </w:tc>
        <w:tc>
          <w:tcPr>
            <w:tcW w:type="dxa" w:w="52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Certificado válido e mistura compatível com o método.</w:t>
            </w:r>
          </w:p>
        </w:tc>
        <w:tc>
          <w:tcPr>
            <w:tcW w:type="dxa" w:w="29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Certificado e conferência do laboratório.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Condições do instrumento</w:t>
            </w:r>
          </w:p>
        </w:tc>
        <w:tc>
          <w:tcPr>
            <w:tcW w:type="dxa" w:w="52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Estado Ready e sem erro classe 2/3.</w:t>
            </w:r>
          </w:p>
        </w:tc>
        <w:tc>
          <w:tcPr>
            <w:tcW w:type="dxa" w:w="29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Status do CDS, LEDs e log de erros.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Cromatograma</w:t>
            </w:r>
          </w:p>
        </w:tc>
        <w:tc>
          <w:tcPr>
            <w:tcW w:type="dxa" w:w="52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Picos identificados, integrados e separados conforme método aprovado/histórico aceito.</w:t>
            </w:r>
          </w:p>
        </w:tc>
        <w:tc>
          <w:tcPr>
            <w:tcW w:type="dxa" w:w="29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Cromatogramas por canal.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Erro e repetibilidade</w:t>
            </w:r>
          </w:p>
        </w:tc>
        <w:tc>
          <w:tcPr>
            <w:tcW w:type="dxa" w:w="52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Critério a confirmar antes do início da atividade no Guia Técnico de Medição/método vigente.</w:t>
            </w:r>
          </w:p>
        </w:tc>
        <w:tc>
          <w:tcPr>
            <w:tcW w:type="dxa" w:w="29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Cálculo e relatório de confirmação metrológica.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Configuração</w:t>
            </w:r>
          </w:p>
        </w:tc>
        <w:tc>
          <w:tcPr>
            <w:tcW w:type="dxa" w:w="52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Original restaurada ou alteração formalmente aprovada e rastreada.</w:t>
            </w:r>
          </w:p>
        </w:tc>
        <w:tc>
          <w:tcPr>
            <w:tcW w:type="dxa" w:w="29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Comparativo de backup.</w:t>
            </w:r>
          </w:p>
        </w:tc>
      </w:tr>
      <w:tr>
        <w:tc>
          <w:tcPr>
            <w:tcW w:type="dxa" w:w="19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Retorno</w:t>
            </w:r>
          </w:p>
        </w:tc>
        <w:tc>
          <w:tcPr>
            <w:tcW w:type="dxa" w:w="52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Comunicação estável, valores coerentes e aceite da Operação.</w:t>
            </w:r>
          </w:p>
        </w:tc>
        <w:tc>
          <w:tcPr>
            <w:tcW w:type="dxa" w:w="29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Tendência, tela e assinatura/registro.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7ECEA"/>
          <w:left w:val="single" w:sz="2" w:color="F7ECEA"/>
          <w:bottom w:val="single" w:sz="2" w:color="F7ECEA"/>
          <w:right w:val="single" w:sz="2" w:color="F7ECEA"/>
          <w:insideH w:val="single" w:sz="2" w:color="F7ECEA"/>
          <w:insideV w:val="single" w:sz="2" w:color="F7ECEA"/>
        </w:tblBorders>
      </w:tblPr>
      <w:tblGrid>
        <w:gridCol w:w="10109"/>
      </w:tblGrid>
      <w:tr>
        <w:tc>
          <w:tcPr>
            <w:tcW w:type="dxa" w:w="10340"/>
            <w:shd w:fill="F7ECE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8A3B32"/>
                <w:sz w:val="18"/>
              </w:rPr>
              <w:t>STOP WORK</w:t>
            </w:r>
          </w:p>
          <w:p>
            <w:pPr>
              <w:spacing w:after="0"/>
            </w:pPr>
            <w:r>
              <w:rPr>
                <w:rFonts w:ascii="Arial" w:hAnsi="Arial"/>
                <w:color w:val="1E2933"/>
                <w:sz w:val="17"/>
              </w:rPr>
              <w:t>Interromper imediatamente diante de identificação duvidosa; condição diferente da prevista; pressão/temperatura/energia não controlada; atmosfera insegura; vazamento; perda de comunicação; divergência documental; instrumento de teste inadequado; resultado fora do limite sem causa conhecida; mudança de escopo; risco de dano; improvisação; ou ausência de responsável autorizado. Retomar somente após avaliar, registrar e autorizar formalmente.</w:t>
            </w:r>
          </w:p>
        </w:tc>
      </w:tr>
    </w:tbl>
    <w:p>
      <w:pPr>
        <w:pStyle w:val="Heading2"/>
      </w:pPr>
      <w:r>
        <w:t>Referência rápida de falhas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232"/>
        <w:gridCol w:w="7876"/>
      </w:tblGrid>
      <w:tr>
        <w:tc>
          <w:tcPr>
            <w:tcW w:type="dxa" w:w="223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Indicação</w:t>
            </w:r>
          </w:p>
        </w:tc>
        <w:tc>
          <w:tcPr>
            <w:tcW w:type="dxa" w:w="7877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Interpretação / resposta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Ready apagado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Sistema não pronto: verificar status do CDS, condições do método e estabilização.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Error piscando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Erro presente: consultar log e classificação. Não aceitar com classe 2/3.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Pressão baixa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Manual: abaixo de 35 kPa gera aviso; verificar suprimento. Não confundir com pressão de entrada especificada.</w:t>
            </w:r>
          </w:p>
        </w:tc>
      </w:tr>
      <w:t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Falha de calibração do TCD</w:t>
            </w:r>
          </w:p>
        </w:tc>
        <w:tc>
          <w:tcPr>
            <w:tcW w:type="dxa" w:w="787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5"/>
              </w:rPr>
              <w:t>Erro classe 2 no manual; interromper e encaminhar diagnóstico autorizado.</w:t>
            </w:r>
          </w:p>
        </w:tc>
      </w:tr>
    </w:tbl>
    <w:p>
      <w:r>
        <w:br w:type="page"/>
      </w:r>
    </w:p>
    <w:p>
      <w:pPr>
        <w:pStyle w:val="Heading1"/>
      </w:pPr>
      <w:r>
        <w:t>A.5 Diagnóstico e retorno à operação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800"/>
        <w:gridCol w:w="3456"/>
        <w:gridCol w:w="2232"/>
        <w:gridCol w:w="2620"/>
      </w:tblGrid>
      <w:tr>
        <w:tc>
          <w:tcPr>
            <w:tcW w:type="dxa" w:w="180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Sintoma</w:t>
            </w:r>
          </w:p>
        </w:tc>
        <w:tc>
          <w:tcPr>
            <w:tcW w:type="dxa" w:w="3456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Verificar primeiro</w:t>
            </w:r>
          </w:p>
        </w:tc>
        <w:tc>
          <w:tcPr>
            <w:tcW w:type="dxa" w:w="2232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Se normal</w:t>
            </w:r>
          </w:p>
        </w:tc>
        <w:tc>
          <w:tcPr>
            <w:tcW w:type="dxa" w:w="2621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Se anormal / bloqueio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Resultado deslocado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Certificado, unidade, componente, fluxo selecionado e integração.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Comparar retenção/fator com backup.</w:t>
            </w:r>
          </w:p>
        </w:tc>
        <w:tc>
          <w:tcPr>
            <w:tcW w:type="dxa" w:w="26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Corrigir somente identificação/configuração autorizada; bloquear se causa incerta.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Baixa repetibilidade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Pressão, vazamento, umidade, filtro, estabilidade e linha desobstruída.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Repetir sequência controlada.</w:t>
            </w:r>
          </w:p>
        </w:tc>
        <w:tc>
          <w:tcPr>
            <w:tcW w:type="dxa" w:w="26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Eliminar causa externa; não ajustar fator para mascarar instabilidade.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Pico ausente/coeluído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Mistura, canal, tabela de componentes, retenção e método.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Comparar com histórico e checkout.</w:t>
            </w:r>
          </w:p>
        </w:tc>
        <w:tc>
          <w:tcPr>
            <w:tcW w:type="dxa" w:w="26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Bloquear ajuste sem diagnóstico e aprovação.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Sem comunicação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Energia, LEDs, cabo, IP/sub-rede e sessão CDS.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Reconectar sem alterar configuração.</w:t>
            </w:r>
          </w:p>
        </w:tc>
        <w:tc>
          <w:tcPr>
            <w:tcW w:type="dxa" w:w="26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Bloquear reset de IP/reinicialização sem autorização.</w:t>
            </w:r>
          </w:p>
        </w:tc>
      </w:tr>
      <w:t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Error ativo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Classe, código, canal e hora no log.</w:t>
            </w:r>
          </w:p>
        </w:tc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Tratar conforme manual e repetir verificação.</w:t>
            </w:r>
          </w:p>
        </w:tc>
        <w:tc>
          <w:tcPr>
            <w:tcW w:type="dxa" w:w="26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Classe 2 para a corrida; classe 3 com shutdown: não prosseguir.</w:t>
            </w:r>
          </w:p>
        </w:tc>
      </w:tr>
    </w:tbl>
    <w:p>
      <w:pPr>
        <w:pStyle w:val="Heading2"/>
      </w:pPr>
      <w:r>
        <w:t>Checklist de retorno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503"/>
        <w:gridCol w:w="4550"/>
        <w:gridCol w:w="503"/>
        <w:gridCol w:w="4550"/>
      </w:tblGrid>
      <w:tr>
        <w:tc>
          <w:tcPr>
            <w:tcW w:type="dxa" w:w="50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☐</w:t>
            </w:r>
          </w:p>
        </w:tc>
        <w:tc>
          <w:tcPr>
            <w:tcW w:type="dxa" w:w="455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Confirmação</w:t>
            </w:r>
          </w:p>
        </w:tc>
        <w:tc>
          <w:tcPr>
            <w:tcW w:type="dxa" w:w="50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☐</w:t>
            </w:r>
          </w:p>
        </w:tc>
        <w:tc>
          <w:tcPr>
            <w:tcW w:type="dxa" w:w="455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Confirmação</w:t>
            </w:r>
          </w:p>
        </w:tc>
      </w:tr>
      <w:tr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Ferramentas e materiais removidos.</w:t>
            </w:r>
          </w:p>
        </w:tc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Tubing, tampas e conexões reinstalados.</w:t>
            </w:r>
          </w:p>
        </w:tc>
      </w:tr>
      <w:tr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Válvulas na posição autorizada.</w:t>
            </w:r>
          </w:p>
        </w:tc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Isolamentos removidos conforme liberação.</w:t>
            </w:r>
          </w:p>
        </w:tc>
      </w:tr>
      <w:tr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Parâmetros restaurados/aprovados.</w:t>
            </w:r>
          </w:p>
        </w:tc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Alarmes analisados e normalizados.</w:t>
            </w:r>
          </w:p>
        </w:tc>
      </w:tr>
      <w:tr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Comunicação estável.</w:t>
            </w:r>
          </w:p>
        </w:tc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Valores coerentes em campo/controle.</w:t>
            </w:r>
          </w:p>
        </w:tc>
      </w:tr>
      <w:tr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Operação informada e aceite registrado.</w:t>
            </w:r>
          </w:p>
        </w:tc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Área limpa; pendências registradas.</w:t>
            </w:r>
          </w:p>
        </w:tc>
      </w:tr>
      <w:tr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Evidências anexadas.</w:t>
            </w:r>
          </w:p>
        </w:tc>
        <w:tc>
          <w:tcPr>
            <w:tcW w:type="dxa" w:w="5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☐</w:t>
            </w:r>
          </w:p>
        </w:tc>
        <w:tc>
          <w:tcPr>
            <w:tcW w:type="dxa" w:w="4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Responsáveis e horários identificados.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F2F4F5"/>
          <w:left w:val="single" w:sz="2" w:color="F2F4F5"/>
          <w:bottom w:val="single" w:sz="2" w:color="F2F4F5"/>
          <w:right w:val="single" w:sz="2" w:color="F2F4F5"/>
          <w:insideH w:val="single" w:sz="2" w:color="F2F4F5"/>
          <w:insideV w:val="single" w:sz="2" w:color="F2F4F5"/>
        </w:tblBorders>
      </w:tblPr>
      <w:tblGrid>
        <w:gridCol w:w="10109"/>
      </w:tblGrid>
      <w:tr>
        <w:tc>
          <w:tcPr>
            <w:tcW w:type="dxa" w:w="10340"/>
            <w:shd w:fill="F2F4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44B5A"/>
                <w:sz w:val="18"/>
              </w:rPr>
              <w:t>SISTEMA APTO PARA RETORNO À OPERAÇÃO</w:t>
            </w:r>
          </w:p>
          <w:p>
            <w:pPr>
              <w:spacing w:after="0"/>
            </w:pPr>
            <w:r>
              <w:rPr>
                <w:rFonts w:ascii="Arial" w:hAnsi="Arial"/>
                <w:color w:val="1E2933"/>
                <w:sz w:val="17"/>
              </w:rPr>
              <w:t>☐ Critérios atendidos  ☐ HP-03 liberado  ☐ Operação aceitou  ☐ Condição final registrada</w:t>
            </w:r>
          </w:p>
        </w:tc>
      </w:tr>
    </w:tbl>
    <w:p>
      <w:pPr>
        <w:pStyle w:val="Heading2"/>
      </w:pPr>
      <w:r>
        <w:t>Registros obrigatórios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Fotos antes/depois; tag, cilindros, reguladores e conexões.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Certificado do gás e dos instrumentos utilizados.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Valores certificados, encontrados, aplicados e resultados calculados.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Cromatogramas e dados brutos de todas as corridas utilizadas.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Configurações e fatores originais/finais; alarmes e logs.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Desvios, diagnóstico, ações autorizadas, peças e pendências.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6"/>
        </w:rPr>
        <w:t>Pessoas, data/horário, condição operacional, documentos consultados e aceite final.</w:t>
      </w:r>
    </w:p>
    <w:p>
      <w:r>
        <w:br w:type="page"/>
      </w:r>
    </w:p>
    <w:p>
      <w:pPr>
        <w:pStyle w:val="Heading1"/>
      </w:pPr>
      <w:r>
        <w:t>A.6 Pontos a confirmar antes da emissão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4320"/>
        <w:gridCol w:w="4680"/>
        <w:gridCol w:w="1108"/>
      </w:tblGrid>
      <w:tr>
        <w:tc>
          <w:tcPr>
            <w:tcW w:type="dxa" w:w="432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Lacuna</w:t>
            </w:r>
          </w:p>
        </w:tc>
        <w:tc>
          <w:tcPr>
            <w:tcW w:type="dxa" w:w="4680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Fonte / responsável para confirmação</w:t>
            </w:r>
          </w:p>
        </w:tc>
        <w:tc>
          <w:tcPr>
            <w:tcW w:type="dxa" w:w="1109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Bloqueia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Tag, local, configuração e nº de série do Micro GC.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Cadastro, folha de dados e inspeção de campo.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Execução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Método aprovado, canais, componentes e tempos de retenção.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CDS, IOM específica e responsável técnico.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Corridas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Mistura, concentrações e incerteza do gás.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Certificado vigente e Laboratório.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Execução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Critério de erro, repetibilidade e regra de ajuste.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Guia Técnico de Medição / confirmação metrológica.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Aceitação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Pressão dos gases de calibração/amostra e limites de troca de cilindro.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Projeto, datasheet/IOM e responsável técnico.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Conexão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P&amp;ID, posição de válvulas e destino dos vents.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Documentação as-built e Operação.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Intervenção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Estratégia de congelamento/transferência da medição.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Procedimento operacional e Operação.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Liberação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Compatibilidade com área classificada e requisitos de EPI.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Classificação de área, PT e análise de risco.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Acesso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Software, credenciais, IP e permissões para backup/ajuste.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Administração do CDS / automação.</w:t>
            </w:r>
          </w:p>
        </w:tc>
        <w:tc>
          <w:tcPr>
            <w:tcW w:type="dxa" w:w="11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4"/>
              </w:rPr>
              <w:t>Conexão/ajuste</w:t>
            </w:r>
          </w:p>
        </w:tc>
      </w:tr>
    </w:tbl>
    <w:p>
      <w:pPr>
        <w:pStyle w:val="Heading2"/>
      </w:pPr>
      <w:r>
        <w:t>Encerramento executivo</w:t>
      </w:r>
    </w:p>
    <w:tbl>
      <w:tblPr>
        <w:tblW w:type="dxa" w:w="10108"/>
        <w:jc w:val="center"/>
        <w:tblLayout w:type="fixed"/>
        <w:tblLook w:firstColumn="1" w:firstRow="1" w:lastColumn="0" w:lastRow="0" w:noHBand="0" w:noVBand="1" w:val="04A0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304"/>
        <w:gridCol w:w="7804"/>
      </w:tblGrid>
      <w:tr>
        <w:tc>
          <w:tcPr>
            <w:tcW w:type="dxa" w:w="2304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805"/>
            <w:shd w:fill="244B5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Registro final</w:t>
            </w:r>
          </w:p>
        </w:tc>
      </w:tr>
      <w:t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Atividade executada</w:t>
            </w:r>
          </w:p>
        </w:tc>
        <w:tc>
          <w:tcPr>
            <w:tcW w:type="dxa" w:w="78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____________________________________________________________</w:t>
            </w:r>
          </w:p>
        </w:tc>
      </w:tr>
      <w:t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Resultado obtido</w:t>
            </w:r>
          </w:p>
        </w:tc>
        <w:tc>
          <w:tcPr>
            <w:tcW w:type="dxa" w:w="78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____________________________________________________________</w:t>
            </w:r>
          </w:p>
        </w:tc>
      </w:tr>
      <w:t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Critérios atendidos</w:t>
            </w:r>
          </w:p>
        </w:tc>
        <w:tc>
          <w:tcPr>
            <w:tcW w:type="dxa" w:w="78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☐ Sim  ☐ Não  ☐ Parcial  |  Evidência: __________________________</w:t>
            </w:r>
          </w:p>
        </w:tc>
      </w:tr>
      <w:t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Desvios pendentes</w:t>
            </w:r>
          </w:p>
        </w:tc>
        <w:tc>
          <w:tcPr>
            <w:tcW w:type="dxa" w:w="78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____________________________________________________________</w:t>
            </w:r>
          </w:p>
        </w:tc>
      </w:tr>
      <w:t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Condição atual</w:t>
            </w:r>
          </w:p>
        </w:tc>
        <w:tc>
          <w:tcPr>
            <w:tcW w:type="dxa" w:w="78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☐ Em operação  ☐ Indisponível  ☐ Operação restrita</w:t>
            </w:r>
          </w:p>
        </w:tc>
      </w:tr>
      <w:t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Ação futura / responsável</w:t>
            </w:r>
          </w:p>
        </w:tc>
        <w:tc>
          <w:tcPr>
            <w:tcW w:type="dxa" w:w="78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3"/>
                <w:sz w:val="16"/>
              </w:rPr>
              <w:t>____________________________________________________________</w:t>
            </w:r>
          </w:p>
        </w:tc>
      </w:tr>
    </w:tbl>
    <w:p>
      <w:pPr>
        <w:pStyle w:val="Heading2"/>
      </w:pPr>
      <w:r>
        <w:t>Referências utilizadas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5"/>
        </w:rPr>
        <w:t>CAL-1211 (PT-BR) — Calibrar analisador cromatógrafo gasoso on-line.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5"/>
        </w:rPr>
        <w:t>Agilent 490 Micro GC User Manual, G3581-90001, 6ª ed., 2017.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5"/>
        </w:rPr>
        <w:t>Agilent 490 Micro GC Solution Data Sheet, 5991-6034EN, 2017.</w:t>
      </w:r>
    </w:p>
    <w:p>
      <w:pPr>
        <w:pStyle w:val="ListBullet"/>
        <w:spacing w:after="30"/>
        <w:ind w:left="288" w:hanging="202"/>
      </w:pPr>
      <w:r>
        <w:rPr>
          <w:rFonts w:ascii="Arial" w:hAnsi="Arial"/>
          <w:sz w:val="15"/>
        </w:rPr>
        <w:t>CROM-M-01 — History Template; Guia Técnico de Medição e documentos locais citados no CAL-1211 (a disponibilizar).</w:t>
      </w:r>
    </w:p>
    <w:p>
      <w:pPr>
        <w:keepNext w:val="0"/>
        <w:spacing w:after="0"/>
      </w:pPr>
      <w:r>
        <w:rPr>
          <w:rFonts w:ascii="Arial" w:hAnsi="Arial"/>
          <w:b w:val="0"/>
          <w:color w:val="66717D"/>
          <w:sz w:val="15"/>
        </w:rPr>
        <w:t>Nota de controle: este playbook consolida as fontes fornecidas. Dados dependentes da unidade permanecem marcados para confirmação antes da emissão/aprovação.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893" w:right="950" w:bottom="835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17D"/>
        <w:sz w:val="14"/>
      </w:rPr>
      <w:t xml:space="preserve">Documento de trabalho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17D"/>
        <w:sz w:val="14"/>
      </w:rPr>
      <w:t>PLAYBOOK DE CAMPO  |  CAL-1211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color w:val="1E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44B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E29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244B5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E29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 w:val="0"/>
      <w:i/>
      <w:iCs/>
      <w:color w:val="66717D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de Campo - Calibração Agilent 490 Micro GC</dc:title>
  <dc:subject>CAL-1211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