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9D83D6D" w14:textId="77777777" w:rsidR="0084657E" w:rsidRPr="009C7A54" w:rsidRDefault="00000000" w:rsidP="00F872EA">
      <w:pPr>
        <w:pStyle w:val="Ttulo1"/>
        <w:spacing w:after="120"/>
        <w:jc w:val="both"/>
        <w:rPr>
          <w:rFonts w:asciiTheme="minorHAnsi" w:hAnsiTheme="minorHAnsi"/>
          <w:lang w:val="es-ES"/>
        </w:rPr>
      </w:pPr>
      <w:r>
        <w:rPr>
          <w:rFonts w:asciiTheme="minorHAnsi" w:hAnsiTheme="minorHAnsi"/>
          <w:sz w:val="28"/>
          <w:lang w:val="es-ES"/>
        </w:rPr>
        <w:t>1. Descripción de los datos</w:t>
      </w:r>
    </w:p>
    <w:p w14:paraId="57B952D1" w14:textId="77777777" w:rsidR="0084657E" w:rsidRPr="009C7A54" w:rsidRDefault="00000000" w:rsidP="00F872EA">
      <w:pPr>
        <w:jc w:val="both"/>
        <w:rPr>
          <w:rFonts w:asciiTheme="minorHAnsi" w:hAnsiTheme="minorHAnsi"/>
          <w:lang w:val="es-ES"/>
        </w:rPr>
      </w:pPr>
      <w:r>
        <w:rPr>
          <w:rFonts w:asciiTheme="minorHAnsi" w:hAnsiTheme="minorHAnsi"/>
          <w:lang w:val="es-ES"/>
        </w:rPr>
        <w:t>La base corresponde a una muestra de niños entre 6 y 12 años evaluados para TDAH. El archivo procesado integra variables demográficas, antecedentes clínicos, índices de síntomas, medidas cognitivas, escalas conductuales BASC-3, fluidez fonológica y la etiqueta diagnóstica.</w:t>
      </w:r>
    </w:p>
    <w:p w14:paraId="7BAB130F" w14:textId="77777777" w:rsidR="00CF1030" w:rsidRPr="009C7A54" w:rsidRDefault="00CF1030" w:rsidP="00F872EA">
      <w:pPr>
        <w:jc w:val="both"/>
        <w:rPr>
          <w:rFonts w:asciiTheme="minorHAnsi" w:hAnsiTheme="minorHAnsi"/>
          <w:lang w:val="es-ES"/>
        </w:rPr>
      </w:pPr>
    </w:p>
    <w:p w14:paraId="6D071F4E" w14:textId="77777777" w:rsidR="000C21FD" w:rsidRDefault="00000000">
      <w:pPr>
        <w:pStyle w:val="Descripcin"/>
      </w:pPr>
      <w:r>
        <w:t>Tabla 1. Características del conjunto de datos procesado.</w:t>
      </w:r>
    </w:p>
    <w:tbl>
      <w:tblPr>
        <w:tblStyle w:val="Sombreadoclaro-nfasis1"/>
        <w:tblW w:w="0" w:type="auto"/>
        <w:jc w:val="center"/>
        <w:tblLook w:val="04A0" w:firstRow="1" w:lastRow="0" w:firstColumn="1" w:lastColumn="0" w:noHBand="0" w:noVBand="1"/>
      </w:tblPr>
      <w:tblGrid>
        <w:gridCol w:w="3312"/>
        <w:gridCol w:w="6048"/>
      </w:tblGrid>
      <w:tr w:rsidR="0084657E" w:rsidRPr="009C7A54" w14:paraId="683B0AC0"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shd w:val="clear" w:color="auto" w:fill="1F4E79"/>
            <w:vAlign w:val="center"/>
          </w:tcPr>
          <w:p w14:paraId="4548F317" w14:textId="77777777" w:rsidR="0084657E" w:rsidRPr="009C7A54" w:rsidRDefault="00000000" w:rsidP="00F872EA">
            <w:pPr>
              <w:spacing w:after="20"/>
              <w:jc w:val="both"/>
              <w:rPr>
                <w:rFonts w:asciiTheme="minorHAnsi" w:hAnsiTheme="minorHAnsi"/>
                <w:color w:val="FFFFFF" w:themeColor="background1"/>
                <w:lang w:val="es-ES"/>
              </w:rPr>
            </w:pPr>
            <w:r>
              <w:rPr>
                <w:rFonts w:asciiTheme="minorHAnsi" w:hAnsiTheme="minorHAnsi"/>
                <w:color w:val="FFFFFF" w:themeColor="background1"/>
                <w:sz w:val="18"/>
                <w:lang w:val="es-ES"/>
              </w:rPr>
              <w:t>Elemento</w:t>
            </w:r>
          </w:p>
        </w:tc>
        <w:tc>
          <w:tcPr>
            <w:tcW w:w="6048" w:type="dxa"/>
            <w:shd w:val="clear" w:color="auto" w:fill="1F4E79"/>
            <w:vAlign w:val="center"/>
          </w:tcPr>
          <w:p w14:paraId="1AA287A8" w14:textId="77777777" w:rsidR="0084657E" w:rsidRPr="009C7A54" w:rsidRDefault="00000000" w:rsidP="00F872EA">
            <w:pPr>
              <w:spacing w:after="20"/>
              <w:jc w:val="both"/>
              <w:cnfStyle w:val="100000000000" w:firstRow="1" w:lastRow="0" w:firstColumn="0" w:lastColumn="0" w:oddVBand="0" w:evenVBand="0" w:oddHBand="0" w:evenHBand="0" w:firstRowFirstColumn="0" w:firstRowLastColumn="0" w:lastRowFirstColumn="0" w:lastRowLastColumn="0"/>
              <w:rPr>
                <w:rFonts w:asciiTheme="minorHAnsi" w:hAnsiTheme="minorHAnsi"/>
                <w:color w:val="FFFFFF" w:themeColor="background1"/>
                <w:lang w:val="es-ES"/>
              </w:rPr>
            </w:pPr>
            <w:r>
              <w:rPr>
                <w:rFonts w:asciiTheme="minorHAnsi" w:hAnsiTheme="minorHAnsi"/>
                <w:color w:val="FFFFFF" w:themeColor="background1"/>
                <w:sz w:val="18"/>
                <w:lang w:val="es-ES"/>
              </w:rPr>
              <w:t>Resultado</w:t>
            </w:r>
          </w:p>
        </w:tc>
      </w:tr>
      <w:tr w:rsidR="0084657E" w:rsidRPr="009C7A54" w14:paraId="7AC609B1"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3C1855F8" w14:textId="77777777" w:rsidR="0084657E" w:rsidRPr="009C7A54" w:rsidRDefault="00000000" w:rsidP="00F872EA">
            <w:pPr>
              <w:spacing w:after="20"/>
              <w:jc w:val="both"/>
              <w:rPr>
                <w:rFonts w:asciiTheme="minorHAnsi" w:hAnsiTheme="minorHAnsi"/>
                <w:lang w:val="es-ES"/>
              </w:rPr>
            </w:pPr>
            <w:r>
              <w:rPr>
                <w:rFonts w:asciiTheme="minorHAnsi" w:hAnsiTheme="minorHAnsi"/>
                <w:color w:val="000000"/>
                <w:sz w:val="18"/>
                <w:lang w:val="es-ES"/>
              </w:rPr>
              <w:t>Registros finales</w:t>
            </w:r>
          </w:p>
        </w:tc>
        <w:tc>
          <w:tcPr>
            <w:tcW w:w="6048" w:type="dxa"/>
            <w:vAlign w:val="center"/>
          </w:tcPr>
          <w:p w14:paraId="0CA6EC5B" w14:textId="77777777" w:rsidR="0084657E" w:rsidRPr="009C7A54" w:rsidRDefault="00000000" w:rsidP="00F872EA">
            <w:pPr>
              <w:spacing w:after="20"/>
              <w:jc w:val="both"/>
              <w:cnfStyle w:val="000000100000" w:firstRow="0" w:lastRow="0" w:firstColumn="0" w:lastColumn="0" w:oddVBand="0" w:evenVBand="0" w:oddHBand="1" w:evenHBand="0" w:firstRowFirstColumn="0" w:firstRowLastColumn="0" w:lastRowFirstColumn="0" w:lastRowLastColumn="0"/>
              <w:rPr>
                <w:rFonts w:asciiTheme="minorHAnsi" w:hAnsiTheme="minorHAnsi"/>
                <w:lang w:val="es-ES"/>
              </w:rPr>
            </w:pPr>
            <w:r>
              <w:rPr>
                <w:rFonts w:asciiTheme="minorHAnsi" w:hAnsiTheme="minorHAnsi"/>
                <w:color w:val="000000"/>
                <w:sz w:val="18"/>
                <w:lang w:val="es-ES"/>
              </w:rPr>
              <w:t>875</w:t>
            </w:r>
          </w:p>
        </w:tc>
      </w:tr>
      <w:tr w:rsidR="0084657E" w:rsidRPr="009C7A54" w14:paraId="2844A85A" w14:textId="77777777">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1A6EB2B4" w14:textId="77777777" w:rsidR="0084657E" w:rsidRPr="009C7A54" w:rsidRDefault="00000000" w:rsidP="00F872EA">
            <w:pPr>
              <w:spacing w:after="20"/>
              <w:jc w:val="both"/>
              <w:rPr>
                <w:rFonts w:asciiTheme="minorHAnsi" w:hAnsiTheme="minorHAnsi"/>
                <w:lang w:val="es-ES"/>
              </w:rPr>
            </w:pPr>
            <w:r>
              <w:rPr>
                <w:rFonts w:asciiTheme="minorHAnsi" w:hAnsiTheme="minorHAnsi"/>
                <w:color w:val="000000"/>
                <w:sz w:val="18"/>
                <w:lang w:val="es-ES"/>
              </w:rPr>
              <w:t>Variables totales</w:t>
            </w:r>
          </w:p>
        </w:tc>
        <w:tc>
          <w:tcPr>
            <w:tcW w:w="6048" w:type="dxa"/>
            <w:vAlign w:val="center"/>
          </w:tcPr>
          <w:p w14:paraId="23CA7058" w14:textId="77777777" w:rsidR="0084657E" w:rsidRPr="009C7A54" w:rsidRDefault="00000000" w:rsidP="00F872EA">
            <w:pPr>
              <w:spacing w:after="20"/>
              <w:jc w:val="both"/>
              <w:cnfStyle w:val="000000000000" w:firstRow="0" w:lastRow="0" w:firstColumn="0" w:lastColumn="0" w:oddVBand="0" w:evenVBand="0" w:oddHBand="0" w:evenHBand="0" w:firstRowFirstColumn="0" w:firstRowLastColumn="0" w:lastRowFirstColumn="0" w:lastRowLastColumn="0"/>
              <w:rPr>
                <w:rFonts w:asciiTheme="minorHAnsi" w:hAnsiTheme="minorHAnsi"/>
                <w:lang w:val="es-ES"/>
              </w:rPr>
            </w:pPr>
            <w:r>
              <w:rPr>
                <w:rFonts w:asciiTheme="minorHAnsi" w:hAnsiTheme="minorHAnsi"/>
                <w:color w:val="000000"/>
                <w:sz w:val="18"/>
                <w:lang w:val="es-ES"/>
              </w:rPr>
              <w:t>18 (incluye la variable objetivo)</w:t>
            </w:r>
          </w:p>
        </w:tc>
      </w:tr>
      <w:tr w:rsidR="0084657E" w:rsidRPr="009C7A54" w14:paraId="29D69566"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6CFB4A00" w14:textId="77777777" w:rsidR="0084657E" w:rsidRPr="009C7A54" w:rsidRDefault="00000000" w:rsidP="00F872EA">
            <w:pPr>
              <w:spacing w:after="20"/>
              <w:jc w:val="both"/>
              <w:rPr>
                <w:rFonts w:asciiTheme="minorHAnsi" w:hAnsiTheme="minorHAnsi"/>
                <w:lang w:val="es-ES"/>
              </w:rPr>
            </w:pPr>
            <w:r>
              <w:rPr>
                <w:rFonts w:asciiTheme="minorHAnsi" w:hAnsiTheme="minorHAnsi"/>
                <w:color w:val="000000"/>
                <w:sz w:val="18"/>
                <w:lang w:val="es-ES"/>
              </w:rPr>
              <w:t>Predictores disponibles</w:t>
            </w:r>
          </w:p>
        </w:tc>
        <w:tc>
          <w:tcPr>
            <w:tcW w:w="6048" w:type="dxa"/>
            <w:vAlign w:val="center"/>
          </w:tcPr>
          <w:p w14:paraId="7F52E2E0" w14:textId="77777777" w:rsidR="0084657E" w:rsidRPr="009C7A54" w:rsidRDefault="00000000" w:rsidP="00F872EA">
            <w:pPr>
              <w:spacing w:after="20"/>
              <w:jc w:val="both"/>
              <w:cnfStyle w:val="000000100000" w:firstRow="0" w:lastRow="0" w:firstColumn="0" w:lastColumn="0" w:oddVBand="0" w:evenVBand="0" w:oddHBand="1" w:evenHBand="0" w:firstRowFirstColumn="0" w:firstRowLastColumn="0" w:lastRowFirstColumn="0" w:lastRowLastColumn="0"/>
              <w:rPr>
                <w:rFonts w:asciiTheme="minorHAnsi" w:hAnsiTheme="minorHAnsi"/>
                <w:lang w:val="es-ES"/>
              </w:rPr>
            </w:pPr>
            <w:r>
              <w:rPr>
                <w:rFonts w:asciiTheme="minorHAnsi" w:hAnsiTheme="minorHAnsi"/>
                <w:color w:val="000000"/>
                <w:sz w:val="18"/>
                <w:lang w:val="es-ES"/>
              </w:rPr>
              <w:t>17</w:t>
            </w:r>
          </w:p>
        </w:tc>
      </w:tr>
      <w:tr w:rsidR="0084657E" w:rsidRPr="009C7A54" w14:paraId="566FE35D" w14:textId="77777777">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282E44CB" w14:textId="77777777" w:rsidR="0084657E" w:rsidRPr="009C7A54" w:rsidRDefault="00000000" w:rsidP="00F872EA">
            <w:pPr>
              <w:spacing w:after="20"/>
              <w:jc w:val="both"/>
              <w:rPr>
                <w:rFonts w:asciiTheme="minorHAnsi" w:hAnsiTheme="minorHAnsi"/>
                <w:lang w:val="es-ES"/>
              </w:rPr>
            </w:pPr>
            <w:r>
              <w:rPr>
                <w:rFonts w:asciiTheme="minorHAnsi" w:hAnsiTheme="minorHAnsi"/>
                <w:color w:val="000000"/>
                <w:sz w:val="18"/>
                <w:lang w:val="es-ES"/>
              </w:rPr>
              <w:t>Variable objetivo</w:t>
            </w:r>
          </w:p>
        </w:tc>
        <w:tc>
          <w:tcPr>
            <w:tcW w:w="6048" w:type="dxa"/>
            <w:vAlign w:val="center"/>
          </w:tcPr>
          <w:p w14:paraId="1211F851" w14:textId="77777777" w:rsidR="0084657E" w:rsidRPr="009C7A54" w:rsidRDefault="00000000" w:rsidP="00F872EA">
            <w:pPr>
              <w:spacing w:after="20"/>
              <w:jc w:val="both"/>
              <w:cnfStyle w:val="000000000000" w:firstRow="0" w:lastRow="0" w:firstColumn="0" w:lastColumn="0" w:oddVBand="0" w:evenVBand="0" w:oddHBand="0" w:evenHBand="0" w:firstRowFirstColumn="0" w:firstRowLastColumn="0" w:lastRowFirstColumn="0" w:lastRowLastColumn="0"/>
              <w:rPr>
                <w:rFonts w:asciiTheme="minorHAnsi" w:hAnsiTheme="minorHAnsi"/>
                <w:lang w:val="es-ES"/>
              </w:rPr>
            </w:pPr>
            <w:r>
              <w:rPr>
                <w:rFonts w:asciiTheme="minorHAnsi" w:hAnsiTheme="minorHAnsi"/>
                <w:color w:val="000000"/>
                <w:sz w:val="18"/>
                <w:lang w:val="es-ES"/>
              </w:rPr>
              <w:t>etiqueta</w:t>
            </w:r>
          </w:p>
        </w:tc>
      </w:tr>
      <w:tr w:rsidR="0084657E" w:rsidRPr="009C7A54" w14:paraId="397E1EE3"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1D723982" w14:textId="77777777" w:rsidR="0084657E" w:rsidRPr="009C7A54" w:rsidRDefault="00000000" w:rsidP="00F872EA">
            <w:pPr>
              <w:spacing w:after="20"/>
              <w:jc w:val="both"/>
              <w:rPr>
                <w:rFonts w:asciiTheme="minorHAnsi" w:hAnsiTheme="minorHAnsi"/>
                <w:lang w:val="es-ES"/>
              </w:rPr>
            </w:pPr>
            <w:r>
              <w:rPr>
                <w:rFonts w:asciiTheme="minorHAnsi" w:hAnsiTheme="minorHAnsi"/>
                <w:color w:val="000000"/>
                <w:sz w:val="18"/>
                <w:lang w:val="es-ES"/>
              </w:rPr>
              <w:t>Categorías diagnósticas</w:t>
            </w:r>
          </w:p>
        </w:tc>
        <w:tc>
          <w:tcPr>
            <w:tcW w:w="6048" w:type="dxa"/>
            <w:vAlign w:val="center"/>
          </w:tcPr>
          <w:p w14:paraId="4214F815" w14:textId="77777777" w:rsidR="0084657E" w:rsidRPr="009C7A54" w:rsidRDefault="00000000" w:rsidP="00F872EA">
            <w:pPr>
              <w:spacing w:after="20"/>
              <w:jc w:val="both"/>
              <w:cnfStyle w:val="000000100000" w:firstRow="0" w:lastRow="0" w:firstColumn="0" w:lastColumn="0" w:oddVBand="0" w:evenVBand="0" w:oddHBand="1" w:evenHBand="0" w:firstRowFirstColumn="0" w:firstRowLastColumn="0" w:lastRowFirstColumn="0" w:lastRowLastColumn="0"/>
              <w:rPr>
                <w:rFonts w:asciiTheme="minorHAnsi" w:hAnsiTheme="minorHAnsi"/>
                <w:lang w:val="es-ES"/>
              </w:rPr>
            </w:pPr>
            <w:r>
              <w:rPr>
                <w:rFonts w:asciiTheme="minorHAnsi" w:hAnsiTheme="minorHAnsi"/>
                <w:color w:val="000000"/>
                <w:sz w:val="18"/>
                <w:lang w:val="es-ES"/>
              </w:rPr>
              <w:t>13</w:t>
            </w:r>
          </w:p>
        </w:tc>
      </w:tr>
      <w:tr w:rsidR="0084657E" w:rsidRPr="009C7A54" w14:paraId="36647505" w14:textId="77777777">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3673BB77" w14:textId="77777777" w:rsidR="0084657E" w:rsidRPr="009C7A54" w:rsidRDefault="00000000" w:rsidP="00F872EA">
            <w:pPr>
              <w:spacing w:after="20"/>
              <w:jc w:val="both"/>
              <w:rPr>
                <w:rFonts w:asciiTheme="minorHAnsi" w:hAnsiTheme="minorHAnsi"/>
                <w:lang w:val="es-ES"/>
              </w:rPr>
            </w:pPr>
            <w:r>
              <w:rPr>
                <w:rFonts w:asciiTheme="minorHAnsi" w:hAnsiTheme="minorHAnsi"/>
                <w:color w:val="000000"/>
                <w:sz w:val="18"/>
                <w:lang w:val="es-ES"/>
              </w:rPr>
              <w:t>Valores nulos</w:t>
            </w:r>
          </w:p>
        </w:tc>
        <w:tc>
          <w:tcPr>
            <w:tcW w:w="6048" w:type="dxa"/>
            <w:vAlign w:val="center"/>
          </w:tcPr>
          <w:p w14:paraId="10EB8545" w14:textId="77777777" w:rsidR="0084657E" w:rsidRPr="009C7A54" w:rsidRDefault="00000000" w:rsidP="00F872EA">
            <w:pPr>
              <w:spacing w:after="20"/>
              <w:jc w:val="both"/>
              <w:cnfStyle w:val="000000000000" w:firstRow="0" w:lastRow="0" w:firstColumn="0" w:lastColumn="0" w:oddVBand="0" w:evenVBand="0" w:oddHBand="0" w:evenHBand="0" w:firstRowFirstColumn="0" w:firstRowLastColumn="0" w:lastRowFirstColumn="0" w:lastRowLastColumn="0"/>
              <w:rPr>
                <w:rFonts w:asciiTheme="minorHAnsi" w:hAnsiTheme="minorHAnsi"/>
                <w:lang w:val="es-ES"/>
              </w:rPr>
            </w:pPr>
            <w:r>
              <w:rPr>
                <w:rFonts w:asciiTheme="minorHAnsi" w:hAnsiTheme="minorHAnsi"/>
                <w:color w:val="000000"/>
                <w:sz w:val="18"/>
                <w:lang w:val="es-ES"/>
              </w:rPr>
              <w:t>0</w:t>
            </w:r>
          </w:p>
        </w:tc>
      </w:tr>
      <w:tr w:rsidR="0084657E" w:rsidRPr="009C7A54" w14:paraId="26932242"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46EA0932" w14:textId="77777777" w:rsidR="0084657E" w:rsidRPr="009C7A54" w:rsidRDefault="00000000" w:rsidP="00F872EA">
            <w:pPr>
              <w:spacing w:after="20"/>
              <w:jc w:val="both"/>
              <w:rPr>
                <w:rFonts w:asciiTheme="minorHAnsi" w:hAnsiTheme="minorHAnsi"/>
                <w:lang w:val="es-ES"/>
              </w:rPr>
            </w:pPr>
            <w:r>
              <w:rPr>
                <w:rFonts w:asciiTheme="minorHAnsi" w:hAnsiTheme="minorHAnsi"/>
                <w:color w:val="000000"/>
                <w:sz w:val="18"/>
                <w:lang w:val="es-ES"/>
              </w:rPr>
              <w:t>Rango de edad</w:t>
            </w:r>
          </w:p>
        </w:tc>
        <w:tc>
          <w:tcPr>
            <w:tcW w:w="6048" w:type="dxa"/>
            <w:vAlign w:val="center"/>
          </w:tcPr>
          <w:p w14:paraId="1B6FAED7" w14:textId="77777777" w:rsidR="0084657E" w:rsidRPr="009C7A54" w:rsidRDefault="00000000" w:rsidP="00F872EA">
            <w:pPr>
              <w:spacing w:after="20"/>
              <w:jc w:val="both"/>
              <w:cnfStyle w:val="000000100000" w:firstRow="0" w:lastRow="0" w:firstColumn="0" w:lastColumn="0" w:oddVBand="0" w:evenVBand="0" w:oddHBand="1" w:evenHBand="0" w:firstRowFirstColumn="0" w:firstRowLastColumn="0" w:lastRowFirstColumn="0" w:lastRowLastColumn="0"/>
              <w:rPr>
                <w:rFonts w:asciiTheme="minorHAnsi" w:hAnsiTheme="minorHAnsi"/>
                <w:lang w:val="es-ES"/>
              </w:rPr>
            </w:pPr>
            <w:r>
              <w:rPr>
                <w:rFonts w:asciiTheme="minorHAnsi" w:hAnsiTheme="minorHAnsi"/>
                <w:color w:val="000000"/>
                <w:sz w:val="18"/>
                <w:lang w:val="es-ES"/>
              </w:rPr>
              <w:t>6-12 años</w:t>
            </w:r>
          </w:p>
        </w:tc>
      </w:tr>
    </w:tbl>
    <w:p w14:paraId="759601A2" w14:textId="77777777" w:rsidR="0084657E" w:rsidRPr="009C7A54" w:rsidRDefault="0084657E" w:rsidP="00F872EA">
      <w:pPr>
        <w:jc w:val="both"/>
        <w:rPr>
          <w:rFonts w:asciiTheme="minorHAnsi" w:hAnsiTheme="minorHAnsi"/>
          <w:lang w:val="es-ES"/>
        </w:rPr>
      </w:pPr>
    </w:p>
    <w:p w14:paraId="16C9A4E2" w14:textId="77777777" w:rsidR="0084657E" w:rsidRPr="009C7A54" w:rsidRDefault="00000000" w:rsidP="00F872EA">
      <w:pPr>
        <w:pStyle w:val="Ttulo2"/>
        <w:spacing w:after="120"/>
        <w:jc w:val="both"/>
        <w:rPr>
          <w:rFonts w:asciiTheme="minorHAnsi" w:hAnsiTheme="minorHAnsi"/>
          <w:lang w:val="es-ES"/>
        </w:rPr>
      </w:pPr>
      <w:r>
        <w:rPr>
          <w:rFonts w:asciiTheme="minorHAnsi" w:hAnsiTheme="minorHAnsi"/>
          <w:sz w:val="28"/>
          <w:lang w:val="es-ES"/>
        </w:rPr>
        <w:t>1.1 Variables disponibles</w:t>
      </w:r>
    </w:p>
    <w:p w14:paraId="50C71D56" w14:textId="77777777" w:rsidR="000C21FD" w:rsidRDefault="00000000">
      <w:pPr>
        <w:pStyle w:val="Descripcin"/>
      </w:pPr>
      <w:r>
        <w:t>Tabla 2. Grupos de variables disponibles.</w:t>
      </w:r>
    </w:p>
    <w:tbl>
      <w:tblPr>
        <w:tblStyle w:val="Sombreadoclaro-nfasis1"/>
        <w:tblW w:w="0" w:type="auto"/>
        <w:jc w:val="center"/>
        <w:tblLook w:val="04A0" w:firstRow="1" w:lastRow="0" w:firstColumn="1" w:lastColumn="0" w:noHBand="0" w:noVBand="1"/>
      </w:tblPr>
      <w:tblGrid>
        <w:gridCol w:w="3168"/>
        <w:gridCol w:w="6912"/>
      </w:tblGrid>
      <w:tr w:rsidR="0084657E" w:rsidRPr="009C7A54" w14:paraId="7D9E212F"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shd w:val="clear" w:color="auto" w:fill="1F4E79"/>
            <w:vAlign w:val="center"/>
          </w:tcPr>
          <w:p w14:paraId="01BD3EAB" w14:textId="77777777" w:rsidR="0084657E" w:rsidRPr="009C7A54" w:rsidRDefault="00000000" w:rsidP="00F872EA">
            <w:pPr>
              <w:spacing w:after="20"/>
              <w:jc w:val="both"/>
              <w:rPr>
                <w:rFonts w:asciiTheme="minorHAnsi" w:hAnsiTheme="minorHAnsi"/>
                <w:lang w:val="es-ES"/>
              </w:rPr>
            </w:pPr>
            <w:r>
              <w:rPr>
                <w:rFonts w:asciiTheme="minorHAnsi" w:hAnsiTheme="minorHAnsi"/>
                <w:color w:val="1F4E79"/>
                <w:sz w:val="18"/>
                <w:lang w:val="es-ES"/>
              </w:rPr>
              <w:t>Grupo</w:t>
            </w:r>
          </w:p>
        </w:tc>
        <w:tc>
          <w:tcPr>
            <w:tcW w:w="6912" w:type="dxa"/>
            <w:shd w:val="clear" w:color="auto" w:fill="1F4E79"/>
            <w:vAlign w:val="center"/>
          </w:tcPr>
          <w:p w14:paraId="5419D21A" w14:textId="77777777" w:rsidR="0084657E" w:rsidRPr="009C7A54" w:rsidRDefault="00000000" w:rsidP="00F872EA">
            <w:pPr>
              <w:spacing w:after="20"/>
              <w:jc w:val="both"/>
              <w:cnfStyle w:val="100000000000" w:firstRow="1" w:lastRow="0" w:firstColumn="0" w:lastColumn="0" w:oddVBand="0" w:evenVBand="0" w:oddHBand="0" w:evenHBand="0" w:firstRowFirstColumn="0" w:firstRowLastColumn="0" w:lastRowFirstColumn="0" w:lastRowLastColumn="0"/>
              <w:rPr>
                <w:rFonts w:asciiTheme="minorHAnsi" w:hAnsiTheme="minorHAnsi"/>
                <w:lang w:val="es-ES"/>
              </w:rPr>
            </w:pPr>
            <w:r>
              <w:rPr>
                <w:rFonts w:asciiTheme="minorHAnsi" w:hAnsiTheme="minorHAnsi"/>
                <w:color w:val="1F4E79"/>
                <w:sz w:val="18"/>
                <w:lang w:val="es-ES"/>
              </w:rPr>
              <w:t>Variables</w:t>
            </w:r>
          </w:p>
        </w:tc>
      </w:tr>
      <w:tr w:rsidR="0084657E" w:rsidRPr="009C7A54" w14:paraId="2F385F25"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vAlign w:val="center"/>
          </w:tcPr>
          <w:p w14:paraId="366C14F1" w14:textId="77777777" w:rsidR="0084657E" w:rsidRPr="009C7A54" w:rsidRDefault="00000000" w:rsidP="00F872EA">
            <w:pPr>
              <w:spacing w:after="20"/>
              <w:jc w:val="both"/>
              <w:rPr>
                <w:rFonts w:asciiTheme="minorHAnsi" w:hAnsiTheme="minorHAnsi"/>
                <w:lang w:val="es-ES"/>
              </w:rPr>
            </w:pPr>
            <w:r>
              <w:rPr>
                <w:rFonts w:asciiTheme="minorHAnsi" w:hAnsiTheme="minorHAnsi"/>
                <w:color w:val="000000"/>
                <w:sz w:val="18"/>
                <w:lang w:val="es-ES"/>
              </w:rPr>
              <w:t>Demográficas</w:t>
            </w:r>
          </w:p>
        </w:tc>
        <w:tc>
          <w:tcPr>
            <w:tcW w:w="6912" w:type="dxa"/>
            <w:vAlign w:val="center"/>
          </w:tcPr>
          <w:p w14:paraId="6B6C279B" w14:textId="77777777" w:rsidR="0084657E" w:rsidRPr="009C7A54" w:rsidRDefault="00000000" w:rsidP="00F872EA">
            <w:pPr>
              <w:spacing w:after="20"/>
              <w:jc w:val="both"/>
              <w:cnfStyle w:val="000000100000" w:firstRow="0" w:lastRow="0" w:firstColumn="0" w:lastColumn="0" w:oddVBand="0" w:evenVBand="0" w:oddHBand="1" w:evenHBand="0" w:firstRowFirstColumn="0" w:firstRowLastColumn="0" w:lastRowFirstColumn="0" w:lastRowLastColumn="0"/>
              <w:rPr>
                <w:rFonts w:asciiTheme="minorHAnsi" w:hAnsiTheme="minorHAnsi"/>
                <w:lang w:val="es-ES"/>
              </w:rPr>
            </w:pPr>
            <w:r>
              <w:rPr>
                <w:rFonts w:asciiTheme="minorHAnsi" w:hAnsiTheme="minorHAnsi"/>
                <w:color w:val="000000"/>
                <w:sz w:val="18"/>
                <w:lang w:val="es-ES"/>
              </w:rPr>
              <w:t>edad, sexo, escolaridad, lateralidad</w:t>
            </w:r>
          </w:p>
        </w:tc>
      </w:tr>
      <w:tr w:rsidR="0084657E" w:rsidRPr="009C7A54" w14:paraId="0837EDED" w14:textId="77777777">
        <w:trPr>
          <w:jc w:val="center"/>
        </w:trPr>
        <w:tc>
          <w:tcPr>
            <w:cnfStyle w:val="001000000000" w:firstRow="0" w:lastRow="0" w:firstColumn="1" w:lastColumn="0" w:oddVBand="0" w:evenVBand="0" w:oddHBand="0" w:evenHBand="0" w:firstRowFirstColumn="0" w:firstRowLastColumn="0" w:lastRowFirstColumn="0" w:lastRowLastColumn="0"/>
            <w:tcW w:w="3168" w:type="dxa"/>
            <w:vAlign w:val="center"/>
          </w:tcPr>
          <w:p w14:paraId="20A6CF42" w14:textId="77777777" w:rsidR="0084657E" w:rsidRPr="009C7A54" w:rsidRDefault="00000000" w:rsidP="00F872EA">
            <w:pPr>
              <w:spacing w:after="20"/>
              <w:jc w:val="both"/>
              <w:rPr>
                <w:rFonts w:asciiTheme="minorHAnsi" w:hAnsiTheme="minorHAnsi"/>
                <w:lang w:val="es-ES"/>
              </w:rPr>
            </w:pPr>
            <w:r>
              <w:rPr>
                <w:rFonts w:asciiTheme="minorHAnsi" w:hAnsiTheme="minorHAnsi"/>
                <w:color w:val="000000"/>
                <w:sz w:val="18"/>
                <w:lang w:val="es-ES"/>
              </w:rPr>
              <w:t>Antecedentes clínicos</w:t>
            </w:r>
          </w:p>
        </w:tc>
        <w:tc>
          <w:tcPr>
            <w:tcW w:w="6912" w:type="dxa"/>
            <w:vAlign w:val="center"/>
          </w:tcPr>
          <w:p w14:paraId="3A69CF06" w14:textId="77777777" w:rsidR="0084657E" w:rsidRPr="009C7A54" w:rsidRDefault="00000000" w:rsidP="00F872EA">
            <w:pPr>
              <w:spacing w:after="20"/>
              <w:jc w:val="both"/>
              <w:cnfStyle w:val="000000000000" w:firstRow="0" w:lastRow="0" w:firstColumn="0" w:lastColumn="0" w:oddVBand="0" w:evenVBand="0" w:oddHBand="0" w:evenHBand="0" w:firstRowFirstColumn="0" w:firstRowLastColumn="0" w:lastRowFirstColumn="0" w:lastRowLastColumn="0"/>
              <w:rPr>
                <w:rFonts w:asciiTheme="minorHAnsi" w:hAnsiTheme="minorHAnsi"/>
                <w:lang w:val="es-ES"/>
              </w:rPr>
            </w:pPr>
            <w:r>
              <w:rPr>
                <w:rFonts w:asciiTheme="minorHAnsi" w:hAnsiTheme="minorHAnsi"/>
                <w:color w:val="000000"/>
                <w:sz w:val="18"/>
                <w:lang w:val="es-ES"/>
              </w:rPr>
              <w:t>antecedentes_familiares, antecedentes_obstetricos, retrasos_desarrollo</w:t>
            </w:r>
          </w:p>
        </w:tc>
      </w:tr>
      <w:tr w:rsidR="0084657E" w:rsidRPr="009C7A54" w14:paraId="5DFA94E8"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vAlign w:val="center"/>
          </w:tcPr>
          <w:p w14:paraId="64AF6148" w14:textId="77777777" w:rsidR="0084657E" w:rsidRPr="009C7A54" w:rsidRDefault="00000000" w:rsidP="00F872EA">
            <w:pPr>
              <w:spacing w:after="20"/>
              <w:jc w:val="both"/>
              <w:rPr>
                <w:rFonts w:asciiTheme="minorHAnsi" w:hAnsiTheme="minorHAnsi"/>
                <w:lang w:val="es-ES"/>
              </w:rPr>
            </w:pPr>
            <w:r>
              <w:rPr>
                <w:rFonts w:asciiTheme="minorHAnsi" w:hAnsiTheme="minorHAnsi"/>
                <w:color w:val="000000"/>
                <w:sz w:val="18"/>
                <w:lang w:val="es-ES"/>
              </w:rPr>
              <w:t>Índices TDAH (0-1)</w:t>
            </w:r>
          </w:p>
        </w:tc>
        <w:tc>
          <w:tcPr>
            <w:tcW w:w="6912" w:type="dxa"/>
            <w:vAlign w:val="center"/>
          </w:tcPr>
          <w:p w14:paraId="3733EC3C" w14:textId="77777777" w:rsidR="0084657E" w:rsidRPr="009C7A54" w:rsidRDefault="00000000" w:rsidP="00F872EA">
            <w:pPr>
              <w:spacing w:after="20"/>
              <w:jc w:val="both"/>
              <w:cnfStyle w:val="000000100000" w:firstRow="0" w:lastRow="0" w:firstColumn="0" w:lastColumn="0" w:oddVBand="0" w:evenVBand="0" w:oddHBand="1" w:evenHBand="0" w:firstRowFirstColumn="0" w:firstRowLastColumn="0" w:lastRowFirstColumn="0" w:lastRowLastColumn="0"/>
              <w:rPr>
                <w:rFonts w:asciiTheme="minorHAnsi" w:hAnsiTheme="minorHAnsi"/>
                <w:lang w:val="es-ES"/>
              </w:rPr>
            </w:pPr>
            <w:r>
              <w:rPr>
                <w:rFonts w:asciiTheme="minorHAnsi" w:hAnsiTheme="minorHAnsi"/>
                <w:color w:val="000000"/>
                <w:sz w:val="18"/>
                <w:lang w:val="es-ES"/>
              </w:rPr>
              <w:t>indice_tdah, indice_inatencion, indice_impuls_hiperac</w:t>
            </w:r>
          </w:p>
        </w:tc>
      </w:tr>
      <w:tr w:rsidR="0084657E" w:rsidRPr="009C7A54" w14:paraId="7AD3C93A" w14:textId="77777777">
        <w:trPr>
          <w:jc w:val="center"/>
        </w:trPr>
        <w:tc>
          <w:tcPr>
            <w:cnfStyle w:val="001000000000" w:firstRow="0" w:lastRow="0" w:firstColumn="1" w:lastColumn="0" w:oddVBand="0" w:evenVBand="0" w:oddHBand="0" w:evenHBand="0" w:firstRowFirstColumn="0" w:firstRowLastColumn="0" w:lastRowFirstColumn="0" w:lastRowLastColumn="0"/>
            <w:tcW w:w="3168" w:type="dxa"/>
            <w:vAlign w:val="center"/>
          </w:tcPr>
          <w:p w14:paraId="712F83AF" w14:textId="77777777" w:rsidR="0084657E" w:rsidRPr="009C7A54" w:rsidRDefault="00000000" w:rsidP="00F872EA">
            <w:pPr>
              <w:spacing w:after="20"/>
              <w:jc w:val="both"/>
              <w:rPr>
                <w:rFonts w:asciiTheme="minorHAnsi" w:hAnsiTheme="minorHAnsi"/>
                <w:lang w:val="es-ES"/>
              </w:rPr>
            </w:pPr>
            <w:r>
              <w:rPr>
                <w:rFonts w:asciiTheme="minorHAnsi" w:hAnsiTheme="minorHAnsi"/>
                <w:color w:val="000000"/>
                <w:sz w:val="18"/>
                <w:lang w:val="es-ES"/>
              </w:rPr>
              <w:t>Cognitivo</w:t>
            </w:r>
          </w:p>
        </w:tc>
        <w:tc>
          <w:tcPr>
            <w:tcW w:w="6912" w:type="dxa"/>
            <w:vAlign w:val="center"/>
          </w:tcPr>
          <w:p w14:paraId="46DBD6FF" w14:textId="77777777" w:rsidR="0084657E" w:rsidRPr="009C7A54" w:rsidRDefault="00000000" w:rsidP="00F872EA">
            <w:pPr>
              <w:spacing w:after="20"/>
              <w:jc w:val="both"/>
              <w:cnfStyle w:val="000000000000" w:firstRow="0" w:lastRow="0" w:firstColumn="0" w:lastColumn="0" w:oddVBand="0" w:evenVBand="0" w:oddHBand="0" w:evenHBand="0" w:firstRowFirstColumn="0" w:firstRowLastColumn="0" w:lastRowFirstColumn="0" w:lastRowLastColumn="0"/>
              <w:rPr>
                <w:rFonts w:asciiTheme="minorHAnsi" w:hAnsiTheme="minorHAnsi"/>
                <w:lang w:val="es-ES"/>
              </w:rPr>
            </w:pPr>
            <w:r>
              <w:rPr>
                <w:rFonts w:asciiTheme="minorHAnsi" w:hAnsiTheme="minorHAnsi"/>
                <w:color w:val="000000"/>
                <w:sz w:val="18"/>
                <w:lang w:val="es-ES"/>
              </w:rPr>
              <w:t>cit (Coeficiente Intelectual Total)</w:t>
            </w:r>
          </w:p>
        </w:tc>
      </w:tr>
      <w:tr w:rsidR="0084657E" w:rsidRPr="009C7A54" w14:paraId="354FA5CA"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vAlign w:val="center"/>
          </w:tcPr>
          <w:p w14:paraId="29DBB90C" w14:textId="77777777" w:rsidR="0084657E" w:rsidRPr="009C7A54" w:rsidRDefault="00000000" w:rsidP="00F872EA">
            <w:pPr>
              <w:spacing w:after="20"/>
              <w:jc w:val="both"/>
              <w:rPr>
                <w:rFonts w:asciiTheme="minorHAnsi" w:hAnsiTheme="minorHAnsi"/>
                <w:lang w:val="es-ES"/>
              </w:rPr>
            </w:pPr>
            <w:r>
              <w:rPr>
                <w:rFonts w:asciiTheme="minorHAnsi" w:hAnsiTheme="minorHAnsi"/>
                <w:color w:val="000000"/>
                <w:sz w:val="18"/>
                <w:lang w:val="es-ES"/>
              </w:rPr>
              <w:t>Conductuales - BASC-3 (T-scores)</w:t>
            </w:r>
          </w:p>
        </w:tc>
        <w:tc>
          <w:tcPr>
            <w:tcW w:w="6912" w:type="dxa"/>
            <w:vAlign w:val="center"/>
          </w:tcPr>
          <w:p w14:paraId="6D56C850" w14:textId="77777777" w:rsidR="0084657E" w:rsidRPr="009C7A54" w:rsidRDefault="00000000" w:rsidP="00F872EA">
            <w:pPr>
              <w:spacing w:after="20"/>
              <w:jc w:val="both"/>
              <w:cnfStyle w:val="000000100000" w:firstRow="0" w:lastRow="0" w:firstColumn="0" w:lastColumn="0" w:oddVBand="0" w:evenVBand="0" w:oddHBand="1" w:evenHBand="0" w:firstRowFirstColumn="0" w:firstRowLastColumn="0" w:lastRowFirstColumn="0" w:lastRowLastColumn="0"/>
              <w:rPr>
                <w:rFonts w:asciiTheme="minorHAnsi" w:hAnsiTheme="minorHAnsi"/>
                <w:lang w:val="es-ES"/>
              </w:rPr>
            </w:pPr>
            <w:r>
              <w:rPr>
                <w:rFonts w:asciiTheme="minorHAnsi" w:hAnsiTheme="minorHAnsi"/>
                <w:color w:val="000000"/>
                <w:sz w:val="18"/>
                <w:lang w:val="es-ES"/>
              </w:rPr>
              <w:t>agresividad_basc3, hiperactividad_basc3, problemas_conducta_basc3, problemas_atencion_basc3, atipicidad_basc3</w:t>
            </w:r>
          </w:p>
        </w:tc>
      </w:tr>
      <w:tr w:rsidR="0084657E" w:rsidRPr="009C7A54" w14:paraId="17FAC75A" w14:textId="77777777">
        <w:trPr>
          <w:jc w:val="center"/>
        </w:trPr>
        <w:tc>
          <w:tcPr>
            <w:cnfStyle w:val="001000000000" w:firstRow="0" w:lastRow="0" w:firstColumn="1" w:lastColumn="0" w:oddVBand="0" w:evenVBand="0" w:oddHBand="0" w:evenHBand="0" w:firstRowFirstColumn="0" w:firstRowLastColumn="0" w:lastRowFirstColumn="0" w:lastRowLastColumn="0"/>
            <w:tcW w:w="3168" w:type="dxa"/>
            <w:vAlign w:val="center"/>
          </w:tcPr>
          <w:p w14:paraId="4B981278" w14:textId="77777777" w:rsidR="0084657E" w:rsidRPr="009C7A54" w:rsidRDefault="00000000" w:rsidP="00F872EA">
            <w:pPr>
              <w:spacing w:after="20"/>
              <w:jc w:val="both"/>
              <w:rPr>
                <w:rFonts w:asciiTheme="minorHAnsi" w:hAnsiTheme="minorHAnsi"/>
                <w:lang w:val="es-ES"/>
              </w:rPr>
            </w:pPr>
            <w:r>
              <w:rPr>
                <w:rFonts w:asciiTheme="minorHAnsi" w:hAnsiTheme="minorHAnsi"/>
                <w:color w:val="000000"/>
                <w:sz w:val="18"/>
                <w:lang w:val="es-ES"/>
              </w:rPr>
              <w:t>Función ejecutiva</w:t>
            </w:r>
          </w:p>
        </w:tc>
        <w:tc>
          <w:tcPr>
            <w:tcW w:w="6912" w:type="dxa"/>
            <w:vAlign w:val="center"/>
          </w:tcPr>
          <w:p w14:paraId="24096880" w14:textId="77777777" w:rsidR="0084657E" w:rsidRPr="009C7A54" w:rsidRDefault="00000000" w:rsidP="00F872EA">
            <w:pPr>
              <w:spacing w:after="20"/>
              <w:jc w:val="both"/>
              <w:cnfStyle w:val="000000000000" w:firstRow="0" w:lastRow="0" w:firstColumn="0" w:lastColumn="0" w:oddVBand="0" w:evenVBand="0" w:oddHBand="0" w:evenHBand="0" w:firstRowFirstColumn="0" w:firstRowLastColumn="0" w:lastRowFirstColumn="0" w:lastRowLastColumn="0"/>
              <w:rPr>
                <w:rFonts w:asciiTheme="minorHAnsi" w:hAnsiTheme="minorHAnsi"/>
                <w:lang w:val="es-ES"/>
              </w:rPr>
            </w:pPr>
            <w:r>
              <w:rPr>
                <w:rFonts w:asciiTheme="minorHAnsi" w:hAnsiTheme="minorHAnsi"/>
                <w:color w:val="000000"/>
                <w:sz w:val="18"/>
                <w:lang w:val="es-ES"/>
              </w:rPr>
              <w:t>fluidez_fonologica</w:t>
            </w:r>
          </w:p>
        </w:tc>
      </w:tr>
      <w:tr w:rsidR="0084657E" w:rsidRPr="009C7A54" w14:paraId="00C6ACF9"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vAlign w:val="center"/>
          </w:tcPr>
          <w:p w14:paraId="0ABE7ACD" w14:textId="77777777" w:rsidR="0084657E" w:rsidRPr="009C7A54" w:rsidRDefault="00000000" w:rsidP="00F872EA">
            <w:pPr>
              <w:spacing w:after="20"/>
              <w:jc w:val="both"/>
              <w:rPr>
                <w:rFonts w:asciiTheme="minorHAnsi" w:hAnsiTheme="minorHAnsi"/>
                <w:lang w:val="es-ES"/>
              </w:rPr>
            </w:pPr>
            <w:r>
              <w:rPr>
                <w:rFonts w:asciiTheme="minorHAnsi" w:hAnsiTheme="minorHAnsi"/>
                <w:color w:val="000000"/>
                <w:sz w:val="18"/>
                <w:lang w:val="es-ES"/>
              </w:rPr>
              <w:t>Resultado</w:t>
            </w:r>
          </w:p>
        </w:tc>
        <w:tc>
          <w:tcPr>
            <w:tcW w:w="6912" w:type="dxa"/>
            <w:vAlign w:val="center"/>
          </w:tcPr>
          <w:p w14:paraId="4879B94D" w14:textId="77777777" w:rsidR="0084657E" w:rsidRPr="009C7A54" w:rsidRDefault="00000000" w:rsidP="00F872EA">
            <w:pPr>
              <w:spacing w:after="20"/>
              <w:jc w:val="both"/>
              <w:cnfStyle w:val="000000100000" w:firstRow="0" w:lastRow="0" w:firstColumn="0" w:lastColumn="0" w:oddVBand="0" w:evenVBand="0" w:oddHBand="1" w:evenHBand="0" w:firstRowFirstColumn="0" w:firstRowLastColumn="0" w:lastRowFirstColumn="0" w:lastRowLastColumn="0"/>
              <w:rPr>
                <w:rFonts w:asciiTheme="minorHAnsi" w:hAnsiTheme="minorHAnsi"/>
                <w:lang w:val="es-ES"/>
              </w:rPr>
            </w:pPr>
            <w:r>
              <w:rPr>
                <w:rFonts w:asciiTheme="minorHAnsi" w:hAnsiTheme="minorHAnsi"/>
                <w:color w:val="000000"/>
                <w:sz w:val="18"/>
                <w:lang w:val="es-ES"/>
              </w:rPr>
              <w:t>etiqueta</w:t>
            </w:r>
          </w:p>
        </w:tc>
      </w:tr>
    </w:tbl>
    <w:p w14:paraId="60E67272" w14:textId="77777777" w:rsidR="0084657E" w:rsidRPr="009C7A54" w:rsidRDefault="0084657E" w:rsidP="00F872EA">
      <w:pPr>
        <w:jc w:val="both"/>
        <w:rPr>
          <w:rFonts w:asciiTheme="minorHAnsi" w:hAnsiTheme="minorHAnsi"/>
          <w:lang w:val="es-ES"/>
        </w:rPr>
      </w:pPr>
    </w:p>
    <w:p w14:paraId="03C15CC8" w14:textId="77777777" w:rsidR="0084657E" w:rsidRPr="009C7A54" w:rsidRDefault="00000000" w:rsidP="00F872EA">
      <w:pPr>
        <w:jc w:val="both"/>
        <w:rPr>
          <w:rFonts w:asciiTheme="minorHAnsi" w:hAnsiTheme="minorHAnsi"/>
          <w:lang w:val="es-ES"/>
        </w:rPr>
      </w:pPr>
      <w:r>
        <w:rPr>
          <w:lang w:val="es-ES"/>
        </w:rPr>
        <w:t>Para facilitar la lectura, las 13 etiquetas se agruparon según el tipo diagnóstico principal: desarrollo típico = 112, TDAH inatento = 301, TDAH hiperactivo/impulsivo = 175 y TDAH combinado = 287. Esta agrupación se usó solo como apoyo interpretativo; el modelamiento se realizó sobre las 13 clases originales.</w:t>
      </w:r>
    </w:p>
    <w:p w14:paraId="2C1109AC" w14:textId="77777777" w:rsidR="0084657E" w:rsidRPr="009C7A54" w:rsidRDefault="00FD5D0F" w:rsidP="00F872EA">
      <w:pPr>
        <w:jc w:val="both"/>
        <w:rPr>
          <w:rFonts w:asciiTheme="minorHAnsi" w:hAnsiTheme="minorHAnsi"/>
          <w:lang w:val="es-ES"/>
        </w:rPr>
      </w:pPr>
      <w:r>
        <w:rPr>
          <w:noProof/>
          <w:lang w:val="es-ES"/>
        </w:rPr>
        <w:drawing>
          <wp:inline distT="0" distB="0" distL="0" distR="0" wp14:anchorId="314735BE" wp14:editId="13E578E4">
            <wp:extent cx="6397884" cy="2415277"/>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6554804" cy="2474516"/>
                    </a:xfrm>
                    <a:prstGeom prst="rect">
                      <a:avLst/>
                    </a:prstGeom>
                  </pic:spPr>
                </pic:pic>
              </a:graphicData>
            </a:graphic>
          </wp:inline>
        </w:drawing>
      </w:r>
    </w:p>
    <w:p w14:paraId="24ACDAFC" w14:textId="77777777" w:rsidR="0084657E" w:rsidRPr="009C7A54" w:rsidRDefault="00000000" w:rsidP="00F872EA">
      <w:pPr>
        <w:pStyle w:val="Descripcin"/>
        <w:spacing w:before="240" w:after="120"/>
        <w:jc w:val="center"/>
        <w:rPr>
          <w:rFonts w:asciiTheme="minorHAnsi" w:hAnsiTheme="minorHAnsi"/>
          <w:lang w:val="es-ES"/>
        </w:rPr>
      </w:pPr>
      <w:r>
        <w:rPr>
          <w:rFonts w:asciiTheme="minorHAnsi" w:hAnsiTheme="minorHAnsi"/>
          <w:sz w:val="20"/>
          <w:lang w:val="es-ES"/>
        </w:rPr>
        <w:t>Figura 1. Distribución de las 13 categorías diagnósticas y agrupación por tipo principal.</w:t>
      </w:r>
    </w:p>
    <w:p w14:paraId="1659C4AD" w14:textId="77777777" w:rsidR="0084657E" w:rsidRPr="009C7A54" w:rsidRDefault="00000000" w:rsidP="00F872EA">
      <w:pPr>
        <w:pStyle w:val="Ttulo1"/>
        <w:spacing w:after="120"/>
        <w:jc w:val="both"/>
        <w:rPr>
          <w:rFonts w:asciiTheme="minorHAnsi" w:hAnsiTheme="minorHAnsi"/>
          <w:lang w:val="es-ES"/>
        </w:rPr>
      </w:pPr>
      <w:r>
        <w:rPr>
          <w:rFonts w:asciiTheme="minorHAnsi" w:hAnsiTheme="minorHAnsi"/>
          <w:sz w:val="28"/>
          <w:lang w:val="es-ES"/>
        </w:rPr>
        <w:lastRenderedPageBreak/>
        <w:t>2. Preprocesamiento</w:t>
      </w:r>
    </w:p>
    <w:p w14:paraId="0CDACD22" w14:textId="77777777" w:rsidR="0084657E" w:rsidRPr="009C7A54" w:rsidRDefault="00000000" w:rsidP="00F872EA">
      <w:pPr>
        <w:jc w:val="both"/>
        <w:rPr>
          <w:rFonts w:asciiTheme="minorHAnsi" w:hAnsiTheme="minorHAnsi"/>
          <w:lang w:val="es-ES"/>
        </w:rPr>
      </w:pPr>
      <w:r>
        <w:rPr>
          <w:rFonts w:asciiTheme="minorHAnsi" w:hAnsiTheme="minorHAnsi"/>
          <w:lang w:val="es-ES"/>
        </w:rPr>
        <w:t>El preprocesamiento tuvo como propósito convertir la base original en un conjunto analítico consistente, sin identificadores personales y con variables codificadas de forma homogénea. Las decisiones principales fueron:</w:t>
      </w:r>
    </w:p>
    <w:p w14:paraId="40FC523D" w14:textId="77777777" w:rsidR="0084657E" w:rsidRPr="009C7A54" w:rsidRDefault="00000000" w:rsidP="00F872EA">
      <w:pPr>
        <w:pStyle w:val="Listaconvietas"/>
        <w:spacing w:after="120"/>
        <w:jc w:val="both"/>
        <w:rPr>
          <w:rFonts w:asciiTheme="minorHAnsi" w:hAnsiTheme="minorHAnsi"/>
          <w:lang w:val="es-ES"/>
        </w:rPr>
      </w:pPr>
      <w:r>
        <w:rPr>
          <w:rFonts w:asciiTheme="minorHAnsi" w:hAnsiTheme="minorHAnsi"/>
          <w:lang w:val="es-ES"/>
        </w:rPr>
        <w:t>Estandarización de nombres de columnas y recodificación de variables categóricas mediante diccionarios de equivalencia.</w:t>
      </w:r>
    </w:p>
    <w:p w14:paraId="2AEBD38A" w14:textId="77777777" w:rsidR="0084657E" w:rsidRPr="009C7A54" w:rsidRDefault="00000000" w:rsidP="00F872EA">
      <w:pPr>
        <w:pStyle w:val="Listaconvietas"/>
        <w:spacing w:after="120"/>
        <w:jc w:val="both"/>
        <w:rPr>
          <w:rFonts w:asciiTheme="minorHAnsi" w:hAnsiTheme="minorHAnsi"/>
          <w:lang w:val="es-ES"/>
        </w:rPr>
      </w:pPr>
      <w:r>
        <w:rPr>
          <w:rFonts w:asciiTheme="minorHAnsi" w:hAnsiTheme="minorHAnsi"/>
          <w:lang w:val="es-ES"/>
        </w:rPr>
        <w:t>Normalización de etiquetas diagnósticas para consolidar 13 categorías finales.</w:t>
      </w:r>
    </w:p>
    <w:p w14:paraId="341F25C2" w14:textId="77777777" w:rsidR="0084657E" w:rsidRPr="009C7A54" w:rsidRDefault="00000000" w:rsidP="00F872EA">
      <w:pPr>
        <w:pStyle w:val="Listaconvietas"/>
        <w:spacing w:after="120"/>
        <w:jc w:val="both"/>
        <w:rPr>
          <w:rFonts w:asciiTheme="minorHAnsi" w:hAnsiTheme="minorHAnsi"/>
          <w:lang w:val="es-ES"/>
        </w:rPr>
      </w:pPr>
      <w:r>
        <w:rPr>
          <w:rFonts w:asciiTheme="minorHAnsi" w:hAnsiTheme="minorHAnsi"/>
          <w:lang w:val="es-ES"/>
        </w:rPr>
        <w:t>Verificación de tipos de datos en variables numéricas y categóricas.</w:t>
      </w:r>
    </w:p>
    <w:p w14:paraId="29F8480A" w14:textId="77777777" w:rsidR="0084657E" w:rsidRPr="009C7A54" w:rsidRDefault="00000000" w:rsidP="00F872EA">
      <w:pPr>
        <w:pStyle w:val="Listaconvietas"/>
        <w:spacing w:after="120"/>
        <w:jc w:val="both"/>
        <w:rPr>
          <w:rFonts w:asciiTheme="minorHAnsi" w:hAnsiTheme="minorHAnsi"/>
          <w:lang w:val="es-ES"/>
        </w:rPr>
      </w:pPr>
      <w:r>
        <w:rPr>
          <w:rFonts w:asciiTheme="minorHAnsi" w:hAnsiTheme="minorHAnsi"/>
          <w:lang w:val="es-ES"/>
        </w:rPr>
        <w:t>Revisión de consistencia entre indice_tdah y el promedio esperado de indice_inatencion e indice_impuls_hiperac.</w:t>
      </w:r>
    </w:p>
    <w:p w14:paraId="34F062D4" w14:textId="77777777" w:rsidR="0084657E" w:rsidRPr="009C7A54" w:rsidRDefault="00000000" w:rsidP="00F872EA">
      <w:pPr>
        <w:pStyle w:val="Listaconvietas"/>
        <w:spacing w:after="120"/>
        <w:jc w:val="both"/>
        <w:rPr>
          <w:rFonts w:asciiTheme="minorHAnsi" w:hAnsiTheme="minorHAnsi"/>
          <w:lang w:val="es-ES"/>
        </w:rPr>
      </w:pPr>
      <w:r>
        <w:rPr>
          <w:rFonts w:asciiTheme="minorHAnsi" w:hAnsiTheme="minorHAnsi"/>
          <w:lang w:val="es-ES"/>
        </w:rPr>
        <w:t>Eliminación de registros con inconsistencias no atribuibles a redondeo en el cálculo del índice TDAH.</w:t>
      </w:r>
    </w:p>
    <w:p w14:paraId="050C2587" w14:textId="77777777" w:rsidR="0084657E" w:rsidRPr="009C7A54" w:rsidRDefault="00000000" w:rsidP="00F872EA">
      <w:pPr>
        <w:pStyle w:val="Listaconvietas"/>
        <w:spacing w:after="120"/>
        <w:jc w:val="both"/>
        <w:rPr>
          <w:rFonts w:asciiTheme="minorHAnsi" w:hAnsiTheme="minorHAnsi"/>
          <w:lang w:val="es-ES"/>
        </w:rPr>
      </w:pPr>
      <w:r>
        <w:rPr>
          <w:rFonts w:asciiTheme="minorHAnsi" w:hAnsiTheme="minorHAnsi"/>
          <w:lang w:val="es-ES"/>
        </w:rPr>
        <w:t>Retiro de un registro con lateralidad codificada como 0, por no corresponder a Diestro, Zurdo o Ambidiestro.</w:t>
      </w:r>
    </w:p>
    <w:p w14:paraId="3E085C99" w14:textId="77777777" w:rsidR="0084657E" w:rsidRPr="009C7A54" w:rsidRDefault="00000000" w:rsidP="00F872EA">
      <w:pPr>
        <w:pStyle w:val="Listaconvietas"/>
        <w:spacing w:after="120"/>
        <w:jc w:val="both"/>
        <w:rPr>
          <w:rFonts w:asciiTheme="minorHAnsi" w:hAnsiTheme="minorHAnsi"/>
          <w:lang w:val="es-ES"/>
        </w:rPr>
      </w:pPr>
      <w:r>
        <w:rPr>
          <w:rFonts w:asciiTheme="minorHAnsi" w:hAnsiTheme="minorHAnsi"/>
          <w:lang w:val="es-ES"/>
        </w:rPr>
        <w:t>Eliminación de identificadores personales o códigos operativos antes del modelamiento.</w:t>
      </w:r>
    </w:p>
    <w:p w14:paraId="61D52808" w14:textId="77777777" w:rsidR="0084657E" w:rsidRPr="009C7A54" w:rsidRDefault="00000000" w:rsidP="00F872EA">
      <w:pPr>
        <w:pStyle w:val="Listaconvietas"/>
        <w:spacing w:after="120"/>
        <w:jc w:val="both"/>
        <w:rPr>
          <w:rFonts w:asciiTheme="minorHAnsi" w:hAnsiTheme="minorHAnsi"/>
          <w:lang w:val="es-ES"/>
        </w:rPr>
      </w:pPr>
      <w:r>
        <w:rPr>
          <w:rFonts w:asciiTheme="minorHAnsi" w:hAnsiTheme="minorHAnsi"/>
          <w:lang w:val="es-ES"/>
        </w:rPr>
        <w:t>Confirmación de ausencia de valores perdidos en el dataset final.</w:t>
      </w:r>
    </w:p>
    <w:p w14:paraId="496D9B90" w14:textId="77777777" w:rsidR="00CF1030" w:rsidRPr="009C7A54" w:rsidRDefault="00CF1030" w:rsidP="00F872EA">
      <w:pPr>
        <w:pStyle w:val="Listaconvietas"/>
        <w:numPr>
          <w:ilvl w:val="0"/>
          <w:numId w:val="0"/>
        </w:numPr>
        <w:spacing w:after="120"/>
        <w:ind w:left="360" w:hanging="360"/>
        <w:jc w:val="both"/>
        <w:rPr>
          <w:rFonts w:asciiTheme="minorHAnsi" w:hAnsiTheme="minorHAnsi"/>
          <w:lang w:val="es-ES"/>
        </w:rPr>
      </w:pPr>
    </w:p>
    <w:p w14:paraId="0CF5C94B" w14:textId="77777777" w:rsidR="00CF1030" w:rsidRPr="009C7A54" w:rsidRDefault="00CF1030" w:rsidP="00F872EA">
      <w:pPr>
        <w:jc w:val="both"/>
        <w:rPr>
          <w:rFonts w:asciiTheme="minorHAnsi" w:hAnsiTheme="minorHAnsi"/>
          <w:lang w:val="es-ES"/>
        </w:rPr>
      </w:pPr>
      <w:r>
        <w:rPr>
          <w:rFonts w:asciiTheme="minorHAnsi" w:hAnsiTheme="minorHAnsi"/>
          <w:lang w:val="es-ES"/>
        </w:rPr>
        <w:t>Durante el preprocesamiento se eliminaron los códigos 395, 302, 15330, 15329, 854, 1363, 9785, 9790, 9783, 5678, 5679, 5680, 5691, 5703, 782 y 1320. La depuración obedeció a inconsistencias del índice TDAH no atribuibles a redondeo y a una codificación inválida en lateralidad.</w:t>
      </w:r>
    </w:p>
    <w:p w14:paraId="4C37FDE3" w14:textId="77777777" w:rsidR="0084657E" w:rsidRPr="009C7A54" w:rsidRDefault="00000000" w:rsidP="00F872EA">
      <w:pPr>
        <w:pStyle w:val="Ttulo2"/>
        <w:spacing w:after="120"/>
        <w:jc w:val="both"/>
        <w:rPr>
          <w:rFonts w:asciiTheme="minorHAnsi" w:hAnsiTheme="minorHAnsi"/>
          <w:lang w:val="es-ES"/>
        </w:rPr>
      </w:pPr>
      <w:r>
        <w:rPr>
          <w:rFonts w:asciiTheme="minorHAnsi" w:hAnsiTheme="minorHAnsi"/>
          <w:sz w:val="28"/>
          <w:lang w:val="es-ES"/>
        </w:rPr>
        <w:t>2.1 Control de leakage</w:t>
      </w:r>
    </w:p>
    <w:p w14:paraId="1B13DDC9" w14:textId="77777777" w:rsidR="00E3207C" w:rsidRPr="009C7A54" w:rsidRDefault="00E3207C" w:rsidP="00F872EA">
      <w:pPr>
        <w:jc w:val="both"/>
        <w:rPr>
          <w:rFonts w:asciiTheme="minorHAnsi" w:hAnsiTheme="minorHAnsi"/>
          <w:lang w:val="es-ES"/>
        </w:rPr>
      </w:pPr>
      <w:r>
        <w:rPr>
          <w:lang w:val="es-ES"/>
        </w:rPr>
        <w:t>La figura presenta dos análisis utilizados para evaluar el riesgo de leakage en las variables predictoras. El Panel A muestra la información mutua entre cada variable y la etiqueta diagnóstica, mientras que el Panel B presenta el desempeño F1-macro obtenido al entrenar modelos individuales utilizando cada predictor por separado.</w:t>
      </w:r>
    </w:p>
    <w:p w14:paraId="64302635" w14:textId="77777777" w:rsidR="00F872EA" w:rsidRPr="009C7A54" w:rsidRDefault="00FD5D0F" w:rsidP="00F872EA">
      <w:pPr>
        <w:jc w:val="both"/>
        <w:rPr>
          <w:rFonts w:asciiTheme="minorHAnsi" w:hAnsiTheme="minorHAnsi"/>
          <w:lang w:val="es-ES"/>
        </w:rPr>
      </w:pPr>
      <w:r>
        <w:rPr>
          <w:noProof/>
          <w:lang w:val="es-ES"/>
        </w:rPr>
        <w:drawing>
          <wp:inline distT="0" distB="0" distL="0" distR="0" wp14:anchorId="4D73EC33" wp14:editId="73394335">
            <wp:extent cx="6366980" cy="2333296"/>
            <wp:effectExtent l="0" t="0" r="0" b="3810"/>
            <wp:docPr id="11463071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307179" name=""/>
                    <pic:cNvPicPr/>
                  </pic:nvPicPr>
                  <pic:blipFill>
                    <a:blip r:embed="rId9"/>
                    <a:stretch>
                      <a:fillRect/>
                    </a:stretch>
                  </pic:blipFill>
                  <pic:spPr>
                    <a:xfrm>
                      <a:off x="0" y="0"/>
                      <a:ext cx="6415826" cy="2351196"/>
                    </a:xfrm>
                    <a:prstGeom prst="rect">
                      <a:avLst/>
                    </a:prstGeom>
                  </pic:spPr>
                </pic:pic>
              </a:graphicData>
            </a:graphic>
          </wp:inline>
        </w:drawing>
      </w:r>
    </w:p>
    <w:p w14:paraId="1BFD0CF5" w14:textId="79EA7A01" w:rsidR="009C7A54" w:rsidRPr="00EE3B34" w:rsidRDefault="00000000" w:rsidP="00EE3B34">
      <w:pPr>
        <w:pStyle w:val="Descripcin"/>
      </w:pPr>
      <w:r>
        <w:t>Figura 2. Panel A: información mutua entre cada variable y la etiqueta diagnóstica. Panel B: F1-macro individual por predictor.</w:t>
      </w:r>
    </w:p>
    <w:p w14:paraId="55E6CA13" w14:textId="77777777" w:rsidR="000A2030" w:rsidRPr="009C7A54" w:rsidRDefault="000A2030" w:rsidP="00F872EA">
      <w:pPr>
        <w:jc w:val="both"/>
        <w:rPr>
          <w:rFonts w:asciiTheme="minorHAnsi" w:hAnsiTheme="minorHAnsi"/>
          <w:lang w:val="es-ES"/>
        </w:rPr>
      </w:pPr>
      <w:r>
        <w:rPr>
          <w:rFonts w:asciiTheme="minorHAnsi" w:hAnsiTheme="minorHAnsi"/>
          <w:lang w:val="es-ES"/>
        </w:rPr>
        <w:t xml:space="preserve">Las variables visibles corresponden únicamente a los predictores conservados en el modelo principal. Ninguna alcanza el umbral operativo utilizado para señalar posibles proxies fuertes del diagnóstico (F1-macro = 0.70). Este umbral se empleó como criterio metodológico de referencia y no como una prueba estadística formal. Dentro de las variables retenidas, las escalas BASC-3 presentan la mayor capacidad discriminante relativa, aunque su desempeño individual permanece claramente por debajo del nivel considerado compatible con riesgo de </w:t>
      </w:r>
      <w:r>
        <w:rPr>
          <w:rStyle w:val="s1"/>
          <w:rFonts w:asciiTheme="minorHAnsi" w:hAnsiTheme="minorHAnsi"/>
          <w:i/>
          <w:iCs/>
          <w:lang w:val="es-ES"/>
        </w:rPr>
        <w:t>leakage</w:t>
      </w:r>
      <w:r>
        <w:rPr>
          <w:rFonts w:asciiTheme="minorHAnsi" w:hAnsiTheme="minorHAnsi"/>
          <w:lang w:val="es-ES"/>
        </w:rPr>
        <w:t>.</w:t>
      </w:r>
    </w:p>
    <w:p w14:paraId="11E32827" w14:textId="77777777" w:rsidR="000A2030" w:rsidRPr="009C7A54" w:rsidRDefault="000A2030" w:rsidP="00F872EA">
      <w:pPr>
        <w:jc w:val="both"/>
        <w:rPr>
          <w:rFonts w:asciiTheme="minorHAnsi" w:hAnsiTheme="minorHAnsi"/>
          <w:lang w:val="es-ES"/>
        </w:rPr>
      </w:pPr>
      <w:r>
        <w:rPr>
          <w:rFonts w:asciiTheme="minorHAnsi" w:hAnsiTheme="minorHAnsi"/>
          <w:lang w:val="es-ES"/>
        </w:rPr>
        <w:t xml:space="preserve">Las escalas BASC-3 (hiperactividad, problemas de conducta y problemas de atención) presentaron valores de información mutua (MI) con la etiqueta superiores a los observados en varios predictores conservados e incluso comparables a algunos índices excluidos por leakage. Esto indica que el BASC-3 constituye una fuente de información altamente alineada con el diagnóstico, aunque no funciona como una variable proxy directa. La distinción metodológica relevante es que su desempeño individual permanece limitado (F1-macro máximo ≈ </w:t>
      </w:r>
      <w:r>
        <w:rPr>
          <w:rFonts w:asciiTheme="minorHAnsi" w:hAnsiTheme="minorHAnsi"/>
          <w:lang w:val="es-ES"/>
        </w:rPr>
        <w:lastRenderedPageBreak/>
        <w:t>0.31), claramente por debajo del umbral operativo de 0.70. En consecuencia, ninguna escala BASC-3 reproduce por sí sola el criterio diagnóstico. En este análisis, la información mutua se utilizó como señal inicial de alerta, mientras que el desempeño F1-macro individual constituyó el criterio principal para definir la exclusión por leakage.</w:t>
      </w:r>
    </w:p>
    <w:p w14:paraId="52880D33" w14:textId="77777777" w:rsidR="000A2030" w:rsidRPr="009C7A54" w:rsidRDefault="000A2030" w:rsidP="00F872EA">
      <w:pPr>
        <w:jc w:val="both"/>
        <w:rPr>
          <w:rFonts w:asciiTheme="minorHAnsi" w:hAnsiTheme="minorHAnsi"/>
          <w:lang w:val="es-ES"/>
        </w:rPr>
      </w:pPr>
      <w:r>
        <w:rPr>
          <w:rFonts w:asciiTheme="minorHAnsi" w:hAnsiTheme="minorHAnsi"/>
          <w:lang w:val="es-ES"/>
        </w:rPr>
        <w:t xml:space="preserve">De manera independiente, los índices </w:t>
      </w:r>
      <w:r>
        <w:rPr>
          <w:rStyle w:val="CdigoHTML"/>
          <w:rFonts w:asciiTheme="minorHAnsi" w:eastAsia="Aptos" w:hAnsiTheme="minorHAnsi"/>
          <w:lang w:val="es-ES"/>
        </w:rPr>
        <w:t>indice_tdah</w:t>
      </w:r>
      <w:r>
        <w:rPr>
          <w:rFonts w:asciiTheme="minorHAnsi" w:hAnsiTheme="minorHAnsi"/>
          <w:lang w:val="es-ES"/>
        </w:rPr>
        <w:t xml:space="preserve">, </w:t>
      </w:r>
      <w:r>
        <w:rPr>
          <w:rStyle w:val="CdigoHTML"/>
          <w:rFonts w:asciiTheme="minorHAnsi" w:eastAsia="Aptos" w:hAnsiTheme="minorHAnsi"/>
          <w:lang w:val="es-ES"/>
        </w:rPr>
        <w:t>indice_inatencion</w:t>
      </w:r>
      <w:r>
        <w:rPr>
          <w:rFonts w:asciiTheme="minorHAnsi" w:hAnsiTheme="minorHAnsi"/>
          <w:lang w:val="es-ES"/>
        </w:rPr>
        <w:t xml:space="preserve"> e </w:t>
      </w:r>
      <w:r>
        <w:rPr>
          <w:rStyle w:val="CdigoHTML"/>
          <w:rFonts w:asciiTheme="minorHAnsi" w:eastAsia="Aptos" w:hAnsiTheme="minorHAnsi"/>
          <w:lang w:val="es-ES"/>
        </w:rPr>
        <w:t>indice_impuls_hiperac</w:t>
      </w:r>
      <w:r>
        <w:rPr>
          <w:rFonts w:asciiTheme="minorHAnsi" w:hAnsiTheme="minorHAnsi"/>
          <w:lang w:val="es-ES"/>
        </w:rPr>
        <w:t xml:space="preserve"> fueron evaluados durante la fase de control de </w:t>
      </w:r>
      <w:r>
        <w:rPr>
          <w:rStyle w:val="s1"/>
          <w:rFonts w:asciiTheme="minorHAnsi" w:hAnsiTheme="minorHAnsi"/>
          <w:i/>
          <w:iCs/>
          <w:lang w:val="es-ES"/>
        </w:rPr>
        <w:t>leakage</w:t>
      </w:r>
      <w:r>
        <w:rPr>
          <w:rFonts w:asciiTheme="minorHAnsi" w:hAnsiTheme="minorHAnsi"/>
          <w:lang w:val="es-ES"/>
        </w:rPr>
        <w:t>. Estos índices mostraron valores consistentemente superiores tanto en información mutua como en desempeño predictivo individual, lo que indica una relación muy cercana con la definición operativa de la etiqueta diagnóstica. La exclusión de estos índices busca evitar que el modelo aprenda patrones directamente derivados del propio criterio diagnóstico. En consecuencia, el escenario principal evalúa la capacidad predictiva a partir de variables clínicas complementarias y no de medidas directamente derivadas de la construcción de la etiqueta.</w:t>
      </w:r>
    </w:p>
    <w:p w14:paraId="486F3DBC" w14:textId="77777777" w:rsidR="0084657E" w:rsidRPr="009C7A54" w:rsidRDefault="00000000" w:rsidP="00F872EA">
      <w:pPr>
        <w:pStyle w:val="Ttulo1"/>
        <w:spacing w:after="120"/>
        <w:jc w:val="both"/>
        <w:rPr>
          <w:rFonts w:asciiTheme="minorHAnsi" w:hAnsiTheme="minorHAnsi"/>
          <w:lang w:val="es-ES"/>
        </w:rPr>
      </w:pPr>
      <w:r>
        <w:rPr>
          <w:rFonts w:asciiTheme="minorHAnsi" w:hAnsiTheme="minorHAnsi"/>
          <w:sz w:val="28"/>
          <w:lang w:val="es-ES"/>
        </w:rPr>
        <w:t>3. Análisis exploratorio de datos</w:t>
      </w:r>
    </w:p>
    <w:p w14:paraId="6EA037D3" w14:textId="77777777" w:rsidR="009C7A54" w:rsidRDefault="00000000" w:rsidP="00F872EA">
      <w:pPr>
        <w:jc w:val="both"/>
        <w:rPr>
          <w:rFonts w:asciiTheme="minorHAnsi" w:hAnsiTheme="minorHAnsi"/>
          <w:lang w:val="es-ES"/>
        </w:rPr>
      </w:pPr>
      <w:r>
        <w:rPr>
          <w:rFonts w:asciiTheme="minorHAnsi" w:hAnsiTheme="minorHAnsi"/>
          <w:lang w:val="es-ES"/>
        </w:rPr>
        <w:t xml:space="preserve">El análisis bivariado exploró la relación entre variables categóricas y etiqueta diagnóstica. </w:t>
      </w:r>
    </w:p>
    <w:p w14:paraId="138A9463" w14:textId="77777777" w:rsidR="0084657E" w:rsidRPr="009C7A54" w:rsidRDefault="00000000" w:rsidP="00F872EA">
      <w:pPr>
        <w:jc w:val="both"/>
        <w:rPr>
          <w:rFonts w:asciiTheme="minorHAnsi" w:hAnsiTheme="minorHAnsi"/>
          <w:lang w:val="es-ES"/>
        </w:rPr>
      </w:pPr>
      <w:r>
        <w:rPr>
          <w:rFonts w:asciiTheme="minorHAnsi" w:hAnsiTheme="minorHAnsi"/>
          <w:noProof/>
          <w:lang w:val="es-ES"/>
        </w:rPr>
        <w:drawing>
          <wp:inline distT="0" distB="0" distL="0" distR="0" wp14:anchorId="7853E8DA" wp14:editId="5DB0EA72">
            <wp:extent cx="6328272" cy="249542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0"/>
                    <a:stretch>
                      <a:fillRect/>
                    </a:stretch>
                  </pic:blipFill>
                  <pic:spPr>
                    <a:xfrm>
                      <a:off x="0" y="0"/>
                      <a:ext cx="6347653" cy="2503070"/>
                    </a:xfrm>
                    <a:prstGeom prst="rect">
                      <a:avLst/>
                    </a:prstGeom>
                  </pic:spPr>
                </pic:pic>
              </a:graphicData>
            </a:graphic>
          </wp:inline>
        </w:drawing>
      </w:r>
    </w:p>
    <w:p w14:paraId="466B61AC" w14:textId="77777777" w:rsidR="0084657E" w:rsidRPr="009C7A54" w:rsidRDefault="00000000" w:rsidP="00F872EA">
      <w:pPr>
        <w:pStyle w:val="Descripcin"/>
        <w:spacing w:before="240" w:after="120"/>
        <w:jc w:val="both"/>
        <w:rPr>
          <w:rFonts w:asciiTheme="minorHAnsi" w:hAnsiTheme="minorHAnsi"/>
          <w:lang w:val="es-ES"/>
        </w:rPr>
      </w:pPr>
      <w:r>
        <w:rPr>
          <w:rFonts w:asciiTheme="minorHAnsi" w:hAnsiTheme="minorHAnsi"/>
          <w:sz w:val="20"/>
          <w:lang w:val="es-ES"/>
        </w:rPr>
        <w:t>Figura 3. Distribución de sexo por categoría diagnóstica.</w:t>
      </w:r>
    </w:p>
    <w:p w14:paraId="208ED6CF" w14:textId="240A7D59" w:rsidR="002E397F" w:rsidRPr="009C7A54" w:rsidRDefault="00000000" w:rsidP="00F872EA">
      <w:pPr>
        <w:jc w:val="both"/>
        <w:rPr>
          <w:rFonts w:asciiTheme="minorHAnsi" w:hAnsiTheme="minorHAnsi"/>
          <w:iCs/>
          <w:lang w:val="es-ES"/>
        </w:rPr>
      </w:pPr>
      <w:r>
        <w:rPr>
          <w:rFonts w:asciiTheme="minorHAnsi" w:hAnsiTheme="minorHAnsi"/>
          <w:iCs/>
          <w:lang w:val="es-ES"/>
        </w:rPr>
        <w:t>La distribución por sexo muestra predominio masculino en la mayoría de las categorías diagnósticas. La magnitud del predominio varía entre subtipos, lo que sugiere heterogeneidad clínica dentro de la muestra. Las categorías con bajo soporte deben interpretarse con cuidado porque pequeñas variaciones absolutas pueden generar cambios proporcionales amplios.</w:t>
      </w:r>
    </w:p>
    <w:p w14:paraId="22D37614" w14:textId="77777777" w:rsidR="0084657E" w:rsidRPr="009C7A54" w:rsidRDefault="00000000" w:rsidP="00F872EA">
      <w:pPr>
        <w:jc w:val="both"/>
        <w:rPr>
          <w:rFonts w:asciiTheme="minorHAnsi" w:hAnsiTheme="minorHAnsi"/>
          <w:lang w:val="es-ES"/>
        </w:rPr>
      </w:pPr>
      <w:r>
        <w:rPr>
          <w:rFonts w:asciiTheme="minorHAnsi" w:hAnsiTheme="minorHAnsi"/>
          <w:noProof/>
          <w:lang w:val="es-ES"/>
        </w:rPr>
        <w:lastRenderedPageBreak/>
        <w:drawing>
          <wp:inline distT="0" distB="0" distL="0" distR="0" wp14:anchorId="46190368" wp14:editId="307041C0">
            <wp:extent cx="6404570" cy="243221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1"/>
                    <a:stretch>
                      <a:fillRect/>
                    </a:stretch>
                  </pic:blipFill>
                  <pic:spPr>
                    <a:xfrm>
                      <a:off x="0" y="0"/>
                      <a:ext cx="6439181" cy="2445355"/>
                    </a:xfrm>
                    <a:prstGeom prst="rect">
                      <a:avLst/>
                    </a:prstGeom>
                  </pic:spPr>
                </pic:pic>
              </a:graphicData>
            </a:graphic>
          </wp:inline>
        </w:drawing>
      </w:r>
    </w:p>
    <w:p w14:paraId="25659D8E" w14:textId="77777777" w:rsidR="0084657E" w:rsidRPr="009C7A54" w:rsidRDefault="00000000" w:rsidP="00F872EA">
      <w:pPr>
        <w:pStyle w:val="Descripcin"/>
        <w:spacing w:before="240" w:after="120"/>
        <w:jc w:val="both"/>
        <w:rPr>
          <w:rFonts w:asciiTheme="minorHAnsi" w:hAnsiTheme="minorHAnsi"/>
          <w:lang w:val="es-ES"/>
        </w:rPr>
      </w:pPr>
      <w:r>
        <w:rPr>
          <w:rFonts w:asciiTheme="minorHAnsi" w:hAnsiTheme="minorHAnsi"/>
          <w:sz w:val="20"/>
          <w:lang w:val="es-ES"/>
        </w:rPr>
        <w:t>Figura 4. Lateralidad por tipo diagnóstico.</w:t>
      </w:r>
    </w:p>
    <w:p w14:paraId="465A2495" w14:textId="56FB77E3" w:rsidR="0023061F" w:rsidRPr="009C7A54" w:rsidRDefault="00000000" w:rsidP="00F872EA">
      <w:pPr>
        <w:jc w:val="both"/>
        <w:rPr>
          <w:rFonts w:asciiTheme="minorHAnsi" w:hAnsiTheme="minorHAnsi"/>
          <w:iCs/>
          <w:lang w:val="es-ES"/>
        </w:rPr>
      </w:pPr>
      <w:r>
        <w:rPr>
          <w:rFonts w:asciiTheme="minorHAnsi" w:hAnsiTheme="minorHAnsi"/>
          <w:iCs/>
          <w:lang w:val="es-ES"/>
        </w:rPr>
        <w:t xml:space="preserve">La lateralidad presenta una distribución relativamente homogénea entre categorías, dominada por casos diestros. No se observan patrones visuales suficientemente marcados que sugieran una asociación fuerte entre lateralidad y diagnóstico. </w:t>
      </w:r>
    </w:p>
    <w:p w14:paraId="0B3A335C" w14:textId="77777777" w:rsidR="00F872EA" w:rsidRPr="009C7A54" w:rsidRDefault="00F872EA" w:rsidP="00F872EA">
      <w:pPr>
        <w:jc w:val="both"/>
        <w:rPr>
          <w:lang w:val="es-ES"/>
        </w:rPr>
      </w:pPr>
    </w:p>
    <w:p w14:paraId="52D111FC" w14:textId="77777777" w:rsidR="00F872EA" w:rsidRPr="009C7A54" w:rsidRDefault="00F872EA" w:rsidP="00F872EA">
      <w:pPr>
        <w:jc w:val="both"/>
        <w:rPr>
          <w:lang w:val="es-ES"/>
        </w:rPr>
      </w:pPr>
      <w:r>
        <w:rPr>
          <w:noProof/>
          <w:lang w:val="es-ES"/>
        </w:rPr>
        <w:drawing>
          <wp:inline distT="0" distB="0" distL="0" distR="0" wp14:anchorId="618B5234" wp14:editId="40E92CBF">
            <wp:extent cx="6400800" cy="1986280"/>
            <wp:effectExtent l="0" t="0" r="0" b="0"/>
            <wp:docPr id="100952976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00800" cy="1986280"/>
                    </a:xfrm>
                    <a:prstGeom prst="rect">
                      <a:avLst/>
                    </a:prstGeom>
                    <a:noFill/>
                    <a:ln>
                      <a:noFill/>
                    </a:ln>
                  </pic:spPr>
                </pic:pic>
              </a:graphicData>
            </a:graphic>
          </wp:inline>
        </w:drawing>
      </w:r>
      <w:r>
        <w:rPr>
          <w:lang w:val="es-ES"/>
        </w:rPr>
        <w:t>Los subtipos asociados a TDAH hiperactivo/impulsivo presentan proporciones relativamente altas de antecedentes familiares de TDAH, mientras que algunas categorías con comorbilidades del neurodesarrollo concentran mayor presencia de antecedentes relacionados con otros trastornos del neurodesarrollo o trastornos psicopatológicos. En contraste, el grupo de desarrollo típico presenta la mayor proporción de casos sin antecedentes familiares reportados. El estadístico Chi² (167.98; p ≈ 3.2×10</w:t>
      </w:r>
      <w:r>
        <w:rPr>
          <w:rFonts w:ascii="Cambria Math" w:hAnsi="Cambria Math" w:cs="Cambria Math"/>
          <w:lang w:val="es-ES"/>
        </w:rPr>
        <w:t>⁻</w:t>
      </w:r>
      <w:r>
        <w:rPr>
          <w:lang w:val="es-ES"/>
        </w:rPr>
        <w:t>¹⁵) indica una asociación global entre antecedentes familiares y categoría diagnóstica.</w:t>
      </w:r>
    </w:p>
    <w:p w14:paraId="39ABC7EA" w14:textId="77777777" w:rsidR="000C21FD" w:rsidRDefault="00000000">
      <w:pPr>
        <w:pStyle w:val="Descripcin"/>
      </w:pPr>
      <w:r>
        <w:t>Figura 5. Antecedentes familiares por diagnóstico.</w:t>
      </w:r>
    </w:p>
    <w:p w14:paraId="0E212DE8" w14:textId="77777777" w:rsidR="00F872EA" w:rsidRPr="009C7A54" w:rsidRDefault="00F872EA" w:rsidP="00F872EA">
      <w:pPr>
        <w:jc w:val="both"/>
        <w:rPr>
          <w:lang w:val="es-ES"/>
        </w:rPr>
      </w:pPr>
      <w:r>
        <w:rPr>
          <w:noProof/>
          <w:lang w:val="es-ES"/>
        </w:rPr>
        <w:lastRenderedPageBreak/>
        <w:drawing>
          <wp:inline distT="0" distB="0" distL="0" distR="0" wp14:anchorId="2315E049" wp14:editId="194A2770">
            <wp:extent cx="6400800" cy="1982470"/>
            <wp:effectExtent l="0" t="0" r="0" b="0"/>
            <wp:docPr id="5430238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023850" name=""/>
                    <pic:cNvPicPr/>
                  </pic:nvPicPr>
                  <pic:blipFill>
                    <a:blip r:embed="rId13"/>
                    <a:stretch>
                      <a:fillRect/>
                    </a:stretch>
                  </pic:blipFill>
                  <pic:spPr>
                    <a:xfrm>
                      <a:off x="0" y="0"/>
                      <a:ext cx="6400800" cy="1982470"/>
                    </a:xfrm>
                    <a:prstGeom prst="rect">
                      <a:avLst/>
                    </a:prstGeom>
                  </pic:spPr>
                </pic:pic>
              </a:graphicData>
            </a:graphic>
          </wp:inline>
        </w:drawing>
      </w:r>
    </w:p>
    <w:p w14:paraId="29EAE537" w14:textId="77777777" w:rsidR="00F872EA" w:rsidRPr="009C7A54" w:rsidRDefault="00F872EA" w:rsidP="00F872EA">
      <w:pPr>
        <w:pStyle w:val="Descripcin"/>
        <w:spacing w:before="240" w:after="120"/>
        <w:jc w:val="both"/>
        <w:rPr>
          <w:lang w:val="es-ES"/>
        </w:rPr>
      </w:pPr>
      <w:r>
        <w:rPr>
          <w:sz w:val="20"/>
          <w:lang w:val="es-ES"/>
        </w:rPr>
        <w:t>Figura 6. Antecedentes obstétricos por diagnóstico.</w:t>
      </w:r>
    </w:p>
    <w:p w14:paraId="336830D8" w14:textId="5A29E14C" w:rsidR="00F872EA" w:rsidRPr="009C7A54" w:rsidRDefault="00F872EA" w:rsidP="00F872EA">
      <w:pPr>
        <w:jc w:val="both"/>
        <w:rPr>
          <w:lang w:val="es-ES"/>
        </w:rPr>
      </w:pPr>
      <w:r>
        <w:rPr>
          <w:lang w:val="es-ES"/>
        </w:rPr>
        <w:t>En la mayoría de los grupos predomina la categoría “No hay”, aunque algunas categorías asociadas a TDAH con comorbilidades presentan proporciones relativamente mayores de antecedentes relacionados con embarazo, parto o ambos. El grupo de desarrollo típico concentra una de las proporciones más altas de ausencia de antecedentes obstétricos reportados, mientras que ciertas categorías con TEA o TEAZ muestran distribuciones más equilibradas entre tipos de antecedentes. El estadístico Chi² (88.66; p ≈ 2.47×10</w:t>
      </w:r>
      <w:r>
        <w:rPr>
          <w:rFonts w:ascii="Cambria Math" w:hAnsi="Cambria Math" w:cs="Cambria Math"/>
          <w:lang w:val="es-ES"/>
        </w:rPr>
        <w:t>⁻</w:t>
      </w:r>
      <w:r>
        <w:rPr>
          <w:lang w:val="es-ES"/>
        </w:rPr>
        <w:t>⁶) indica asociación global entre antecedentes obstétricos y categoría diagnóstica.</w:t>
      </w:r>
    </w:p>
    <w:p w14:paraId="3F269B58" w14:textId="77777777" w:rsidR="00F872EA" w:rsidRPr="009C7A54" w:rsidRDefault="00F872EA" w:rsidP="00F872EA">
      <w:pPr>
        <w:jc w:val="both"/>
        <w:rPr>
          <w:lang w:val="es-ES"/>
        </w:rPr>
      </w:pPr>
      <w:r>
        <w:rPr>
          <w:noProof/>
          <w:lang w:val="es-ES"/>
        </w:rPr>
        <w:drawing>
          <wp:inline distT="0" distB="0" distL="0" distR="0" wp14:anchorId="4CD7C223" wp14:editId="0C3F9960">
            <wp:extent cx="6400800" cy="1984375"/>
            <wp:effectExtent l="0" t="0" r="0" b="0"/>
            <wp:docPr id="9377391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739148" name=""/>
                    <pic:cNvPicPr/>
                  </pic:nvPicPr>
                  <pic:blipFill>
                    <a:blip r:embed="rId14"/>
                    <a:stretch>
                      <a:fillRect/>
                    </a:stretch>
                  </pic:blipFill>
                  <pic:spPr>
                    <a:xfrm>
                      <a:off x="0" y="0"/>
                      <a:ext cx="6400800" cy="1984375"/>
                    </a:xfrm>
                    <a:prstGeom prst="rect">
                      <a:avLst/>
                    </a:prstGeom>
                  </pic:spPr>
                </pic:pic>
              </a:graphicData>
            </a:graphic>
          </wp:inline>
        </w:drawing>
      </w:r>
    </w:p>
    <w:p w14:paraId="472266BF" w14:textId="77777777" w:rsidR="00F872EA" w:rsidRPr="009C7A54" w:rsidRDefault="00F872EA" w:rsidP="00F872EA">
      <w:pPr>
        <w:pStyle w:val="Descripcin"/>
        <w:spacing w:before="240" w:after="120"/>
        <w:jc w:val="both"/>
        <w:rPr>
          <w:lang w:val="es-ES"/>
        </w:rPr>
      </w:pPr>
      <w:r>
        <w:rPr>
          <w:sz w:val="20"/>
          <w:lang w:val="es-ES"/>
        </w:rPr>
        <w:t>Figura 7. Retrasos en el desarrollo por diagnóstico.</w:t>
      </w:r>
    </w:p>
    <w:p w14:paraId="0DCC76D2" w14:textId="77777777" w:rsidR="00F872EA" w:rsidRPr="009C7A54" w:rsidRDefault="00F872EA" w:rsidP="00F872EA">
      <w:pPr>
        <w:jc w:val="both"/>
        <w:rPr>
          <w:lang w:val="es-ES"/>
        </w:rPr>
      </w:pPr>
      <w:r>
        <w:rPr>
          <w:lang w:val="es-ES"/>
        </w:rPr>
        <w:t>La distribución de retrasos en el desarrollo muestra diferencias marcadas entre categorías diagnósticas y representa una de las asociaciones descriptivas más fuertes observadas en el análisis bivariado (Chi² = 219.67; p ≈ 8.39×10</w:t>
      </w:r>
      <w:r>
        <w:rPr>
          <w:rFonts w:ascii="Cambria Math" w:hAnsi="Cambria Math" w:cs="Cambria Math"/>
          <w:lang w:val="es-ES"/>
        </w:rPr>
        <w:t>⁻</w:t>
      </w:r>
      <w:r>
        <w:rPr>
          <w:lang w:val="es-ES"/>
        </w:rPr>
        <w:t>²⁴). El grupo de desarrollo típico concentra la mayor proporción de casos sin retrasos reportados, mientras que las categorías asociadas a TEA y TEAZ presentan frecuencias relativamente altas de retrasos múltiples (“Varios”) y de alteraciones en audición/lenguaje. Algunas categorías con TND muestran además incrementos en retrasos personales/sociales. En conjunto, los patrones observados sugieren mayor complejidad del neurodesarrollo en subtipos con comorbilidades, especialmente aquellos relacionados con espectro autista.</w:t>
      </w:r>
    </w:p>
    <w:p w14:paraId="77F70A10" w14:textId="77777777" w:rsidR="0084657E" w:rsidRPr="009C7A54" w:rsidRDefault="00000000" w:rsidP="00F872EA">
      <w:pPr>
        <w:pStyle w:val="Ttulo1"/>
        <w:spacing w:after="120"/>
        <w:jc w:val="both"/>
        <w:rPr>
          <w:rFonts w:asciiTheme="minorHAnsi" w:hAnsiTheme="minorHAnsi"/>
          <w:lang w:val="es-ES"/>
        </w:rPr>
      </w:pPr>
      <w:r>
        <w:rPr>
          <w:rFonts w:asciiTheme="minorHAnsi" w:hAnsiTheme="minorHAnsi"/>
          <w:sz w:val="28"/>
          <w:lang w:val="es-ES"/>
        </w:rPr>
        <w:t>4. Modelamiento predictivo</w:t>
      </w:r>
    </w:p>
    <w:p w14:paraId="5B49F55B" w14:textId="67ECE75F" w:rsidR="00147524" w:rsidRPr="009C7A54" w:rsidRDefault="00147524" w:rsidP="00F872EA">
      <w:pPr>
        <w:jc w:val="both"/>
        <w:rPr>
          <w:rFonts w:asciiTheme="minorHAnsi" w:hAnsiTheme="minorHAnsi"/>
          <w:lang w:val="es-ES"/>
        </w:rPr>
      </w:pPr>
      <w:r>
        <w:rPr>
          <w:lang w:val="es-ES"/>
        </w:rPr>
        <w:t xml:space="preserve">La Figura 8 compara el desempeño de regresión logística, Random Forest y XGBoost mediante F1-macro en validación cruzada y en el conjunto de prueba. Random Forest presentó el mejor desempeño global, con F1-macro promedio en validación cruzada de 0.953 y F1-macro en prueba de 0.952. XGBoost mostró un desempeño cercano, mientras que regresión logística tuvo resultados inferiores, aunque aún consistentes. La cercanía entre los valores de validación cruzada y prueba sugiere estabilidad interna del modelo. No se observa una diferencia </w:t>
      </w:r>
      <w:r>
        <w:rPr>
          <w:lang w:val="es-ES"/>
        </w:rPr>
        <w:lastRenderedPageBreak/>
        <w:t>importante entre validación cruzada y prueba bajo esta partición. No obstante, estos resultados corresponden a validación interna y no deben interpretarse como evidencia de generalización externa. La diferencia entre accuracy y F1-macro refleja parcialmente el desbalance entre categorías diagnósticas.</w:t>
      </w:r>
    </w:p>
    <w:p w14:paraId="3F569354" w14:textId="77777777" w:rsidR="000C21FD" w:rsidRDefault="00000000">
      <w:pPr>
        <w:pStyle w:val="Descripcin"/>
      </w:pPr>
      <w:r>
        <w:t>Tabla 3. Desempeño de los modelos evaluados: F1-macro en validación cruzada y conjunto de prueba.</w:t>
      </w:r>
    </w:p>
    <w:tbl>
      <w:tblPr>
        <w:tblStyle w:val="Sombreadoclaro-nfasis1"/>
        <w:tblW w:w="0" w:type="auto"/>
        <w:jc w:val="center"/>
        <w:tblLook w:val="04A0" w:firstRow="1" w:lastRow="0" w:firstColumn="1" w:lastColumn="0" w:noHBand="0" w:noVBand="1"/>
      </w:tblPr>
      <w:tblGrid>
        <w:gridCol w:w="2880"/>
        <w:gridCol w:w="1728"/>
        <w:gridCol w:w="1440"/>
        <w:gridCol w:w="1728"/>
        <w:gridCol w:w="1728"/>
      </w:tblGrid>
      <w:tr w:rsidR="0084657E" w:rsidRPr="009C7A54" w14:paraId="56893015"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1F4E79"/>
            <w:vAlign w:val="center"/>
          </w:tcPr>
          <w:p w14:paraId="775ECD3C" w14:textId="77777777" w:rsidR="0084657E" w:rsidRPr="009C7A54" w:rsidRDefault="00000000" w:rsidP="00F872EA">
            <w:pPr>
              <w:spacing w:after="20"/>
              <w:jc w:val="both"/>
              <w:rPr>
                <w:rFonts w:asciiTheme="minorHAnsi" w:hAnsiTheme="minorHAnsi"/>
                <w:color w:val="FFFFFF" w:themeColor="background1"/>
                <w:lang w:val="es-ES"/>
              </w:rPr>
            </w:pPr>
            <w:r>
              <w:rPr>
                <w:rFonts w:asciiTheme="minorHAnsi" w:hAnsiTheme="minorHAnsi"/>
                <w:color w:val="FFFFFF" w:themeColor="background1"/>
                <w:sz w:val="18"/>
                <w:lang w:val="es-ES"/>
              </w:rPr>
              <w:t>Modelo</w:t>
            </w:r>
          </w:p>
        </w:tc>
        <w:tc>
          <w:tcPr>
            <w:tcW w:w="1728" w:type="dxa"/>
            <w:shd w:val="clear" w:color="auto" w:fill="1F4E79"/>
            <w:vAlign w:val="center"/>
          </w:tcPr>
          <w:p w14:paraId="0AF48131" w14:textId="77777777" w:rsidR="0084657E" w:rsidRPr="009C7A54" w:rsidRDefault="00000000" w:rsidP="00F872EA">
            <w:pPr>
              <w:spacing w:after="20"/>
              <w:jc w:val="both"/>
              <w:cnfStyle w:val="100000000000" w:firstRow="1" w:lastRow="0" w:firstColumn="0" w:lastColumn="0" w:oddVBand="0" w:evenVBand="0" w:oddHBand="0" w:evenHBand="0" w:firstRowFirstColumn="0" w:firstRowLastColumn="0" w:lastRowFirstColumn="0" w:lastRowLastColumn="0"/>
              <w:rPr>
                <w:rFonts w:asciiTheme="minorHAnsi" w:hAnsiTheme="minorHAnsi"/>
                <w:color w:val="FFFFFF" w:themeColor="background1"/>
                <w:lang w:val="es-ES"/>
              </w:rPr>
            </w:pPr>
            <w:r>
              <w:rPr>
                <w:rFonts w:asciiTheme="minorHAnsi" w:hAnsiTheme="minorHAnsi"/>
                <w:color w:val="FFFFFF" w:themeColor="background1"/>
                <w:sz w:val="18"/>
                <w:lang w:val="es-ES"/>
              </w:rPr>
              <w:t>CV F1-macro</w:t>
            </w:r>
          </w:p>
        </w:tc>
        <w:tc>
          <w:tcPr>
            <w:tcW w:w="1440" w:type="dxa"/>
            <w:shd w:val="clear" w:color="auto" w:fill="1F4E79"/>
            <w:vAlign w:val="center"/>
          </w:tcPr>
          <w:p w14:paraId="610CFB28" w14:textId="77777777" w:rsidR="0084657E" w:rsidRPr="009C7A54" w:rsidRDefault="00000000" w:rsidP="00F872EA">
            <w:pPr>
              <w:spacing w:after="20"/>
              <w:jc w:val="both"/>
              <w:cnfStyle w:val="100000000000" w:firstRow="1" w:lastRow="0" w:firstColumn="0" w:lastColumn="0" w:oddVBand="0" w:evenVBand="0" w:oddHBand="0" w:evenHBand="0" w:firstRowFirstColumn="0" w:firstRowLastColumn="0" w:lastRowFirstColumn="0" w:lastRowLastColumn="0"/>
              <w:rPr>
                <w:rFonts w:asciiTheme="minorHAnsi" w:hAnsiTheme="minorHAnsi"/>
                <w:color w:val="FFFFFF" w:themeColor="background1"/>
                <w:lang w:val="es-ES"/>
              </w:rPr>
            </w:pPr>
            <w:r>
              <w:rPr>
                <w:rFonts w:asciiTheme="minorHAnsi" w:hAnsiTheme="minorHAnsi"/>
                <w:color w:val="FFFFFF" w:themeColor="background1"/>
                <w:sz w:val="18"/>
                <w:lang w:val="es-ES"/>
              </w:rPr>
              <w:t>DE CV</w:t>
            </w:r>
          </w:p>
        </w:tc>
        <w:tc>
          <w:tcPr>
            <w:tcW w:w="1728" w:type="dxa"/>
            <w:shd w:val="clear" w:color="auto" w:fill="1F4E79"/>
            <w:vAlign w:val="center"/>
          </w:tcPr>
          <w:p w14:paraId="4A0C1CE0" w14:textId="77777777" w:rsidR="0084657E" w:rsidRPr="009C7A54" w:rsidRDefault="00000000" w:rsidP="00F872EA">
            <w:pPr>
              <w:spacing w:after="20"/>
              <w:jc w:val="both"/>
              <w:cnfStyle w:val="100000000000" w:firstRow="1" w:lastRow="0" w:firstColumn="0" w:lastColumn="0" w:oddVBand="0" w:evenVBand="0" w:oddHBand="0" w:evenHBand="0" w:firstRowFirstColumn="0" w:firstRowLastColumn="0" w:lastRowFirstColumn="0" w:lastRowLastColumn="0"/>
              <w:rPr>
                <w:rFonts w:asciiTheme="minorHAnsi" w:hAnsiTheme="minorHAnsi"/>
                <w:color w:val="FFFFFF" w:themeColor="background1"/>
                <w:lang w:val="es-ES"/>
              </w:rPr>
            </w:pPr>
            <w:r>
              <w:rPr>
                <w:rFonts w:asciiTheme="minorHAnsi" w:hAnsiTheme="minorHAnsi"/>
                <w:color w:val="FFFFFF" w:themeColor="background1"/>
                <w:sz w:val="18"/>
                <w:lang w:val="es-ES"/>
              </w:rPr>
              <w:t>Test F1-macro</w:t>
            </w:r>
          </w:p>
        </w:tc>
        <w:tc>
          <w:tcPr>
            <w:tcW w:w="1728" w:type="dxa"/>
            <w:shd w:val="clear" w:color="auto" w:fill="1F4E79"/>
            <w:vAlign w:val="center"/>
          </w:tcPr>
          <w:p w14:paraId="4DBC9411" w14:textId="77777777" w:rsidR="0084657E" w:rsidRPr="009C7A54" w:rsidRDefault="00000000" w:rsidP="00F872EA">
            <w:pPr>
              <w:spacing w:after="20"/>
              <w:jc w:val="both"/>
              <w:cnfStyle w:val="100000000000" w:firstRow="1" w:lastRow="0" w:firstColumn="0" w:lastColumn="0" w:oddVBand="0" w:evenVBand="0" w:oddHBand="0" w:evenHBand="0" w:firstRowFirstColumn="0" w:firstRowLastColumn="0" w:lastRowFirstColumn="0" w:lastRowLastColumn="0"/>
              <w:rPr>
                <w:rFonts w:asciiTheme="minorHAnsi" w:hAnsiTheme="minorHAnsi"/>
                <w:color w:val="FFFFFF" w:themeColor="background1"/>
                <w:lang w:val="es-ES"/>
              </w:rPr>
            </w:pPr>
            <w:r>
              <w:rPr>
                <w:rFonts w:asciiTheme="minorHAnsi" w:hAnsiTheme="minorHAnsi"/>
                <w:color w:val="FFFFFF" w:themeColor="background1"/>
                <w:sz w:val="18"/>
                <w:lang w:val="es-ES"/>
              </w:rPr>
              <w:t>Test accuracy</w:t>
            </w:r>
          </w:p>
        </w:tc>
      </w:tr>
      <w:tr w:rsidR="0084657E" w:rsidRPr="009C7A54" w14:paraId="07002F27"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680682A6" w14:textId="77777777" w:rsidR="0084657E" w:rsidRPr="009C7A54" w:rsidRDefault="00000000" w:rsidP="00F872EA">
            <w:pPr>
              <w:spacing w:after="20"/>
              <w:jc w:val="both"/>
              <w:rPr>
                <w:rFonts w:asciiTheme="minorHAnsi" w:hAnsiTheme="minorHAnsi"/>
                <w:lang w:val="es-ES"/>
              </w:rPr>
            </w:pPr>
            <w:r>
              <w:rPr>
                <w:rFonts w:asciiTheme="minorHAnsi" w:hAnsiTheme="minorHAnsi"/>
                <w:color w:val="000000"/>
                <w:sz w:val="18"/>
                <w:lang w:val="es-ES"/>
              </w:rPr>
              <w:t>Regresión logística</w:t>
            </w:r>
          </w:p>
        </w:tc>
        <w:tc>
          <w:tcPr>
            <w:tcW w:w="1728" w:type="dxa"/>
            <w:vAlign w:val="center"/>
          </w:tcPr>
          <w:p w14:paraId="5CCEFF28" w14:textId="77777777" w:rsidR="0084657E" w:rsidRPr="009C7A54" w:rsidRDefault="00000000" w:rsidP="00F872EA">
            <w:pPr>
              <w:spacing w:after="20"/>
              <w:jc w:val="both"/>
              <w:cnfStyle w:val="000000100000" w:firstRow="0" w:lastRow="0" w:firstColumn="0" w:lastColumn="0" w:oddVBand="0" w:evenVBand="0" w:oddHBand="1" w:evenHBand="0" w:firstRowFirstColumn="0" w:firstRowLastColumn="0" w:lastRowFirstColumn="0" w:lastRowLastColumn="0"/>
              <w:rPr>
                <w:rFonts w:asciiTheme="minorHAnsi" w:hAnsiTheme="minorHAnsi"/>
                <w:lang w:val="es-ES"/>
              </w:rPr>
            </w:pPr>
            <w:r>
              <w:rPr>
                <w:rFonts w:asciiTheme="minorHAnsi" w:hAnsiTheme="minorHAnsi"/>
                <w:color w:val="000000"/>
                <w:sz w:val="18"/>
                <w:lang w:val="es-ES"/>
              </w:rPr>
              <w:t>0.841</w:t>
            </w:r>
          </w:p>
        </w:tc>
        <w:tc>
          <w:tcPr>
            <w:tcW w:w="1440" w:type="dxa"/>
            <w:vAlign w:val="center"/>
          </w:tcPr>
          <w:p w14:paraId="0C1F8E1B" w14:textId="77777777" w:rsidR="0084657E" w:rsidRPr="009C7A54" w:rsidRDefault="00000000" w:rsidP="00F872EA">
            <w:pPr>
              <w:spacing w:after="20"/>
              <w:jc w:val="both"/>
              <w:cnfStyle w:val="000000100000" w:firstRow="0" w:lastRow="0" w:firstColumn="0" w:lastColumn="0" w:oddVBand="0" w:evenVBand="0" w:oddHBand="1" w:evenHBand="0" w:firstRowFirstColumn="0" w:firstRowLastColumn="0" w:lastRowFirstColumn="0" w:lastRowLastColumn="0"/>
              <w:rPr>
                <w:rFonts w:asciiTheme="minorHAnsi" w:hAnsiTheme="minorHAnsi"/>
                <w:lang w:val="es-ES"/>
              </w:rPr>
            </w:pPr>
            <w:r>
              <w:rPr>
                <w:rFonts w:asciiTheme="minorHAnsi" w:hAnsiTheme="minorHAnsi"/>
                <w:color w:val="000000"/>
                <w:sz w:val="18"/>
                <w:lang w:val="es-ES"/>
              </w:rPr>
              <w:t>0.024</w:t>
            </w:r>
          </w:p>
        </w:tc>
        <w:tc>
          <w:tcPr>
            <w:tcW w:w="1728" w:type="dxa"/>
            <w:vAlign w:val="center"/>
          </w:tcPr>
          <w:p w14:paraId="319B5CDA" w14:textId="77777777" w:rsidR="0084657E" w:rsidRPr="009C7A54" w:rsidRDefault="00000000" w:rsidP="00F872EA">
            <w:pPr>
              <w:spacing w:after="20"/>
              <w:jc w:val="both"/>
              <w:cnfStyle w:val="000000100000" w:firstRow="0" w:lastRow="0" w:firstColumn="0" w:lastColumn="0" w:oddVBand="0" w:evenVBand="0" w:oddHBand="1" w:evenHBand="0" w:firstRowFirstColumn="0" w:firstRowLastColumn="0" w:lastRowFirstColumn="0" w:lastRowLastColumn="0"/>
              <w:rPr>
                <w:rFonts w:asciiTheme="minorHAnsi" w:hAnsiTheme="minorHAnsi"/>
                <w:lang w:val="es-ES"/>
              </w:rPr>
            </w:pPr>
            <w:r>
              <w:rPr>
                <w:rFonts w:asciiTheme="minorHAnsi" w:hAnsiTheme="minorHAnsi"/>
                <w:color w:val="000000"/>
                <w:sz w:val="18"/>
                <w:lang w:val="es-ES"/>
              </w:rPr>
              <w:t>0.851</w:t>
            </w:r>
          </w:p>
        </w:tc>
        <w:tc>
          <w:tcPr>
            <w:tcW w:w="1728" w:type="dxa"/>
            <w:vAlign w:val="center"/>
          </w:tcPr>
          <w:p w14:paraId="3045F621" w14:textId="77777777" w:rsidR="0084657E" w:rsidRPr="009C7A54" w:rsidRDefault="00000000" w:rsidP="00F872EA">
            <w:pPr>
              <w:spacing w:after="20"/>
              <w:jc w:val="both"/>
              <w:cnfStyle w:val="000000100000" w:firstRow="0" w:lastRow="0" w:firstColumn="0" w:lastColumn="0" w:oddVBand="0" w:evenVBand="0" w:oddHBand="1" w:evenHBand="0" w:firstRowFirstColumn="0" w:firstRowLastColumn="0" w:lastRowFirstColumn="0" w:lastRowLastColumn="0"/>
              <w:rPr>
                <w:rFonts w:asciiTheme="minorHAnsi" w:hAnsiTheme="minorHAnsi"/>
                <w:lang w:val="es-ES"/>
              </w:rPr>
            </w:pPr>
            <w:r>
              <w:rPr>
                <w:rFonts w:asciiTheme="minorHAnsi" w:hAnsiTheme="minorHAnsi"/>
                <w:color w:val="000000"/>
                <w:sz w:val="18"/>
                <w:lang w:val="es-ES"/>
              </w:rPr>
              <w:t>0.874</w:t>
            </w:r>
          </w:p>
        </w:tc>
      </w:tr>
      <w:tr w:rsidR="0084657E" w:rsidRPr="009C7A54" w14:paraId="4AB8A8EA" w14:textId="77777777">
        <w:trPr>
          <w:jc w:val="center"/>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2D1D9282" w14:textId="77777777" w:rsidR="0084657E" w:rsidRPr="009C7A54" w:rsidRDefault="00000000" w:rsidP="00F872EA">
            <w:pPr>
              <w:spacing w:after="20"/>
              <w:jc w:val="both"/>
              <w:rPr>
                <w:rFonts w:asciiTheme="minorHAnsi" w:hAnsiTheme="minorHAnsi"/>
                <w:lang w:val="es-ES"/>
              </w:rPr>
            </w:pPr>
            <w:r>
              <w:rPr>
                <w:rFonts w:asciiTheme="minorHAnsi" w:hAnsiTheme="minorHAnsi"/>
                <w:color w:val="000000"/>
                <w:sz w:val="18"/>
                <w:lang w:val="es-ES"/>
              </w:rPr>
              <w:t>Random Forest</w:t>
            </w:r>
          </w:p>
        </w:tc>
        <w:tc>
          <w:tcPr>
            <w:tcW w:w="1728" w:type="dxa"/>
            <w:vAlign w:val="center"/>
          </w:tcPr>
          <w:p w14:paraId="628A4690" w14:textId="77777777" w:rsidR="0084657E" w:rsidRPr="009C7A54" w:rsidRDefault="00000000" w:rsidP="00F872EA">
            <w:pPr>
              <w:spacing w:after="20"/>
              <w:jc w:val="both"/>
              <w:cnfStyle w:val="000000000000" w:firstRow="0" w:lastRow="0" w:firstColumn="0" w:lastColumn="0" w:oddVBand="0" w:evenVBand="0" w:oddHBand="0" w:evenHBand="0" w:firstRowFirstColumn="0" w:firstRowLastColumn="0" w:lastRowFirstColumn="0" w:lastRowLastColumn="0"/>
              <w:rPr>
                <w:rFonts w:asciiTheme="minorHAnsi" w:hAnsiTheme="minorHAnsi"/>
                <w:lang w:val="es-ES"/>
              </w:rPr>
            </w:pPr>
            <w:r>
              <w:rPr>
                <w:rFonts w:asciiTheme="minorHAnsi" w:hAnsiTheme="minorHAnsi"/>
                <w:color w:val="000000"/>
                <w:sz w:val="18"/>
                <w:lang w:val="es-ES"/>
              </w:rPr>
              <w:t>0.953</w:t>
            </w:r>
          </w:p>
        </w:tc>
        <w:tc>
          <w:tcPr>
            <w:tcW w:w="1440" w:type="dxa"/>
            <w:vAlign w:val="center"/>
          </w:tcPr>
          <w:p w14:paraId="6DC1EB22" w14:textId="77777777" w:rsidR="0084657E" w:rsidRPr="009C7A54" w:rsidRDefault="00000000" w:rsidP="00F872EA">
            <w:pPr>
              <w:spacing w:after="20"/>
              <w:jc w:val="both"/>
              <w:cnfStyle w:val="000000000000" w:firstRow="0" w:lastRow="0" w:firstColumn="0" w:lastColumn="0" w:oddVBand="0" w:evenVBand="0" w:oddHBand="0" w:evenHBand="0" w:firstRowFirstColumn="0" w:firstRowLastColumn="0" w:lastRowFirstColumn="0" w:lastRowLastColumn="0"/>
              <w:rPr>
                <w:rFonts w:asciiTheme="minorHAnsi" w:hAnsiTheme="minorHAnsi"/>
                <w:lang w:val="es-ES"/>
              </w:rPr>
            </w:pPr>
            <w:r>
              <w:rPr>
                <w:rFonts w:asciiTheme="minorHAnsi" w:hAnsiTheme="minorHAnsi"/>
                <w:color w:val="000000"/>
                <w:sz w:val="18"/>
                <w:lang w:val="es-ES"/>
              </w:rPr>
              <w:t>0.018</w:t>
            </w:r>
          </w:p>
        </w:tc>
        <w:tc>
          <w:tcPr>
            <w:tcW w:w="1728" w:type="dxa"/>
            <w:vAlign w:val="center"/>
          </w:tcPr>
          <w:p w14:paraId="43667BFA" w14:textId="0675039A" w:rsidR="0084657E" w:rsidRPr="009C7A54" w:rsidRDefault="00000000" w:rsidP="00F872EA">
            <w:pPr>
              <w:spacing w:after="20"/>
              <w:jc w:val="both"/>
              <w:cnfStyle w:val="000000000000" w:firstRow="0" w:lastRow="0" w:firstColumn="0" w:lastColumn="0" w:oddVBand="0" w:evenVBand="0" w:oddHBand="0" w:evenHBand="0" w:firstRowFirstColumn="0" w:firstRowLastColumn="0" w:lastRowFirstColumn="0" w:lastRowLastColumn="0"/>
              <w:rPr>
                <w:rFonts w:asciiTheme="minorHAnsi" w:hAnsiTheme="minorHAnsi"/>
                <w:lang w:val="es-ES"/>
              </w:rPr>
            </w:pPr>
            <w:r>
              <w:rPr>
                <w:rFonts w:asciiTheme="minorHAnsi" w:hAnsiTheme="minorHAnsi"/>
                <w:color w:val="000000"/>
                <w:sz w:val="18"/>
                <w:lang w:val="es-ES"/>
              </w:rPr>
              <w:t>0.952</w:t>
            </w:r>
          </w:p>
        </w:tc>
        <w:tc>
          <w:tcPr>
            <w:tcW w:w="1728" w:type="dxa"/>
            <w:vAlign w:val="center"/>
          </w:tcPr>
          <w:p w14:paraId="4DAEECA1" w14:textId="77777777" w:rsidR="0084657E" w:rsidRPr="009C7A54" w:rsidRDefault="00000000" w:rsidP="00F872EA">
            <w:pPr>
              <w:spacing w:after="20"/>
              <w:jc w:val="both"/>
              <w:cnfStyle w:val="000000000000" w:firstRow="0" w:lastRow="0" w:firstColumn="0" w:lastColumn="0" w:oddVBand="0" w:evenVBand="0" w:oddHBand="0" w:evenHBand="0" w:firstRowFirstColumn="0" w:firstRowLastColumn="0" w:lastRowFirstColumn="0" w:lastRowLastColumn="0"/>
              <w:rPr>
                <w:rFonts w:asciiTheme="minorHAnsi" w:hAnsiTheme="minorHAnsi"/>
                <w:lang w:val="es-ES"/>
              </w:rPr>
            </w:pPr>
            <w:r>
              <w:rPr>
                <w:rFonts w:asciiTheme="minorHAnsi" w:hAnsiTheme="minorHAnsi"/>
                <w:color w:val="000000"/>
                <w:sz w:val="18"/>
                <w:lang w:val="es-ES"/>
              </w:rPr>
              <w:t>0.954</w:t>
            </w:r>
          </w:p>
        </w:tc>
      </w:tr>
      <w:tr w:rsidR="0084657E" w:rsidRPr="009C7A54" w14:paraId="14693BB3"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2934FD57" w14:textId="77777777" w:rsidR="0084657E" w:rsidRPr="009C7A54" w:rsidRDefault="00000000" w:rsidP="00F872EA">
            <w:pPr>
              <w:spacing w:after="20"/>
              <w:jc w:val="both"/>
              <w:rPr>
                <w:rFonts w:asciiTheme="minorHAnsi" w:hAnsiTheme="minorHAnsi"/>
                <w:lang w:val="es-ES"/>
              </w:rPr>
            </w:pPr>
            <w:r>
              <w:rPr>
                <w:rFonts w:asciiTheme="minorHAnsi" w:hAnsiTheme="minorHAnsi"/>
                <w:color w:val="000000"/>
                <w:sz w:val="18"/>
                <w:lang w:val="es-ES"/>
              </w:rPr>
              <w:t>XGBoost</w:t>
            </w:r>
          </w:p>
        </w:tc>
        <w:tc>
          <w:tcPr>
            <w:tcW w:w="1728" w:type="dxa"/>
            <w:vAlign w:val="center"/>
          </w:tcPr>
          <w:p w14:paraId="70E7AE65" w14:textId="77777777" w:rsidR="0084657E" w:rsidRPr="009C7A54" w:rsidRDefault="00000000" w:rsidP="00F872EA">
            <w:pPr>
              <w:spacing w:after="20"/>
              <w:jc w:val="both"/>
              <w:cnfStyle w:val="000000100000" w:firstRow="0" w:lastRow="0" w:firstColumn="0" w:lastColumn="0" w:oddVBand="0" w:evenVBand="0" w:oddHBand="1" w:evenHBand="0" w:firstRowFirstColumn="0" w:firstRowLastColumn="0" w:lastRowFirstColumn="0" w:lastRowLastColumn="0"/>
              <w:rPr>
                <w:rFonts w:asciiTheme="minorHAnsi" w:hAnsiTheme="minorHAnsi"/>
                <w:lang w:val="es-ES"/>
              </w:rPr>
            </w:pPr>
            <w:r>
              <w:rPr>
                <w:rFonts w:asciiTheme="minorHAnsi" w:hAnsiTheme="minorHAnsi"/>
                <w:color w:val="000000"/>
                <w:sz w:val="18"/>
                <w:lang w:val="es-ES"/>
              </w:rPr>
              <w:t>0.934</w:t>
            </w:r>
          </w:p>
        </w:tc>
        <w:tc>
          <w:tcPr>
            <w:tcW w:w="1440" w:type="dxa"/>
            <w:vAlign w:val="center"/>
          </w:tcPr>
          <w:p w14:paraId="031A56F3" w14:textId="77777777" w:rsidR="0084657E" w:rsidRPr="009C7A54" w:rsidRDefault="00000000" w:rsidP="00F872EA">
            <w:pPr>
              <w:spacing w:after="20"/>
              <w:jc w:val="both"/>
              <w:cnfStyle w:val="000000100000" w:firstRow="0" w:lastRow="0" w:firstColumn="0" w:lastColumn="0" w:oddVBand="0" w:evenVBand="0" w:oddHBand="1" w:evenHBand="0" w:firstRowFirstColumn="0" w:firstRowLastColumn="0" w:lastRowFirstColumn="0" w:lastRowLastColumn="0"/>
              <w:rPr>
                <w:rFonts w:asciiTheme="minorHAnsi" w:hAnsiTheme="minorHAnsi"/>
                <w:lang w:val="es-ES"/>
              </w:rPr>
            </w:pPr>
            <w:r>
              <w:rPr>
                <w:rFonts w:asciiTheme="minorHAnsi" w:hAnsiTheme="minorHAnsi"/>
                <w:color w:val="000000"/>
                <w:sz w:val="18"/>
                <w:lang w:val="es-ES"/>
              </w:rPr>
              <w:t>0.022</w:t>
            </w:r>
          </w:p>
        </w:tc>
        <w:tc>
          <w:tcPr>
            <w:tcW w:w="1728" w:type="dxa"/>
            <w:vAlign w:val="center"/>
          </w:tcPr>
          <w:p w14:paraId="24865E4D" w14:textId="77777777" w:rsidR="0084657E" w:rsidRPr="009C7A54" w:rsidRDefault="00000000" w:rsidP="00F872EA">
            <w:pPr>
              <w:spacing w:after="20"/>
              <w:jc w:val="both"/>
              <w:cnfStyle w:val="000000100000" w:firstRow="0" w:lastRow="0" w:firstColumn="0" w:lastColumn="0" w:oddVBand="0" w:evenVBand="0" w:oddHBand="1" w:evenHBand="0" w:firstRowFirstColumn="0" w:firstRowLastColumn="0" w:lastRowFirstColumn="0" w:lastRowLastColumn="0"/>
              <w:rPr>
                <w:rFonts w:asciiTheme="minorHAnsi" w:hAnsiTheme="minorHAnsi"/>
                <w:lang w:val="es-ES"/>
              </w:rPr>
            </w:pPr>
            <w:r>
              <w:rPr>
                <w:rFonts w:asciiTheme="minorHAnsi" w:hAnsiTheme="minorHAnsi"/>
                <w:color w:val="000000"/>
                <w:sz w:val="18"/>
                <w:lang w:val="es-ES"/>
              </w:rPr>
              <w:t>0.941</w:t>
            </w:r>
          </w:p>
        </w:tc>
        <w:tc>
          <w:tcPr>
            <w:tcW w:w="1728" w:type="dxa"/>
            <w:vAlign w:val="center"/>
          </w:tcPr>
          <w:p w14:paraId="51DC8864" w14:textId="77777777" w:rsidR="0084657E" w:rsidRPr="009C7A54" w:rsidRDefault="00000000" w:rsidP="00F872EA">
            <w:pPr>
              <w:spacing w:after="20"/>
              <w:jc w:val="both"/>
              <w:cnfStyle w:val="000000100000" w:firstRow="0" w:lastRow="0" w:firstColumn="0" w:lastColumn="0" w:oddVBand="0" w:evenVBand="0" w:oddHBand="1" w:evenHBand="0" w:firstRowFirstColumn="0" w:firstRowLastColumn="0" w:lastRowFirstColumn="0" w:lastRowLastColumn="0"/>
              <w:rPr>
                <w:rFonts w:asciiTheme="minorHAnsi" w:hAnsiTheme="minorHAnsi"/>
                <w:lang w:val="es-ES"/>
              </w:rPr>
            </w:pPr>
            <w:r>
              <w:rPr>
                <w:rFonts w:asciiTheme="minorHAnsi" w:hAnsiTheme="minorHAnsi"/>
                <w:color w:val="000000"/>
                <w:sz w:val="18"/>
                <w:lang w:val="es-ES"/>
              </w:rPr>
              <w:t>0.949</w:t>
            </w:r>
          </w:p>
        </w:tc>
      </w:tr>
    </w:tbl>
    <w:p w14:paraId="2423ED90" w14:textId="77777777" w:rsidR="0084657E" w:rsidRPr="009C7A54" w:rsidRDefault="0084657E" w:rsidP="00F872EA">
      <w:pPr>
        <w:jc w:val="both"/>
        <w:rPr>
          <w:rFonts w:asciiTheme="minorHAnsi" w:hAnsiTheme="minorHAnsi"/>
          <w:lang w:val="es-ES"/>
        </w:rPr>
      </w:pPr>
    </w:p>
    <w:p w14:paraId="115D753F" w14:textId="77777777" w:rsidR="0084657E" w:rsidRPr="009C7A54" w:rsidRDefault="00F872EA" w:rsidP="00F872EA">
      <w:pPr>
        <w:jc w:val="center"/>
        <w:rPr>
          <w:rFonts w:asciiTheme="minorHAnsi" w:hAnsiTheme="minorHAnsi"/>
          <w:lang w:val="es-ES"/>
        </w:rPr>
      </w:pPr>
      <w:r>
        <w:rPr>
          <w:rFonts w:asciiTheme="minorHAnsi" w:hAnsiTheme="minorHAnsi"/>
          <w:noProof/>
          <w:lang w:val="es-ES"/>
        </w:rPr>
        <w:drawing>
          <wp:inline distT="0" distB="0" distL="0" distR="0" wp14:anchorId="7049B2EB" wp14:editId="233982C1">
            <wp:extent cx="4982308" cy="3150025"/>
            <wp:effectExtent l="0" t="0" r="0" b="0"/>
            <wp:docPr id="1613984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98468" name=""/>
                    <pic:cNvPicPr/>
                  </pic:nvPicPr>
                  <pic:blipFill>
                    <a:blip r:embed="rId15"/>
                    <a:stretch>
                      <a:fillRect/>
                    </a:stretch>
                  </pic:blipFill>
                  <pic:spPr>
                    <a:xfrm>
                      <a:off x="0" y="0"/>
                      <a:ext cx="4995316" cy="3158249"/>
                    </a:xfrm>
                    <a:prstGeom prst="rect">
                      <a:avLst/>
                    </a:prstGeom>
                  </pic:spPr>
                </pic:pic>
              </a:graphicData>
            </a:graphic>
          </wp:inline>
        </w:drawing>
      </w:r>
    </w:p>
    <w:p w14:paraId="4967B3C0" w14:textId="77777777" w:rsidR="0084657E" w:rsidRPr="009C7A54" w:rsidRDefault="00000000" w:rsidP="00F872EA">
      <w:pPr>
        <w:pStyle w:val="Descripcin"/>
        <w:spacing w:before="240" w:after="120"/>
        <w:jc w:val="both"/>
        <w:rPr>
          <w:rFonts w:asciiTheme="minorHAnsi" w:hAnsiTheme="minorHAnsi"/>
          <w:lang w:val="es-ES"/>
        </w:rPr>
      </w:pPr>
      <w:r>
        <w:rPr>
          <w:lang w:val="es-ES"/>
        </w:rPr>
        <w:t>Figura 8. Comparación de modelos mediante F1-macro y validación cruzada.</w:t>
      </w:r>
    </w:p>
    <w:p w14:paraId="2A6799A1" w14:textId="5217E77D" w:rsidR="0084657E" w:rsidRPr="009C7A54" w:rsidRDefault="00000000" w:rsidP="00F872EA">
      <w:pPr>
        <w:jc w:val="both"/>
        <w:rPr>
          <w:rFonts w:asciiTheme="minorHAnsi" w:hAnsiTheme="minorHAnsi"/>
          <w:lang w:val="es-ES"/>
        </w:rPr>
      </w:pPr>
      <w:r>
        <w:rPr>
          <w:rFonts w:asciiTheme="minorHAnsi" w:hAnsiTheme="minorHAnsi"/>
          <w:lang w:val="es-ES"/>
        </w:rPr>
        <w:t xml:space="preserve">Random Forest presentó el mejor rendimiento interno. En prueba obtuvo F1-macro = 0.952, </w:t>
      </w:r>
      <w:proofErr w:type="spellStart"/>
      <w:r>
        <w:rPr>
          <w:rFonts w:asciiTheme="minorHAnsi" w:hAnsiTheme="minorHAnsi"/>
          <w:lang w:val="es-ES"/>
        </w:rPr>
        <w:t>accuracy</w:t>
      </w:r>
      <w:proofErr w:type="spellEnd"/>
      <w:r>
        <w:rPr>
          <w:rFonts w:asciiTheme="minorHAnsi" w:hAnsiTheme="minorHAnsi"/>
          <w:lang w:val="es-ES"/>
        </w:rPr>
        <w:t xml:space="preserve"> = 0.954, AUC macro OvR = 0.998 y AUC micro OvR = 0.998. La matriz de confusión muestra desempeño estable en la mayoría de clases, aunque persisten errores en subtipos con perfiles cercanos o menor soporte.</w:t>
      </w:r>
    </w:p>
    <w:p w14:paraId="637D76E6" w14:textId="77777777" w:rsidR="0084657E" w:rsidRPr="009C7A54" w:rsidRDefault="00000000" w:rsidP="00F872EA">
      <w:pPr>
        <w:jc w:val="both"/>
        <w:rPr>
          <w:rFonts w:asciiTheme="minorHAnsi" w:hAnsiTheme="minorHAnsi"/>
          <w:lang w:val="es-ES"/>
        </w:rPr>
      </w:pPr>
      <w:r>
        <w:rPr>
          <w:rFonts w:asciiTheme="minorHAnsi" w:hAnsiTheme="minorHAnsi"/>
          <w:noProof/>
          <w:lang w:val="es-ES"/>
        </w:rPr>
        <w:lastRenderedPageBreak/>
        <w:drawing>
          <wp:inline distT="0" distB="0" distL="0" distR="0" wp14:anchorId="064CD6C7" wp14:editId="78305A34">
            <wp:extent cx="5561213" cy="4762932"/>
            <wp:effectExtent l="0" t="0" r="190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6"/>
                    <a:stretch>
                      <a:fillRect/>
                    </a:stretch>
                  </pic:blipFill>
                  <pic:spPr>
                    <a:xfrm>
                      <a:off x="0" y="0"/>
                      <a:ext cx="5579099" cy="4778250"/>
                    </a:xfrm>
                    <a:prstGeom prst="rect">
                      <a:avLst/>
                    </a:prstGeom>
                  </pic:spPr>
                </pic:pic>
              </a:graphicData>
            </a:graphic>
          </wp:inline>
        </w:drawing>
      </w:r>
    </w:p>
    <w:p w14:paraId="5F474559" w14:textId="77777777" w:rsidR="0084657E" w:rsidRPr="009C7A54" w:rsidRDefault="00000000" w:rsidP="00F872EA">
      <w:pPr>
        <w:pStyle w:val="Descripcin"/>
        <w:spacing w:before="240" w:after="120"/>
        <w:jc w:val="both"/>
        <w:rPr>
          <w:rFonts w:asciiTheme="minorHAnsi" w:hAnsiTheme="minorHAnsi"/>
          <w:lang w:val="es-ES"/>
        </w:rPr>
      </w:pPr>
      <w:r>
        <w:rPr>
          <w:lang w:val="es-ES"/>
        </w:rPr>
        <w:t>Figura 9. Matriz de confusión del modelo Random Forest en el conjunto de prueba.</w:t>
      </w:r>
    </w:p>
    <w:p w14:paraId="4C3C4178" w14:textId="77777777" w:rsidR="002E397F" w:rsidRPr="009C7A54" w:rsidRDefault="00000000" w:rsidP="00F872EA">
      <w:pPr>
        <w:jc w:val="both"/>
        <w:rPr>
          <w:rFonts w:asciiTheme="minorHAnsi" w:hAnsiTheme="minorHAnsi"/>
          <w:lang w:val="es-ES"/>
        </w:rPr>
      </w:pPr>
      <w:r>
        <w:rPr>
          <w:rFonts w:asciiTheme="minorHAnsi" w:hAnsiTheme="minorHAnsi"/>
          <w:sz w:val="22"/>
          <w:lang w:val="es-ES"/>
        </w:rPr>
        <w:t>La matriz de confusión muestra que la mayoría de predicciones se concentran sobre la diagonal principal, lo que indica clasificación correcta en gran parte de los casos. Los errores se concentran principalmente entre subtipos con perfiles sintomáticos cercanos o con menor número de ejemplos. Esto sugiere que el modelo discrimina adecuadamente las categorías principales, aunque presenta mayor incertidumbre en clases parcialmente solapadas.</w:t>
      </w:r>
    </w:p>
    <w:p w14:paraId="3EA88624" w14:textId="77777777" w:rsidR="0084657E" w:rsidRPr="009C7A54" w:rsidRDefault="00000000" w:rsidP="00F872EA">
      <w:pPr>
        <w:jc w:val="both"/>
        <w:rPr>
          <w:rFonts w:asciiTheme="minorHAnsi" w:hAnsiTheme="minorHAnsi"/>
          <w:lang w:val="es-ES"/>
        </w:rPr>
      </w:pPr>
      <w:r>
        <w:rPr>
          <w:rFonts w:asciiTheme="minorHAnsi" w:hAnsiTheme="minorHAnsi"/>
          <w:noProof/>
          <w:lang w:val="es-ES"/>
        </w:rPr>
        <w:lastRenderedPageBreak/>
        <w:drawing>
          <wp:inline distT="0" distB="0" distL="0" distR="0" wp14:anchorId="1E8A5B4D" wp14:editId="2164292F">
            <wp:extent cx="6448387" cy="2732868"/>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7"/>
                    <a:stretch>
                      <a:fillRect/>
                    </a:stretch>
                  </pic:blipFill>
                  <pic:spPr>
                    <a:xfrm>
                      <a:off x="0" y="0"/>
                      <a:ext cx="6480058" cy="2746290"/>
                    </a:xfrm>
                    <a:prstGeom prst="rect">
                      <a:avLst/>
                    </a:prstGeom>
                  </pic:spPr>
                </pic:pic>
              </a:graphicData>
            </a:graphic>
          </wp:inline>
        </w:drawing>
      </w:r>
    </w:p>
    <w:p w14:paraId="622EDBFB" w14:textId="77777777" w:rsidR="0084657E" w:rsidRPr="009C7A54" w:rsidRDefault="00000000" w:rsidP="00F872EA">
      <w:pPr>
        <w:pStyle w:val="Descripcin"/>
        <w:spacing w:before="240" w:after="120"/>
        <w:jc w:val="both"/>
        <w:rPr>
          <w:rFonts w:asciiTheme="minorHAnsi" w:hAnsiTheme="minorHAnsi"/>
          <w:lang w:val="es-ES"/>
        </w:rPr>
      </w:pPr>
      <w:r>
        <w:rPr>
          <w:lang w:val="es-ES"/>
        </w:rPr>
        <w:t>Figura 10. Curvas ROC multiclase OvR para el modelo Random Forest.</w:t>
      </w:r>
    </w:p>
    <w:p w14:paraId="3ABA2245" w14:textId="77777777" w:rsidR="002E397F" w:rsidRPr="009C7A54" w:rsidRDefault="00000000" w:rsidP="00F872EA">
      <w:pPr>
        <w:jc w:val="both"/>
        <w:rPr>
          <w:rFonts w:asciiTheme="minorHAnsi" w:hAnsiTheme="minorHAnsi"/>
          <w:lang w:val="es-ES"/>
        </w:rPr>
      </w:pPr>
      <w:r>
        <w:rPr>
          <w:rFonts w:asciiTheme="minorHAnsi" w:hAnsiTheme="minorHAnsi"/>
          <w:sz w:val="22"/>
          <w:lang w:val="es-ES"/>
        </w:rPr>
        <w:t>Las curvas ROC muestran alta capacidad de separación entre clases bajo el esquema one-vs-rest. Los valores AUC cercanos a 1 indican que el modelo distingue correctamente la mayoría de categorías en términos probabilísticos. Sin embargo, un AUC elevado no implica ausencia de errores clínicamente relevantes, especialmente en clases minoritarias.</w:t>
      </w:r>
    </w:p>
    <w:p w14:paraId="11C19519" w14:textId="77777777" w:rsidR="0084657E" w:rsidRPr="009C7A54" w:rsidRDefault="00000000" w:rsidP="00F872EA">
      <w:pPr>
        <w:pStyle w:val="Ttulo1"/>
        <w:spacing w:after="120"/>
        <w:jc w:val="both"/>
        <w:rPr>
          <w:rFonts w:asciiTheme="minorHAnsi" w:hAnsiTheme="minorHAnsi"/>
          <w:lang w:val="es-ES"/>
        </w:rPr>
      </w:pPr>
      <w:r>
        <w:rPr>
          <w:rFonts w:asciiTheme="minorHAnsi" w:hAnsiTheme="minorHAnsi"/>
          <w:sz w:val="28"/>
          <w:lang w:val="es-ES"/>
        </w:rPr>
        <w:t xml:space="preserve">5. Importancia de variables </w:t>
      </w:r>
    </w:p>
    <w:p w14:paraId="4A81A65D" w14:textId="77777777" w:rsidR="0084657E" w:rsidRPr="009C7A54" w:rsidRDefault="00000000" w:rsidP="00F872EA">
      <w:pPr>
        <w:jc w:val="both"/>
        <w:rPr>
          <w:rFonts w:asciiTheme="minorHAnsi" w:hAnsiTheme="minorHAnsi"/>
          <w:lang w:val="es-ES"/>
        </w:rPr>
      </w:pPr>
      <w:r>
        <w:rPr>
          <w:rFonts w:asciiTheme="minorHAnsi" w:hAnsiTheme="minorHAnsi"/>
          <w:lang w:val="es-ES"/>
        </w:rPr>
        <w:t>La importancia de variables del Random Forest concentra el peso predictivo en las escalas BASC-3. La variable con mayor aporte fue problemas de atención BASC-3. En conjunto, las variables BASC-3 explican la mayor parte de la capacidad discriminante observada.</w:t>
      </w:r>
    </w:p>
    <w:p w14:paraId="6AD82628" w14:textId="77777777" w:rsidR="000C21FD" w:rsidRDefault="00000000">
      <w:pPr>
        <w:pStyle w:val="Descripcin"/>
      </w:pPr>
      <w:r>
        <w:t>Tabla 4. F1-macro individual por variable predictora (desempeño como predictor único).</w:t>
      </w:r>
    </w:p>
    <w:tbl>
      <w:tblPr>
        <w:tblStyle w:val="Sombreadoclaro-nfasis1"/>
        <w:tblW w:w="0" w:type="auto"/>
        <w:jc w:val="center"/>
        <w:tblLook w:val="04A0" w:firstRow="1" w:lastRow="0" w:firstColumn="1" w:lastColumn="0" w:noHBand="0" w:noVBand="1"/>
      </w:tblPr>
      <w:tblGrid>
        <w:gridCol w:w="5760"/>
        <w:gridCol w:w="2160"/>
      </w:tblGrid>
      <w:tr w:rsidR="0084657E" w:rsidRPr="009C7A54" w14:paraId="378F7910"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0" w:type="dxa"/>
            <w:shd w:val="clear" w:color="auto" w:fill="1F4E79"/>
            <w:vAlign w:val="center"/>
          </w:tcPr>
          <w:p w14:paraId="013CCDB6" w14:textId="77777777" w:rsidR="0084657E" w:rsidRPr="009C7A54" w:rsidRDefault="00000000" w:rsidP="00F872EA">
            <w:pPr>
              <w:spacing w:after="20"/>
              <w:jc w:val="both"/>
              <w:rPr>
                <w:rFonts w:asciiTheme="minorHAnsi" w:hAnsiTheme="minorHAnsi"/>
                <w:color w:val="FFFFFF" w:themeColor="background1"/>
                <w:lang w:val="es-ES"/>
              </w:rPr>
            </w:pPr>
            <w:r>
              <w:rPr>
                <w:rFonts w:asciiTheme="minorHAnsi" w:hAnsiTheme="minorHAnsi"/>
                <w:color w:val="FFFFFF" w:themeColor="background1"/>
                <w:sz w:val="18"/>
                <w:lang w:val="es-ES"/>
              </w:rPr>
              <w:t>Variable</w:t>
            </w:r>
          </w:p>
        </w:tc>
        <w:tc>
          <w:tcPr>
            <w:tcW w:w="2160" w:type="dxa"/>
            <w:shd w:val="clear" w:color="auto" w:fill="1F4E79"/>
            <w:vAlign w:val="center"/>
          </w:tcPr>
          <w:p w14:paraId="14AC784A" w14:textId="77777777" w:rsidR="0084657E" w:rsidRPr="009C7A54" w:rsidRDefault="00000000" w:rsidP="00F872EA">
            <w:pPr>
              <w:spacing w:after="20"/>
              <w:jc w:val="both"/>
              <w:cnfStyle w:val="100000000000" w:firstRow="1" w:lastRow="0" w:firstColumn="0" w:lastColumn="0" w:oddVBand="0" w:evenVBand="0" w:oddHBand="0" w:evenHBand="0" w:firstRowFirstColumn="0" w:firstRowLastColumn="0" w:lastRowFirstColumn="0" w:lastRowLastColumn="0"/>
              <w:rPr>
                <w:rFonts w:asciiTheme="minorHAnsi" w:hAnsiTheme="minorHAnsi"/>
                <w:color w:val="FFFFFF" w:themeColor="background1"/>
                <w:lang w:val="es-ES"/>
              </w:rPr>
            </w:pPr>
            <w:r>
              <w:rPr>
                <w:rFonts w:asciiTheme="minorHAnsi" w:hAnsiTheme="minorHAnsi"/>
                <w:color w:val="FFFFFF" w:themeColor="background1"/>
                <w:sz w:val="18"/>
                <w:lang w:val="es-ES"/>
              </w:rPr>
              <w:t>F1 individual</w:t>
            </w:r>
          </w:p>
        </w:tc>
      </w:tr>
      <w:tr w:rsidR="0084657E" w:rsidRPr="009C7A54" w14:paraId="5932E2FC"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0" w:type="dxa"/>
            <w:vAlign w:val="center"/>
          </w:tcPr>
          <w:p w14:paraId="1624396A" w14:textId="77777777" w:rsidR="0084657E" w:rsidRPr="009C7A54" w:rsidRDefault="00000000" w:rsidP="00F872EA">
            <w:pPr>
              <w:spacing w:after="20"/>
              <w:jc w:val="both"/>
              <w:rPr>
                <w:rFonts w:asciiTheme="minorHAnsi" w:hAnsiTheme="minorHAnsi"/>
                <w:lang w:val="es-ES"/>
              </w:rPr>
            </w:pPr>
            <w:r>
              <w:rPr>
                <w:rFonts w:asciiTheme="minorHAnsi" w:hAnsiTheme="minorHAnsi"/>
                <w:color w:val="000000"/>
                <w:sz w:val="18"/>
                <w:lang w:val="es-ES"/>
              </w:rPr>
              <w:t>Problemas atención BASC-3</w:t>
            </w:r>
          </w:p>
        </w:tc>
        <w:tc>
          <w:tcPr>
            <w:tcW w:w="2160" w:type="dxa"/>
            <w:vAlign w:val="center"/>
          </w:tcPr>
          <w:p w14:paraId="06BB442B" w14:textId="77777777" w:rsidR="0084657E" w:rsidRPr="009C7A54" w:rsidRDefault="00000000" w:rsidP="00F872EA">
            <w:pPr>
              <w:spacing w:after="20"/>
              <w:jc w:val="both"/>
              <w:cnfStyle w:val="000000100000" w:firstRow="0" w:lastRow="0" w:firstColumn="0" w:lastColumn="0" w:oddVBand="0" w:evenVBand="0" w:oddHBand="1" w:evenHBand="0" w:firstRowFirstColumn="0" w:firstRowLastColumn="0" w:lastRowFirstColumn="0" w:lastRowLastColumn="0"/>
              <w:rPr>
                <w:rFonts w:asciiTheme="minorHAnsi" w:hAnsiTheme="minorHAnsi"/>
                <w:lang w:val="es-ES"/>
              </w:rPr>
            </w:pPr>
            <w:r>
              <w:rPr>
                <w:rFonts w:asciiTheme="minorHAnsi" w:hAnsiTheme="minorHAnsi"/>
                <w:color w:val="000000"/>
                <w:sz w:val="18"/>
                <w:lang w:val="es-ES"/>
              </w:rPr>
              <w:t>0.31</w:t>
            </w:r>
          </w:p>
        </w:tc>
      </w:tr>
      <w:tr w:rsidR="0084657E" w:rsidRPr="009C7A54" w14:paraId="1CBB5BDB" w14:textId="77777777">
        <w:trPr>
          <w:jc w:val="center"/>
        </w:trPr>
        <w:tc>
          <w:tcPr>
            <w:cnfStyle w:val="001000000000" w:firstRow="0" w:lastRow="0" w:firstColumn="1" w:lastColumn="0" w:oddVBand="0" w:evenVBand="0" w:oddHBand="0" w:evenHBand="0" w:firstRowFirstColumn="0" w:firstRowLastColumn="0" w:lastRowFirstColumn="0" w:lastRowLastColumn="0"/>
            <w:tcW w:w="5760" w:type="dxa"/>
            <w:vAlign w:val="center"/>
          </w:tcPr>
          <w:p w14:paraId="103AD4B0" w14:textId="77777777" w:rsidR="0084657E" w:rsidRPr="009C7A54" w:rsidRDefault="00000000" w:rsidP="00F872EA">
            <w:pPr>
              <w:spacing w:after="20"/>
              <w:jc w:val="both"/>
              <w:rPr>
                <w:rFonts w:asciiTheme="minorHAnsi" w:hAnsiTheme="minorHAnsi"/>
                <w:lang w:val="es-ES"/>
              </w:rPr>
            </w:pPr>
            <w:r>
              <w:rPr>
                <w:rFonts w:asciiTheme="minorHAnsi" w:hAnsiTheme="minorHAnsi"/>
                <w:color w:val="000000"/>
                <w:sz w:val="18"/>
                <w:lang w:val="es-ES"/>
              </w:rPr>
              <w:t>Hiperactividad BASC-3</w:t>
            </w:r>
          </w:p>
        </w:tc>
        <w:tc>
          <w:tcPr>
            <w:tcW w:w="2160" w:type="dxa"/>
            <w:vAlign w:val="center"/>
          </w:tcPr>
          <w:p w14:paraId="3BFE1012" w14:textId="77777777" w:rsidR="0084657E" w:rsidRPr="009C7A54" w:rsidRDefault="00000000" w:rsidP="00F872EA">
            <w:pPr>
              <w:spacing w:after="20"/>
              <w:jc w:val="both"/>
              <w:cnfStyle w:val="000000000000" w:firstRow="0" w:lastRow="0" w:firstColumn="0" w:lastColumn="0" w:oddVBand="0" w:evenVBand="0" w:oddHBand="0" w:evenHBand="0" w:firstRowFirstColumn="0" w:firstRowLastColumn="0" w:lastRowFirstColumn="0" w:lastRowLastColumn="0"/>
              <w:rPr>
                <w:rFonts w:asciiTheme="minorHAnsi" w:hAnsiTheme="minorHAnsi"/>
                <w:lang w:val="es-ES"/>
              </w:rPr>
            </w:pPr>
            <w:r>
              <w:rPr>
                <w:rFonts w:asciiTheme="minorHAnsi" w:hAnsiTheme="minorHAnsi"/>
                <w:color w:val="000000"/>
                <w:sz w:val="18"/>
                <w:lang w:val="es-ES"/>
              </w:rPr>
              <w:t>0.28</w:t>
            </w:r>
          </w:p>
        </w:tc>
      </w:tr>
      <w:tr w:rsidR="0084657E" w:rsidRPr="009C7A54" w14:paraId="5EDEA013"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0" w:type="dxa"/>
            <w:vAlign w:val="center"/>
          </w:tcPr>
          <w:p w14:paraId="5ABFA7D0" w14:textId="77777777" w:rsidR="0084657E" w:rsidRPr="009C7A54" w:rsidRDefault="00000000" w:rsidP="00F872EA">
            <w:pPr>
              <w:spacing w:after="20"/>
              <w:jc w:val="both"/>
              <w:rPr>
                <w:rFonts w:asciiTheme="minorHAnsi" w:hAnsiTheme="minorHAnsi"/>
                <w:lang w:val="es-ES"/>
              </w:rPr>
            </w:pPr>
            <w:r>
              <w:rPr>
                <w:rFonts w:asciiTheme="minorHAnsi" w:hAnsiTheme="minorHAnsi"/>
                <w:color w:val="000000"/>
                <w:sz w:val="18"/>
                <w:lang w:val="es-ES"/>
              </w:rPr>
              <w:t>Problemas conducta BASC-3</w:t>
            </w:r>
          </w:p>
        </w:tc>
        <w:tc>
          <w:tcPr>
            <w:tcW w:w="2160" w:type="dxa"/>
            <w:vAlign w:val="center"/>
          </w:tcPr>
          <w:p w14:paraId="0595CCCE" w14:textId="77777777" w:rsidR="0084657E" w:rsidRPr="009C7A54" w:rsidRDefault="00000000" w:rsidP="00F872EA">
            <w:pPr>
              <w:spacing w:after="20"/>
              <w:jc w:val="both"/>
              <w:cnfStyle w:val="000000100000" w:firstRow="0" w:lastRow="0" w:firstColumn="0" w:lastColumn="0" w:oddVBand="0" w:evenVBand="0" w:oddHBand="1" w:evenHBand="0" w:firstRowFirstColumn="0" w:firstRowLastColumn="0" w:lastRowFirstColumn="0" w:lastRowLastColumn="0"/>
              <w:rPr>
                <w:rFonts w:asciiTheme="minorHAnsi" w:hAnsiTheme="minorHAnsi"/>
                <w:lang w:val="es-ES"/>
              </w:rPr>
            </w:pPr>
            <w:r>
              <w:rPr>
                <w:rFonts w:asciiTheme="minorHAnsi" w:hAnsiTheme="minorHAnsi"/>
                <w:color w:val="000000"/>
                <w:sz w:val="18"/>
                <w:lang w:val="es-ES"/>
              </w:rPr>
              <w:t>0.31</w:t>
            </w:r>
          </w:p>
        </w:tc>
      </w:tr>
      <w:tr w:rsidR="0084657E" w:rsidRPr="009C7A54" w14:paraId="22019CA4" w14:textId="77777777">
        <w:trPr>
          <w:jc w:val="center"/>
        </w:trPr>
        <w:tc>
          <w:tcPr>
            <w:cnfStyle w:val="001000000000" w:firstRow="0" w:lastRow="0" w:firstColumn="1" w:lastColumn="0" w:oddVBand="0" w:evenVBand="0" w:oddHBand="0" w:evenHBand="0" w:firstRowFirstColumn="0" w:firstRowLastColumn="0" w:lastRowFirstColumn="0" w:lastRowLastColumn="0"/>
            <w:tcW w:w="5760" w:type="dxa"/>
            <w:vAlign w:val="center"/>
          </w:tcPr>
          <w:p w14:paraId="1DAFDD4F" w14:textId="77777777" w:rsidR="0084657E" w:rsidRPr="009C7A54" w:rsidRDefault="00000000" w:rsidP="00F872EA">
            <w:pPr>
              <w:spacing w:after="20"/>
              <w:jc w:val="both"/>
              <w:rPr>
                <w:rFonts w:asciiTheme="minorHAnsi" w:hAnsiTheme="minorHAnsi"/>
                <w:lang w:val="es-ES"/>
              </w:rPr>
            </w:pPr>
            <w:r>
              <w:rPr>
                <w:rFonts w:asciiTheme="minorHAnsi" w:hAnsiTheme="minorHAnsi"/>
                <w:color w:val="000000"/>
                <w:sz w:val="18"/>
                <w:lang w:val="es-ES"/>
              </w:rPr>
              <w:t>CIT</w:t>
            </w:r>
          </w:p>
        </w:tc>
        <w:tc>
          <w:tcPr>
            <w:tcW w:w="2160" w:type="dxa"/>
            <w:vAlign w:val="center"/>
          </w:tcPr>
          <w:p w14:paraId="7EC9E275" w14:textId="77777777" w:rsidR="0084657E" w:rsidRPr="009C7A54" w:rsidRDefault="00000000" w:rsidP="00F872EA">
            <w:pPr>
              <w:spacing w:after="20"/>
              <w:jc w:val="both"/>
              <w:cnfStyle w:val="000000000000" w:firstRow="0" w:lastRow="0" w:firstColumn="0" w:lastColumn="0" w:oddVBand="0" w:evenVBand="0" w:oddHBand="0" w:evenHBand="0" w:firstRowFirstColumn="0" w:firstRowLastColumn="0" w:lastRowFirstColumn="0" w:lastRowLastColumn="0"/>
              <w:rPr>
                <w:rFonts w:asciiTheme="minorHAnsi" w:hAnsiTheme="minorHAnsi"/>
                <w:lang w:val="es-ES"/>
              </w:rPr>
            </w:pPr>
            <w:r>
              <w:rPr>
                <w:rFonts w:asciiTheme="minorHAnsi" w:hAnsiTheme="minorHAnsi"/>
                <w:color w:val="000000"/>
                <w:sz w:val="18"/>
                <w:lang w:val="es-ES"/>
              </w:rPr>
              <w:t>0.14</w:t>
            </w:r>
          </w:p>
        </w:tc>
      </w:tr>
      <w:tr w:rsidR="0084657E" w:rsidRPr="009C7A54" w14:paraId="535C70B6"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0" w:type="dxa"/>
            <w:vAlign w:val="center"/>
          </w:tcPr>
          <w:p w14:paraId="32E2F5E7" w14:textId="77777777" w:rsidR="0084657E" w:rsidRPr="009C7A54" w:rsidRDefault="00000000" w:rsidP="00F872EA">
            <w:pPr>
              <w:spacing w:after="20"/>
              <w:jc w:val="both"/>
              <w:rPr>
                <w:rFonts w:asciiTheme="minorHAnsi" w:hAnsiTheme="minorHAnsi"/>
                <w:lang w:val="es-ES"/>
              </w:rPr>
            </w:pPr>
            <w:r>
              <w:rPr>
                <w:rFonts w:asciiTheme="minorHAnsi" w:hAnsiTheme="minorHAnsi"/>
                <w:color w:val="000000"/>
                <w:sz w:val="18"/>
                <w:lang w:val="es-ES"/>
              </w:rPr>
              <w:t>Agresividad BASC-3</w:t>
            </w:r>
          </w:p>
        </w:tc>
        <w:tc>
          <w:tcPr>
            <w:tcW w:w="2160" w:type="dxa"/>
            <w:vAlign w:val="center"/>
          </w:tcPr>
          <w:p w14:paraId="48006CD8" w14:textId="77777777" w:rsidR="0084657E" w:rsidRPr="009C7A54" w:rsidRDefault="00000000" w:rsidP="00F872EA">
            <w:pPr>
              <w:spacing w:after="20"/>
              <w:jc w:val="both"/>
              <w:cnfStyle w:val="000000100000" w:firstRow="0" w:lastRow="0" w:firstColumn="0" w:lastColumn="0" w:oddVBand="0" w:evenVBand="0" w:oddHBand="1" w:evenHBand="0" w:firstRowFirstColumn="0" w:firstRowLastColumn="0" w:lastRowFirstColumn="0" w:lastRowLastColumn="0"/>
              <w:rPr>
                <w:rFonts w:asciiTheme="minorHAnsi" w:hAnsiTheme="minorHAnsi"/>
                <w:lang w:val="es-ES"/>
              </w:rPr>
            </w:pPr>
            <w:r>
              <w:rPr>
                <w:rFonts w:asciiTheme="minorHAnsi" w:hAnsiTheme="minorHAnsi"/>
                <w:color w:val="000000"/>
                <w:sz w:val="18"/>
                <w:lang w:val="es-ES"/>
              </w:rPr>
              <w:t>0.23</w:t>
            </w:r>
          </w:p>
        </w:tc>
      </w:tr>
      <w:tr w:rsidR="0084657E" w:rsidRPr="009C7A54" w14:paraId="24A72F6A" w14:textId="77777777">
        <w:trPr>
          <w:jc w:val="center"/>
        </w:trPr>
        <w:tc>
          <w:tcPr>
            <w:cnfStyle w:val="001000000000" w:firstRow="0" w:lastRow="0" w:firstColumn="1" w:lastColumn="0" w:oddVBand="0" w:evenVBand="0" w:oddHBand="0" w:evenHBand="0" w:firstRowFirstColumn="0" w:firstRowLastColumn="0" w:lastRowFirstColumn="0" w:lastRowLastColumn="0"/>
            <w:tcW w:w="5760" w:type="dxa"/>
            <w:vAlign w:val="center"/>
          </w:tcPr>
          <w:p w14:paraId="1C5CD295" w14:textId="77777777" w:rsidR="0084657E" w:rsidRPr="009C7A54" w:rsidRDefault="00000000" w:rsidP="00F872EA">
            <w:pPr>
              <w:spacing w:after="20"/>
              <w:jc w:val="both"/>
              <w:rPr>
                <w:rFonts w:asciiTheme="minorHAnsi" w:hAnsiTheme="minorHAnsi"/>
                <w:lang w:val="es-ES"/>
              </w:rPr>
            </w:pPr>
            <w:r>
              <w:rPr>
                <w:rFonts w:asciiTheme="minorHAnsi" w:hAnsiTheme="minorHAnsi"/>
                <w:color w:val="000000"/>
                <w:sz w:val="18"/>
                <w:lang w:val="es-ES"/>
              </w:rPr>
              <w:t>Atipicidad BASC-3</w:t>
            </w:r>
          </w:p>
        </w:tc>
        <w:tc>
          <w:tcPr>
            <w:tcW w:w="2160" w:type="dxa"/>
            <w:vAlign w:val="center"/>
          </w:tcPr>
          <w:p w14:paraId="30075727" w14:textId="77777777" w:rsidR="0084657E" w:rsidRPr="009C7A54" w:rsidRDefault="00000000" w:rsidP="00F872EA">
            <w:pPr>
              <w:spacing w:after="20"/>
              <w:jc w:val="both"/>
              <w:cnfStyle w:val="000000000000" w:firstRow="0" w:lastRow="0" w:firstColumn="0" w:lastColumn="0" w:oddVBand="0" w:evenVBand="0" w:oddHBand="0" w:evenHBand="0" w:firstRowFirstColumn="0" w:firstRowLastColumn="0" w:lastRowFirstColumn="0" w:lastRowLastColumn="0"/>
              <w:rPr>
                <w:rFonts w:asciiTheme="minorHAnsi" w:hAnsiTheme="minorHAnsi"/>
                <w:lang w:val="es-ES"/>
              </w:rPr>
            </w:pPr>
            <w:r>
              <w:rPr>
                <w:rFonts w:asciiTheme="minorHAnsi" w:hAnsiTheme="minorHAnsi"/>
                <w:color w:val="000000"/>
                <w:sz w:val="18"/>
                <w:lang w:val="es-ES"/>
              </w:rPr>
              <w:t>0.23</w:t>
            </w:r>
          </w:p>
        </w:tc>
      </w:tr>
      <w:tr w:rsidR="0084657E" w:rsidRPr="009C7A54" w14:paraId="3B818C8C"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0" w:type="dxa"/>
            <w:vAlign w:val="center"/>
          </w:tcPr>
          <w:p w14:paraId="3CD2AA7C" w14:textId="77777777" w:rsidR="0084657E" w:rsidRPr="009C7A54" w:rsidRDefault="00000000" w:rsidP="00F872EA">
            <w:pPr>
              <w:spacing w:after="20"/>
              <w:jc w:val="both"/>
              <w:rPr>
                <w:rFonts w:asciiTheme="minorHAnsi" w:hAnsiTheme="minorHAnsi"/>
                <w:lang w:val="es-ES"/>
              </w:rPr>
            </w:pPr>
            <w:r>
              <w:rPr>
                <w:rFonts w:asciiTheme="minorHAnsi" w:hAnsiTheme="minorHAnsi"/>
                <w:color w:val="000000"/>
                <w:sz w:val="18"/>
                <w:lang w:val="es-ES"/>
              </w:rPr>
              <w:t>Fluidez fonológica</w:t>
            </w:r>
          </w:p>
        </w:tc>
        <w:tc>
          <w:tcPr>
            <w:tcW w:w="2160" w:type="dxa"/>
            <w:vAlign w:val="center"/>
          </w:tcPr>
          <w:p w14:paraId="78E31AA1" w14:textId="77777777" w:rsidR="0084657E" w:rsidRPr="009C7A54" w:rsidRDefault="00000000" w:rsidP="00F872EA">
            <w:pPr>
              <w:spacing w:after="20"/>
              <w:jc w:val="both"/>
              <w:cnfStyle w:val="000000100000" w:firstRow="0" w:lastRow="0" w:firstColumn="0" w:lastColumn="0" w:oddVBand="0" w:evenVBand="0" w:oddHBand="1" w:evenHBand="0" w:firstRowFirstColumn="0" w:firstRowLastColumn="0" w:lastRowFirstColumn="0" w:lastRowLastColumn="0"/>
              <w:rPr>
                <w:rFonts w:asciiTheme="minorHAnsi" w:hAnsiTheme="minorHAnsi"/>
                <w:lang w:val="es-ES"/>
              </w:rPr>
            </w:pPr>
            <w:r>
              <w:rPr>
                <w:rFonts w:asciiTheme="minorHAnsi" w:hAnsiTheme="minorHAnsi"/>
                <w:color w:val="000000"/>
                <w:sz w:val="18"/>
                <w:lang w:val="es-ES"/>
              </w:rPr>
              <w:t>0.14</w:t>
            </w:r>
          </w:p>
        </w:tc>
      </w:tr>
      <w:tr w:rsidR="0084657E" w:rsidRPr="009C7A54" w14:paraId="4E071A52" w14:textId="77777777">
        <w:trPr>
          <w:jc w:val="center"/>
        </w:trPr>
        <w:tc>
          <w:tcPr>
            <w:cnfStyle w:val="001000000000" w:firstRow="0" w:lastRow="0" w:firstColumn="1" w:lastColumn="0" w:oddVBand="0" w:evenVBand="0" w:oddHBand="0" w:evenHBand="0" w:firstRowFirstColumn="0" w:firstRowLastColumn="0" w:lastRowFirstColumn="0" w:lastRowLastColumn="0"/>
            <w:tcW w:w="5760" w:type="dxa"/>
            <w:vAlign w:val="center"/>
          </w:tcPr>
          <w:p w14:paraId="73F9ACA6" w14:textId="77777777" w:rsidR="0084657E" w:rsidRPr="009C7A54" w:rsidRDefault="00000000" w:rsidP="00F872EA">
            <w:pPr>
              <w:spacing w:after="20"/>
              <w:jc w:val="both"/>
              <w:rPr>
                <w:rFonts w:asciiTheme="minorHAnsi" w:hAnsiTheme="minorHAnsi"/>
                <w:lang w:val="es-ES"/>
              </w:rPr>
            </w:pPr>
            <w:r>
              <w:rPr>
                <w:rFonts w:asciiTheme="minorHAnsi" w:hAnsiTheme="minorHAnsi"/>
                <w:color w:val="000000"/>
                <w:sz w:val="18"/>
                <w:lang w:val="es-ES"/>
              </w:rPr>
              <w:t>Edad</w:t>
            </w:r>
          </w:p>
        </w:tc>
        <w:tc>
          <w:tcPr>
            <w:tcW w:w="2160" w:type="dxa"/>
            <w:vAlign w:val="center"/>
          </w:tcPr>
          <w:p w14:paraId="4C615BAF" w14:textId="77777777" w:rsidR="0084657E" w:rsidRPr="009C7A54" w:rsidRDefault="00000000" w:rsidP="00F872EA">
            <w:pPr>
              <w:spacing w:after="20"/>
              <w:jc w:val="both"/>
              <w:cnfStyle w:val="000000000000" w:firstRow="0" w:lastRow="0" w:firstColumn="0" w:lastColumn="0" w:oddVBand="0" w:evenVBand="0" w:oddHBand="0" w:evenHBand="0" w:firstRowFirstColumn="0" w:firstRowLastColumn="0" w:lastRowFirstColumn="0" w:lastRowLastColumn="0"/>
              <w:rPr>
                <w:rFonts w:asciiTheme="minorHAnsi" w:hAnsiTheme="minorHAnsi"/>
                <w:lang w:val="es-ES"/>
              </w:rPr>
            </w:pPr>
            <w:r>
              <w:rPr>
                <w:rFonts w:asciiTheme="minorHAnsi" w:hAnsiTheme="minorHAnsi"/>
                <w:color w:val="000000"/>
                <w:sz w:val="18"/>
                <w:lang w:val="es-ES"/>
              </w:rPr>
              <w:t>0.07</w:t>
            </w:r>
          </w:p>
        </w:tc>
      </w:tr>
    </w:tbl>
    <w:p w14:paraId="01899C27" w14:textId="77777777" w:rsidR="0084657E" w:rsidRPr="009C7A54" w:rsidRDefault="0084657E" w:rsidP="00F872EA">
      <w:pPr>
        <w:jc w:val="both"/>
        <w:rPr>
          <w:rFonts w:asciiTheme="minorHAnsi" w:hAnsiTheme="minorHAnsi"/>
          <w:lang w:val="es-ES"/>
        </w:rPr>
      </w:pPr>
    </w:p>
    <w:p w14:paraId="173827E9" w14:textId="77777777" w:rsidR="0084657E" w:rsidRPr="009C7A54" w:rsidRDefault="00E51D9B" w:rsidP="00F872EA">
      <w:pPr>
        <w:jc w:val="both"/>
        <w:rPr>
          <w:rFonts w:asciiTheme="minorHAnsi" w:hAnsiTheme="minorHAnsi"/>
          <w:lang w:val="es-ES"/>
        </w:rPr>
      </w:pPr>
      <w:r>
        <w:rPr>
          <w:rFonts w:asciiTheme="minorHAnsi" w:hAnsiTheme="minorHAnsi"/>
          <w:noProof/>
          <w:lang w:val="es-ES"/>
        </w:rPr>
        <w:lastRenderedPageBreak/>
        <w:drawing>
          <wp:inline distT="0" distB="0" distL="0" distR="0" wp14:anchorId="78B549E9" wp14:editId="24CE1D84">
            <wp:extent cx="5984326" cy="3187485"/>
            <wp:effectExtent l="0" t="0" r="0" b="635"/>
            <wp:docPr id="21262985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298597" name=""/>
                    <pic:cNvPicPr/>
                  </pic:nvPicPr>
                  <pic:blipFill>
                    <a:blip r:embed="rId18"/>
                    <a:stretch>
                      <a:fillRect/>
                    </a:stretch>
                  </pic:blipFill>
                  <pic:spPr>
                    <a:xfrm>
                      <a:off x="0" y="0"/>
                      <a:ext cx="6003187" cy="3197531"/>
                    </a:xfrm>
                    <a:prstGeom prst="rect">
                      <a:avLst/>
                    </a:prstGeom>
                  </pic:spPr>
                </pic:pic>
              </a:graphicData>
            </a:graphic>
          </wp:inline>
        </w:drawing>
      </w:r>
    </w:p>
    <w:p w14:paraId="605FE1C5" w14:textId="77777777" w:rsidR="0084657E" w:rsidRPr="009C7A54" w:rsidRDefault="00000000" w:rsidP="00F872EA">
      <w:pPr>
        <w:pStyle w:val="Descripcin"/>
        <w:spacing w:before="240" w:after="120"/>
        <w:jc w:val="both"/>
        <w:rPr>
          <w:rFonts w:asciiTheme="minorHAnsi" w:hAnsiTheme="minorHAnsi"/>
          <w:lang w:val="es-ES"/>
        </w:rPr>
      </w:pPr>
      <w:r>
        <w:rPr>
          <w:lang w:val="es-ES"/>
        </w:rPr>
        <w:t>Figura 11. Importancia de variables del modelo Random Forest.</w:t>
      </w:r>
    </w:p>
    <w:p w14:paraId="59653CE3" w14:textId="77777777" w:rsidR="0084657E" w:rsidRPr="009C7A54" w:rsidRDefault="00000000" w:rsidP="00F872EA">
      <w:pPr>
        <w:jc w:val="both"/>
        <w:rPr>
          <w:rFonts w:asciiTheme="minorHAnsi" w:hAnsiTheme="minorHAnsi"/>
          <w:lang w:val="es-ES"/>
        </w:rPr>
      </w:pPr>
      <w:r>
        <w:rPr>
          <w:rFonts w:asciiTheme="minorHAnsi" w:hAnsiTheme="minorHAnsi"/>
          <w:lang w:val="es-ES"/>
        </w:rPr>
        <w:t>El análisis de proxy individual no identificó una variable única con F1-macro mayor o igual a 0.70 entre los predictores incluidos. Sin embargo, el bloque BASC-3 actúa como conjunto de alto poder discriminante. Esto no invalida el modelo para apoyar o auditar decisiones con información clínica disponible, pero limita su interpretación como fuente de evidencia diagnóstica independiente.</w:t>
      </w:r>
    </w:p>
    <w:p w14:paraId="1BDDAB6E" w14:textId="77777777" w:rsidR="0084657E" w:rsidRPr="009C7A54" w:rsidRDefault="00000000" w:rsidP="00F872EA">
      <w:pPr>
        <w:pStyle w:val="Ttulo1"/>
        <w:spacing w:after="120"/>
        <w:jc w:val="both"/>
        <w:rPr>
          <w:rFonts w:asciiTheme="minorHAnsi" w:hAnsiTheme="minorHAnsi"/>
          <w:lang w:val="es-ES"/>
        </w:rPr>
      </w:pPr>
      <w:r>
        <w:rPr>
          <w:rFonts w:asciiTheme="minorHAnsi" w:hAnsiTheme="minorHAnsi"/>
          <w:sz w:val="28"/>
          <w:lang w:val="es-ES"/>
        </w:rPr>
        <w:t>6. Análisis de errores</w:t>
      </w:r>
    </w:p>
    <w:p w14:paraId="22066212" w14:textId="77777777" w:rsidR="0084657E" w:rsidRPr="009C7A54" w:rsidRDefault="00000000" w:rsidP="00F872EA">
      <w:pPr>
        <w:jc w:val="both"/>
        <w:rPr>
          <w:rFonts w:asciiTheme="minorHAnsi" w:hAnsiTheme="minorHAnsi"/>
          <w:lang w:val="es-ES"/>
        </w:rPr>
      </w:pPr>
      <w:r>
        <w:rPr>
          <w:rFonts w:asciiTheme="minorHAnsi" w:hAnsiTheme="minorHAnsi"/>
          <w:lang w:val="es-ES"/>
        </w:rPr>
        <w:t>Este análisis y el estudio de ablación (sección 7) se ejecutaron con un Random Forest con min_samples_leaf = 1 (valor por defecto), cuyo F1-macro en prueba es 0.942; el modelo seleccionado (min_samples_leaf = 2, Tabla 3) comete 8 errores sobre los mismos 175 casos. En el conjunto de prueba se observaron 10 errores de clasificación sobre 175 casos, equivalentes al 5.7 %. Las clases con F1 inferior a 0.90 fueron TDAH combinado, TDAH hiperactivo/impulsivo y TDAH inatento + TND.</w:t>
      </w:r>
    </w:p>
    <w:p w14:paraId="69ED0E79" w14:textId="77777777" w:rsidR="000C21FD" w:rsidRDefault="00000000">
      <w:pPr>
        <w:pStyle w:val="Descripcin"/>
      </w:pPr>
      <w:r>
        <w:t>Tabla 5. Clases con F1-macro inferior a 0.90 en el conjunto de prueba.</w:t>
      </w:r>
    </w:p>
    <w:tbl>
      <w:tblPr>
        <w:tblStyle w:val="Sombreadoclaro-nfasis1"/>
        <w:tblW w:w="0" w:type="auto"/>
        <w:jc w:val="center"/>
        <w:tblLook w:val="04A0" w:firstRow="1" w:lastRow="0" w:firstColumn="1" w:lastColumn="0" w:noHBand="0" w:noVBand="1"/>
      </w:tblPr>
      <w:tblGrid>
        <w:gridCol w:w="4320"/>
        <w:gridCol w:w="1440"/>
        <w:gridCol w:w="1440"/>
        <w:gridCol w:w="1440"/>
        <w:gridCol w:w="1440"/>
      </w:tblGrid>
      <w:tr w:rsidR="0084657E" w:rsidRPr="009C7A54" w14:paraId="10B42673"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shd w:val="clear" w:color="auto" w:fill="1F4E79"/>
            <w:vAlign w:val="center"/>
          </w:tcPr>
          <w:p w14:paraId="4651322A" w14:textId="77777777" w:rsidR="0084657E" w:rsidRPr="009C7A54" w:rsidRDefault="00000000" w:rsidP="00F872EA">
            <w:pPr>
              <w:spacing w:after="20"/>
              <w:jc w:val="both"/>
              <w:rPr>
                <w:rFonts w:asciiTheme="minorHAnsi" w:hAnsiTheme="minorHAnsi"/>
                <w:color w:val="FFFFFF" w:themeColor="background1"/>
                <w:lang w:val="es-ES"/>
              </w:rPr>
            </w:pPr>
            <w:r>
              <w:rPr>
                <w:rFonts w:asciiTheme="minorHAnsi" w:hAnsiTheme="minorHAnsi"/>
                <w:color w:val="FFFFFF" w:themeColor="background1"/>
                <w:sz w:val="18"/>
                <w:lang w:val="es-ES"/>
              </w:rPr>
              <w:t>Clase</w:t>
            </w:r>
          </w:p>
        </w:tc>
        <w:tc>
          <w:tcPr>
            <w:tcW w:w="1440" w:type="dxa"/>
            <w:shd w:val="clear" w:color="auto" w:fill="1F4E79"/>
            <w:vAlign w:val="center"/>
          </w:tcPr>
          <w:p w14:paraId="33FE58EA" w14:textId="77777777" w:rsidR="0084657E" w:rsidRPr="009C7A54" w:rsidRDefault="00000000" w:rsidP="00F872EA">
            <w:pPr>
              <w:spacing w:after="20"/>
              <w:jc w:val="both"/>
              <w:cnfStyle w:val="100000000000" w:firstRow="1" w:lastRow="0" w:firstColumn="0" w:lastColumn="0" w:oddVBand="0" w:evenVBand="0" w:oddHBand="0" w:evenHBand="0" w:firstRowFirstColumn="0" w:firstRowLastColumn="0" w:lastRowFirstColumn="0" w:lastRowLastColumn="0"/>
              <w:rPr>
                <w:rFonts w:asciiTheme="minorHAnsi" w:hAnsiTheme="minorHAnsi"/>
                <w:color w:val="FFFFFF" w:themeColor="background1"/>
                <w:lang w:val="es-ES"/>
              </w:rPr>
            </w:pPr>
            <w:r>
              <w:rPr>
                <w:rFonts w:asciiTheme="minorHAnsi" w:hAnsiTheme="minorHAnsi"/>
                <w:color w:val="FFFFFF" w:themeColor="background1"/>
                <w:sz w:val="18"/>
                <w:lang w:val="es-ES"/>
              </w:rPr>
              <w:t>Precisión</w:t>
            </w:r>
          </w:p>
        </w:tc>
        <w:tc>
          <w:tcPr>
            <w:tcW w:w="1440" w:type="dxa"/>
            <w:shd w:val="clear" w:color="auto" w:fill="1F4E79"/>
            <w:vAlign w:val="center"/>
          </w:tcPr>
          <w:p w14:paraId="3FA5D2D0" w14:textId="77777777" w:rsidR="0084657E" w:rsidRPr="009C7A54" w:rsidRDefault="00000000" w:rsidP="00F872EA">
            <w:pPr>
              <w:spacing w:after="20"/>
              <w:jc w:val="both"/>
              <w:cnfStyle w:val="100000000000" w:firstRow="1" w:lastRow="0" w:firstColumn="0" w:lastColumn="0" w:oddVBand="0" w:evenVBand="0" w:oddHBand="0" w:evenHBand="0" w:firstRowFirstColumn="0" w:firstRowLastColumn="0" w:lastRowFirstColumn="0" w:lastRowLastColumn="0"/>
              <w:rPr>
                <w:rFonts w:asciiTheme="minorHAnsi" w:hAnsiTheme="minorHAnsi"/>
                <w:color w:val="FFFFFF" w:themeColor="background1"/>
                <w:lang w:val="es-ES"/>
              </w:rPr>
            </w:pPr>
            <w:r>
              <w:rPr>
                <w:rFonts w:asciiTheme="minorHAnsi" w:hAnsiTheme="minorHAnsi"/>
                <w:color w:val="FFFFFF" w:themeColor="background1"/>
                <w:sz w:val="18"/>
                <w:lang w:val="es-ES"/>
              </w:rPr>
              <w:t>Recall</w:t>
            </w:r>
          </w:p>
        </w:tc>
        <w:tc>
          <w:tcPr>
            <w:tcW w:w="1440" w:type="dxa"/>
            <w:shd w:val="clear" w:color="auto" w:fill="1F4E79"/>
            <w:vAlign w:val="center"/>
          </w:tcPr>
          <w:p w14:paraId="57954C2E" w14:textId="77777777" w:rsidR="0084657E" w:rsidRPr="009C7A54" w:rsidRDefault="00000000" w:rsidP="00F872EA">
            <w:pPr>
              <w:spacing w:after="20"/>
              <w:jc w:val="both"/>
              <w:cnfStyle w:val="100000000000" w:firstRow="1" w:lastRow="0" w:firstColumn="0" w:lastColumn="0" w:oddVBand="0" w:evenVBand="0" w:oddHBand="0" w:evenHBand="0" w:firstRowFirstColumn="0" w:firstRowLastColumn="0" w:lastRowFirstColumn="0" w:lastRowLastColumn="0"/>
              <w:rPr>
                <w:rFonts w:asciiTheme="minorHAnsi" w:hAnsiTheme="minorHAnsi"/>
                <w:color w:val="FFFFFF" w:themeColor="background1"/>
                <w:lang w:val="es-ES"/>
              </w:rPr>
            </w:pPr>
            <w:r>
              <w:rPr>
                <w:rFonts w:asciiTheme="minorHAnsi" w:hAnsiTheme="minorHAnsi"/>
                <w:color w:val="FFFFFF" w:themeColor="background1"/>
                <w:sz w:val="18"/>
                <w:lang w:val="es-ES"/>
              </w:rPr>
              <w:t>F1</w:t>
            </w:r>
          </w:p>
        </w:tc>
        <w:tc>
          <w:tcPr>
            <w:tcW w:w="1440" w:type="dxa"/>
            <w:shd w:val="clear" w:color="auto" w:fill="1F4E79"/>
            <w:vAlign w:val="center"/>
          </w:tcPr>
          <w:p w14:paraId="159859A7" w14:textId="77777777" w:rsidR="0084657E" w:rsidRPr="009C7A54" w:rsidRDefault="00000000" w:rsidP="00F872EA">
            <w:pPr>
              <w:spacing w:after="20"/>
              <w:jc w:val="both"/>
              <w:cnfStyle w:val="100000000000" w:firstRow="1" w:lastRow="0" w:firstColumn="0" w:lastColumn="0" w:oddVBand="0" w:evenVBand="0" w:oddHBand="0" w:evenHBand="0" w:firstRowFirstColumn="0" w:firstRowLastColumn="0" w:lastRowFirstColumn="0" w:lastRowLastColumn="0"/>
              <w:rPr>
                <w:rFonts w:asciiTheme="minorHAnsi" w:hAnsiTheme="minorHAnsi"/>
                <w:color w:val="FFFFFF" w:themeColor="background1"/>
                <w:lang w:val="es-ES"/>
              </w:rPr>
            </w:pPr>
            <w:r>
              <w:rPr>
                <w:rFonts w:asciiTheme="minorHAnsi" w:hAnsiTheme="minorHAnsi"/>
                <w:color w:val="FFFFFF" w:themeColor="background1"/>
                <w:sz w:val="18"/>
                <w:lang w:val="es-ES"/>
              </w:rPr>
              <w:t>Soporte</w:t>
            </w:r>
          </w:p>
        </w:tc>
      </w:tr>
      <w:tr w:rsidR="0084657E" w:rsidRPr="009C7A54" w14:paraId="7A2502E4"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6A33C7E4" w14:textId="77777777" w:rsidR="0084657E" w:rsidRPr="009C7A54" w:rsidRDefault="00000000" w:rsidP="00F872EA">
            <w:pPr>
              <w:spacing w:after="20"/>
              <w:jc w:val="both"/>
              <w:rPr>
                <w:rFonts w:asciiTheme="minorHAnsi" w:hAnsiTheme="minorHAnsi"/>
                <w:lang w:val="es-ES"/>
              </w:rPr>
            </w:pPr>
            <w:r>
              <w:rPr>
                <w:rFonts w:asciiTheme="minorHAnsi" w:hAnsiTheme="minorHAnsi"/>
                <w:color w:val="000000"/>
                <w:sz w:val="18"/>
                <w:lang w:val="es-ES"/>
              </w:rPr>
              <w:t>TDAH combinado</w:t>
            </w:r>
          </w:p>
        </w:tc>
        <w:tc>
          <w:tcPr>
            <w:tcW w:w="1440" w:type="dxa"/>
            <w:vAlign w:val="center"/>
          </w:tcPr>
          <w:p w14:paraId="5F8865EB" w14:textId="77777777" w:rsidR="0084657E" w:rsidRPr="009C7A54" w:rsidRDefault="00000000" w:rsidP="00F872EA">
            <w:pPr>
              <w:spacing w:after="20"/>
              <w:jc w:val="both"/>
              <w:cnfStyle w:val="000000100000" w:firstRow="0" w:lastRow="0" w:firstColumn="0" w:lastColumn="0" w:oddVBand="0" w:evenVBand="0" w:oddHBand="1" w:evenHBand="0" w:firstRowFirstColumn="0" w:firstRowLastColumn="0" w:lastRowFirstColumn="0" w:lastRowLastColumn="0"/>
              <w:rPr>
                <w:rFonts w:asciiTheme="minorHAnsi" w:hAnsiTheme="minorHAnsi"/>
                <w:lang w:val="es-ES"/>
              </w:rPr>
            </w:pPr>
            <w:r>
              <w:rPr>
                <w:rFonts w:asciiTheme="minorHAnsi" w:hAnsiTheme="minorHAnsi"/>
                <w:color w:val="000000"/>
                <w:sz w:val="18"/>
                <w:lang w:val="es-ES"/>
              </w:rPr>
              <w:t>0.929</w:t>
            </w:r>
          </w:p>
        </w:tc>
        <w:tc>
          <w:tcPr>
            <w:tcW w:w="1440" w:type="dxa"/>
            <w:vAlign w:val="center"/>
          </w:tcPr>
          <w:p w14:paraId="0EBADE63" w14:textId="77777777" w:rsidR="0084657E" w:rsidRPr="009C7A54" w:rsidRDefault="00000000" w:rsidP="00F872EA">
            <w:pPr>
              <w:spacing w:after="20"/>
              <w:jc w:val="both"/>
              <w:cnfStyle w:val="000000100000" w:firstRow="0" w:lastRow="0" w:firstColumn="0" w:lastColumn="0" w:oddVBand="0" w:evenVBand="0" w:oddHBand="1" w:evenHBand="0" w:firstRowFirstColumn="0" w:firstRowLastColumn="0" w:lastRowFirstColumn="0" w:lastRowLastColumn="0"/>
              <w:rPr>
                <w:rFonts w:asciiTheme="minorHAnsi" w:hAnsiTheme="minorHAnsi"/>
                <w:lang w:val="es-ES"/>
              </w:rPr>
            </w:pPr>
            <w:r>
              <w:rPr>
                <w:rFonts w:asciiTheme="minorHAnsi" w:hAnsiTheme="minorHAnsi"/>
                <w:color w:val="000000"/>
                <w:sz w:val="18"/>
                <w:lang w:val="es-ES"/>
              </w:rPr>
              <w:t>0.722</w:t>
            </w:r>
          </w:p>
        </w:tc>
        <w:tc>
          <w:tcPr>
            <w:tcW w:w="1440" w:type="dxa"/>
            <w:vAlign w:val="center"/>
          </w:tcPr>
          <w:p w14:paraId="31F232AA" w14:textId="77777777" w:rsidR="0084657E" w:rsidRPr="009C7A54" w:rsidRDefault="00000000" w:rsidP="00F872EA">
            <w:pPr>
              <w:spacing w:after="20"/>
              <w:jc w:val="both"/>
              <w:cnfStyle w:val="000000100000" w:firstRow="0" w:lastRow="0" w:firstColumn="0" w:lastColumn="0" w:oddVBand="0" w:evenVBand="0" w:oddHBand="1" w:evenHBand="0" w:firstRowFirstColumn="0" w:firstRowLastColumn="0" w:lastRowFirstColumn="0" w:lastRowLastColumn="0"/>
              <w:rPr>
                <w:rFonts w:asciiTheme="minorHAnsi" w:hAnsiTheme="minorHAnsi"/>
                <w:lang w:val="es-ES"/>
              </w:rPr>
            </w:pPr>
            <w:r>
              <w:rPr>
                <w:rFonts w:asciiTheme="minorHAnsi" w:hAnsiTheme="minorHAnsi"/>
                <w:color w:val="000000"/>
                <w:sz w:val="18"/>
                <w:lang w:val="es-ES"/>
              </w:rPr>
              <w:t>0.812</w:t>
            </w:r>
          </w:p>
        </w:tc>
        <w:tc>
          <w:tcPr>
            <w:tcW w:w="1440" w:type="dxa"/>
            <w:vAlign w:val="center"/>
          </w:tcPr>
          <w:p w14:paraId="338E6E2A" w14:textId="77777777" w:rsidR="0084657E" w:rsidRPr="009C7A54" w:rsidRDefault="00000000" w:rsidP="00F872EA">
            <w:pPr>
              <w:spacing w:after="20"/>
              <w:jc w:val="both"/>
              <w:cnfStyle w:val="000000100000" w:firstRow="0" w:lastRow="0" w:firstColumn="0" w:lastColumn="0" w:oddVBand="0" w:evenVBand="0" w:oddHBand="1" w:evenHBand="0" w:firstRowFirstColumn="0" w:firstRowLastColumn="0" w:lastRowFirstColumn="0" w:lastRowLastColumn="0"/>
              <w:rPr>
                <w:rFonts w:asciiTheme="minorHAnsi" w:hAnsiTheme="minorHAnsi"/>
                <w:lang w:val="es-ES"/>
              </w:rPr>
            </w:pPr>
            <w:r>
              <w:rPr>
                <w:rFonts w:asciiTheme="minorHAnsi" w:hAnsiTheme="minorHAnsi"/>
                <w:color w:val="000000"/>
                <w:sz w:val="18"/>
                <w:lang w:val="es-ES"/>
              </w:rPr>
              <w:t>18</w:t>
            </w:r>
          </w:p>
        </w:tc>
      </w:tr>
      <w:tr w:rsidR="0084657E" w:rsidRPr="009C7A54" w14:paraId="7E32B35E" w14:textId="77777777">
        <w:trPr>
          <w:jc w:val="center"/>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78ECE986" w14:textId="77777777" w:rsidR="0084657E" w:rsidRPr="009C7A54" w:rsidRDefault="00000000" w:rsidP="00F872EA">
            <w:pPr>
              <w:spacing w:after="20"/>
              <w:jc w:val="both"/>
              <w:rPr>
                <w:rFonts w:asciiTheme="minorHAnsi" w:hAnsiTheme="minorHAnsi"/>
                <w:lang w:val="es-ES"/>
              </w:rPr>
            </w:pPr>
            <w:r>
              <w:rPr>
                <w:rFonts w:asciiTheme="minorHAnsi" w:hAnsiTheme="minorHAnsi"/>
                <w:color w:val="000000"/>
                <w:sz w:val="18"/>
                <w:lang w:val="es-ES"/>
              </w:rPr>
              <w:t>TDAH hiperactivo/impulsivo</w:t>
            </w:r>
          </w:p>
        </w:tc>
        <w:tc>
          <w:tcPr>
            <w:tcW w:w="1440" w:type="dxa"/>
            <w:vAlign w:val="center"/>
          </w:tcPr>
          <w:p w14:paraId="33C7ADE5" w14:textId="77777777" w:rsidR="0084657E" w:rsidRPr="009C7A54" w:rsidRDefault="00000000" w:rsidP="00F872EA">
            <w:pPr>
              <w:spacing w:after="20"/>
              <w:jc w:val="both"/>
              <w:cnfStyle w:val="000000000000" w:firstRow="0" w:lastRow="0" w:firstColumn="0" w:lastColumn="0" w:oddVBand="0" w:evenVBand="0" w:oddHBand="0" w:evenHBand="0" w:firstRowFirstColumn="0" w:firstRowLastColumn="0" w:lastRowFirstColumn="0" w:lastRowLastColumn="0"/>
              <w:rPr>
                <w:rFonts w:asciiTheme="minorHAnsi" w:hAnsiTheme="minorHAnsi"/>
                <w:lang w:val="es-ES"/>
              </w:rPr>
            </w:pPr>
            <w:r>
              <w:rPr>
                <w:rFonts w:asciiTheme="minorHAnsi" w:hAnsiTheme="minorHAnsi"/>
                <w:color w:val="000000"/>
                <w:sz w:val="18"/>
                <w:lang w:val="es-ES"/>
              </w:rPr>
              <w:t>0.727</w:t>
            </w:r>
          </w:p>
        </w:tc>
        <w:tc>
          <w:tcPr>
            <w:tcW w:w="1440" w:type="dxa"/>
            <w:vAlign w:val="center"/>
          </w:tcPr>
          <w:p w14:paraId="0E66F98B" w14:textId="77777777" w:rsidR="0084657E" w:rsidRPr="009C7A54" w:rsidRDefault="00000000" w:rsidP="00F872EA">
            <w:pPr>
              <w:spacing w:after="20"/>
              <w:jc w:val="both"/>
              <w:cnfStyle w:val="000000000000" w:firstRow="0" w:lastRow="0" w:firstColumn="0" w:lastColumn="0" w:oddVBand="0" w:evenVBand="0" w:oddHBand="0" w:evenHBand="0" w:firstRowFirstColumn="0" w:firstRowLastColumn="0" w:lastRowFirstColumn="0" w:lastRowLastColumn="0"/>
              <w:rPr>
                <w:rFonts w:asciiTheme="minorHAnsi" w:hAnsiTheme="minorHAnsi"/>
                <w:lang w:val="es-ES"/>
              </w:rPr>
            </w:pPr>
            <w:r>
              <w:rPr>
                <w:rFonts w:asciiTheme="minorHAnsi" w:hAnsiTheme="minorHAnsi"/>
                <w:color w:val="000000"/>
                <w:sz w:val="18"/>
                <w:lang w:val="es-ES"/>
              </w:rPr>
              <w:t>1.000</w:t>
            </w:r>
          </w:p>
        </w:tc>
        <w:tc>
          <w:tcPr>
            <w:tcW w:w="1440" w:type="dxa"/>
            <w:vAlign w:val="center"/>
          </w:tcPr>
          <w:p w14:paraId="1F800AB0" w14:textId="77777777" w:rsidR="0084657E" w:rsidRPr="009C7A54" w:rsidRDefault="00000000" w:rsidP="00F872EA">
            <w:pPr>
              <w:spacing w:after="20"/>
              <w:jc w:val="both"/>
              <w:cnfStyle w:val="000000000000" w:firstRow="0" w:lastRow="0" w:firstColumn="0" w:lastColumn="0" w:oddVBand="0" w:evenVBand="0" w:oddHBand="0" w:evenHBand="0" w:firstRowFirstColumn="0" w:firstRowLastColumn="0" w:lastRowFirstColumn="0" w:lastRowLastColumn="0"/>
              <w:rPr>
                <w:rFonts w:asciiTheme="minorHAnsi" w:hAnsiTheme="minorHAnsi"/>
                <w:lang w:val="es-ES"/>
              </w:rPr>
            </w:pPr>
            <w:r>
              <w:rPr>
                <w:rFonts w:asciiTheme="minorHAnsi" w:hAnsiTheme="minorHAnsi"/>
                <w:color w:val="000000"/>
                <w:sz w:val="18"/>
                <w:lang w:val="es-ES"/>
              </w:rPr>
              <w:t>0.842</w:t>
            </w:r>
          </w:p>
        </w:tc>
        <w:tc>
          <w:tcPr>
            <w:tcW w:w="1440" w:type="dxa"/>
            <w:vAlign w:val="center"/>
          </w:tcPr>
          <w:p w14:paraId="0E26B677" w14:textId="77777777" w:rsidR="0084657E" w:rsidRPr="009C7A54" w:rsidRDefault="00000000" w:rsidP="00F872EA">
            <w:pPr>
              <w:spacing w:after="20"/>
              <w:jc w:val="both"/>
              <w:cnfStyle w:val="000000000000" w:firstRow="0" w:lastRow="0" w:firstColumn="0" w:lastColumn="0" w:oddVBand="0" w:evenVBand="0" w:oddHBand="0" w:evenHBand="0" w:firstRowFirstColumn="0" w:firstRowLastColumn="0" w:lastRowFirstColumn="0" w:lastRowLastColumn="0"/>
              <w:rPr>
                <w:rFonts w:asciiTheme="minorHAnsi" w:hAnsiTheme="minorHAnsi"/>
                <w:lang w:val="es-ES"/>
              </w:rPr>
            </w:pPr>
            <w:r>
              <w:rPr>
                <w:rFonts w:asciiTheme="minorHAnsi" w:hAnsiTheme="minorHAnsi"/>
                <w:color w:val="000000"/>
                <w:sz w:val="18"/>
                <w:lang w:val="es-ES"/>
              </w:rPr>
              <w:t>8</w:t>
            </w:r>
          </w:p>
        </w:tc>
      </w:tr>
      <w:tr w:rsidR="0084657E" w:rsidRPr="009C7A54" w14:paraId="48E16199"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7A180991" w14:textId="77777777" w:rsidR="0084657E" w:rsidRPr="009C7A54" w:rsidRDefault="00000000" w:rsidP="00F872EA">
            <w:pPr>
              <w:spacing w:after="20"/>
              <w:jc w:val="both"/>
              <w:rPr>
                <w:rFonts w:asciiTheme="minorHAnsi" w:hAnsiTheme="minorHAnsi"/>
                <w:lang w:val="es-ES"/>
              </w:rPr>
            </w:pPr>
            <w:r>
              <w:rPr>
                <w:rFonts w:asciiTheme="minorHAnsi" w:hAnsiTheme="minorHAnsi"/>
                <w:color w:val="000000"/>
                <w:sz w:val="18"/>
                <w:lang w:val="es-ES"/>
              </w:rPr>
              <w:t>TDAH inatento + TND</w:t>
            </w:r>
          </w:p>
        </w:tc>
        <w:tc>
          <w:tcPr>
            <w:tcW w:w="1440" w:type="dxa"/>
            <w:vAlign w:val="center"/>
          </w:tcPr>
          <w:p w14:paraId="0733F997" w14:textId="77777777" w:rsidR="0084657E" w:rsidRPr="009C7A54" w:rsidRDefault="00000000" w:rsidP="00F872EA">
            <w:pPr>
              <w:spacing w:after="20"/>
              <w:jc w:val="both"/>
              <w:cnfStyle w:val="000000100000" w:firstRow="0" w:lastRow="0" w:firstColumn="0" w:lastColumn="0" w:oddVBand="0" w:evenVBand="0" w:oddHBand="1" w:evenHBand="0" w:firstRowFirstColumn="0" w:firstRowLastColumn="0" w:lastRowFirstColumn="0" w:lastRowLastColumn="0"/>
              <w:rPr>
                <w:rFonts w:asciiTheme="minorHAnsi" w:hAnsiTheme="minorHAnsi"/>
                <w:lang w:val="es-ES"/>
              </w:rPr>
            </w:pPr>
            <w:r>
              <w:rPr>
                <w:rFonts w:asciiTheme="minorHAnsi" w:hAnsiTheme="minorHAnsi"/>
                <w:color w:val="000000"/>
                <w:sz w:val="18"/>
                <w:lang w:val="es-ES"/>
              </w:rPr>
              <w:t>0.818</w:t>
            </w:r>
          </w:p>
        </w:tc>
        <w:tc>
          <w:tcPr>
            <w:tcW w:w="1440" w:type="dxa"/>
            <w:vAlign w:val="center"/>
          </w:tcPr>
          <w:p w14:paraId="6FFAB759" w14:textId="77777777" w:rsidR="0084657E" w:rsidRPr="009C7A54" w:rsidRDefault="00000000" w:rsidP="00F872EA">
            <w:pPr>
              <w:spacing w:after="20"/>
              <w:jc w:val="both"/>
              <w:cnfStyle w:val="000000100000" w:firstRow="0" w:lastRow="0" w:firstColumn="0" w:lastColumn="0" w:oddVBand="0" w:evenVBand="0" w:oddHBand="1" w:evenHBand="0" w:firstRowFirstColumn="0" w:firstRowLastColumn="0" w:lastRowFirstColumn="0" w:lastRowLastColumn="0"/>
              <w:rPr>
                <w:rFonts w:asciiTheme="minorHAnsi" w:hAnsiTheme="minorHAnsi"/>
                <w:lang w:val="es-ES"/>
              </w:rPr>
            </w:pPr>
            <w:r>
              <w:rPr>
                <w:rFonts w:asciiTheme="minorHAnsi" w:hAnsiTheme="minorHAnsi"/>
                <w:color w:val="000000"/>
                <w:sz w:val="18"/>
                <w:lang w:val="es-ES"/>
              </w:rPr>
              <w:t>0.900</w:t>
            </w:r>
          </w:p>
        </w:tc>
        <w:tc>
          <w:tcPr>
            <w:tcW w:w="1440" w:type="dxa"/>
            <w:vAlign w:val="center"/>
          </w:tcPr>
          <w:p w14:paraId="0058B298" w14:textId="77777777" w:rsidR="0084657E" w:rsidRPr="009C7A54" w:rsidRDefault="00000000" w:rsidP="00F872EA">
            <w:pPr>
              <w:spacing w:after="20"/>
              <w:jc w:val="both"/>
              <w:cnfStyle w:val="000000100000" w:firstRow="0" w:lastRow="0" w:firstColumn="0" w:lastColumn="0" w:oddVBand="0" w:evenVBand="0" w:oddHBand="1" w:evenHBand="0" w:firstRowFirstColumn="0" w:firstRowLastColumn="0" w:lastRowFirstColumn="0" w:lastRowLastColumn="0"/>
              <w:rPr>
                <w:rFonts w:asciiTheme="minorHAnsi" w:hAnsiTheme="minorHAnsi"/>
                <w:lang w:val="es-ES"/>
              </w:rPr>
            </w:pPr>
            <w:r>
              <w:rPr>
                <w:rFonts w:asciiTheme="minorHAnsi" w:hAnsiTheme="minorHAnsi"/>
                <w:color w:val="000000"/>
                <w:sz w:val="18"/>
                <w:lang w:val="es-ES"/>
              </w:rPr>
              <w:t>0.857</w:t>
            </w:r>
          </w:p>
        </w:tc>
        <w:tc>
          <w:tcPr>
            <w:tcW w:w="1440" w:type="dxa"/>
            <w:vAlign w:val="center"/>
          </w:tcPr>
          <w:p w14:paraId="65C81BDA" w14:textId="77777777" w:rsidR="0084657E" w:rsidRPr="009C7A54" w:rsidRDefault="00000000" w:rsidP="00F872EA">
            <w:pPr>
              <w:spacing w:after="20"/>
              <w:jc w:val="both"/>
              <w:cnfStyle w:val="000000100000" w:firstRow="0" w:lastRow="0" w:firstColumn="0" w:lastColumn="0" w:oddVBand="0" w:evenVBand="0" w:oddHBand="1" w:evenHBand="0" w:firstRowFirstColumn="0" w:firstRowLastColumn="0" w:lastRowFirstColumn="0" w:lastRowLastColumn="0"/>
              <w:rPr>
                <w:rFonts w:asciiTheme="minorHAnsi" w:hAnsiTheme="minorHAnsi"/>
                <w:lang w:val="es-ES"/>
              </w:rPr>
            </w:pPr>
            <w:r>
              <w:rPr>
                <w:rFonts w:asciiTheme="minorHAnsi" w:hAnsiTheme="minorHAnsi"/>
                <w:color w:val="000000"/>
                <w:sz w:val="18"/>
                <w:lang w:val="es-ES"/>
              </w:rPr>
              <w:t>10</w:t>
            </w:r>
          </w:p>
        </w:tc>
      </w:tr>
    </w:tbl>
    <w:p w14:paraId="096A05EC" w14:textId="77777777" w:rsidR="000C21FD" w:rsidRDefault="00000000">
      <w:r>
        <w:rPr>
          <w:i/>
        </w:rPr>
        <w:t>Nota. Solo se presentan las clases con F1-macro inferior a 0.90 en el conjunto de prueba.</w:t>
      </w:r>
    </w:p>
    <w:p w14:paraId="4371F252" w14:textId="77777777" w:rsidR="0084657E" w:rsidRPr="009C7A54" w:rsidRDefault="0084657E" w:rsidP="00F872EA">
      <w:pPr>
        <w:jc w:val="both"/>
        <w:rPr>
          <w:rFonts w:asciiTheme="minorHAnsi" w:hAnsiTheme="minorHAnsi"/>
          <w:lang w:val="es-ES"/>
        </w:rPr>
      </w:pPr>
    </w:p>
    <w:p w14:paraId="056A077D" w14:textId="77777777" w:rsidR="0084657E" w:rsidRPr="009C7A54" w:rsidRDefault="00000000" w:rsidP="00F872EA">
      <w:pPr>
        <w:pStyle w:val="Listaconvietas"/>
        <w:spacing w:after="120"/>
        <w:jc w:val="both"/>
        <w:rPr>
          <w:rFonts w:asciiTheme="minorHAnsi" w:hAnsiTheme="minorHAnsi"/>
          <w:lang w:val="es-ES"/>
        </w:rPr>
      </w:pPr>
      <w:r>
        <w:rPr>
          <w:rFonts w:asciiTheme="minorHAnsi" w:hAnsiTheme="minorHAnsi"/>
          <w:lang w:val="es-ES"/>
        </w:rPr>
        <w:t>Errores intra-subtipo, asociados a comorbilidad equivocada: 1.</w:t>
      </w:r>
    </w:p>
    <w:p w14:paraId="4FADF5C4" w14:textId="77777777" w:rsidR="0084657E" w:rsidRPr="009C7A54" w:rsidRDefault="00000000" w:rsidP="00F872EA">
      <w:pPr>
        <w:pStyle w:val="Listaconvietas"/>
        <w:spacing w:after="120"/>
        <w:jc w:val="both"/>
        <w:rPr>
          <w:rFonts w:asciiTheme="minorHAnsi" w:hAnsiTheme="minorHAnsi"/>
          <w:lang w:val="es-ES"/>
        </w:rPr>
      </w:pPr>
      <w:r>
        <w:rPr>
          <w:rFonts w:asciiTheme="minorHAnsi" w:hAnsiTheme="minorHAnsi"/>
          <w:lang w:val="es-ES"/>
        </w:rPr>
        <w:t>Errores inter-subtipo, asociados a subtipo TDAH equivocado: 9.</w:t>
      </w:r>
    </w:p>
    <w:p w14:paraId="5FBA323F" w14:textId="77777777" w:rsidR="0084657E" w:rsidRPr="009C7A54" w:rsidRDefault="00000000" w:rsidP="00F872EA">
      <w:pPr>
        <w:pStyle w:val="Listaconvietas"/>
        <w:spacing w:after="120"/>
        <w:jc w:val="both"/>
        <w:rPr>
          <w:rFonts w:asciiTheme="minorHAnsi" w:hAnsiTheme="minorHAnsi"/>
          <w:lang w:val="es-ES"/>
        </w:rPr>
      </w:pPr>
      <w:r>
        <w:rPr>
          <w:rFonts w:asciiTheme="minorHAnsi" w:hAnsiTheme="minorHAnsi"/>
          <w:lang w:val="es-ES"/>
        </w:rPr>
        <w:t>Confianza media en predicciones correctas: 0.757.</w:t>
      </w:r>
    </w:p>
    <w:p w14:paraId="0526971F" w14:textId="7A187741" w:rsidR="0084657E" w:rsidRPr="009C7A54" w:rsidRDefault="00000000" w:rsidP="00F872EA">
      <w:pPr>
        <w:pStyle w:val="Listaconvietas"/>
        <w:spacing w:after="120"/>
        <w:jc w:val="both"/>
        <w:rPr>
          <w:rFonts w:asciiTheme="minorHAnsi" w:hAnsiTheme="minorHAnsi"/>
          <w:lang w:val="es-ES"/>
        </w:rPr>
      </w:pPr>
      <w:r>
        <w:rPr>
          <w:rFonts w:asciiTheme="minorHAnsi" w:hAnsiTheme="minorHAnsi"/>
          <w:lang w:val="es-ES"/>
        </w:rPr>
        <w:t>Confianza media en errores: 0.499.</w:t>
      </w:r>
    </w:p>
    <w:p w14:paraId="348039E2" w14:textId="77777777" w:rsidR="0084657E" w:rsidRPr="009C7A54" w:rsidRDefault="00000000" w:rsidP="00F872EA">
      <w:pPr>
        <w:jc w:val="both"/>
        <w:rPr>
          <w:rFonts w:asciiTheme="minorHAnsi" w:hAnsiTheme="minorHAnsi"/>
          <w:lang w:val="es-ES"/>
        </w:rPr>
      </w:pPr>
      <w:r>
        <w:rPr>
          <w:rFonts w:asciiTheme="minorHAnsi" w:hAnsiTheme="minorHAnsi"/>
          <w:noProof/>
          <w:lang w:val="es-ES"/>
        </w:rPr>
        <w:lastRenderedPageBreak/>
        <w:drawing>
          <wp:inline distT="0" distB="0" distL="0" distR="0" wp14:anchorId="57E4F8D5" wp14:editId="6E6DC908">
            <wp:extent cx="6342394" cy="177952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9"/>
                    <a:stretch>
                      <a:fillRect/>
                    </a:stretch>
                  </pic:blipFill>
                  <pic:spPr>
                    <a:xfrm>
                      <a:off x="0" y="0"/>
                      <a:ext cx="6378953" cy="1789778"/>
                    </a:xfrm>
                    <a:prstGeom prst="rect">
                      <a:avLst/>
                    </a:prstGeom>
                  </pic:spPr>
                </pic:pic>
              </a:graphicData>
            </a:graphic>
          </wp:inline>
        </w:drawing>
      </w:r>
    </w:p>
    <w:p w14:paraId="363960BA" w14:textId="77777777" w:rsidR="0084657E" w:rsidRPr="009C7A54" w:rsidRDefault="00000000" w:rsidP="00F872EA">
      <w:pPr>
        <w:pStyle w:val="Descripcin"/>
        <w:spacing w:before="240" w:after="120"/>
        <w:jc w:val="both"/>
        <w:rPr>
          <w:rFonts w:asciiTheme="minorHAnsi" w:hAnsiTheme="minorHAnsi"/>
          <w:lang w:val="es-ES"/>
        </w:rPr>
      </w:pPr>
      <w:r>
        <w:rPr>
          <w:lang w:val="es-ES"/>
        </w:rPr>
        <w:t>Figura 12. Tipos de error y distribución de confianza en aciertos y errores. La figura proviene del notebook integrador (informe_tecnico_13clases), cuya ejecución registra 9 errores; por eso sus conteos difieren levemente del texto.</w:t>
      </w:r>
    </w:p>
    <w:p w14:paraId="145296EC" w14:textId="66BDE7ED" w:rsidR="0084657E" w:rsidRPr="00757D52" w:rsidRDefault="00000000" w:rsidP="00F872EA">
      <w:pPr>
        <w:jc w:val="both"/>
        <w:rPr>
          <w:rFonts w:asciiTheme="minorHAnsi" w:hAnsiTheme="minorHAnsi"/>
          <w:iCs/>
          <w:lang w:val="es-ES"/>
        </w:rPr>
      </w:pPr>
      <w:r>
        <w:rPr>
          <w:rFonts w:asciiTheme="minorHAnsi" w:hAnsiTheme="minorHAnsi"/>
          <w:iCs/>
          <w:lang w:val="es-ES"/>
        </w:rPr>
        <w:t xml:space="preserve">Los errores se concentran en categorías clínicamente cercanas, particularmente entre subtipos TDAH y formas con comorbilidad. </w:t>
      </w:r>
      <w:r>
        <w:rPr>
          <w:rFonts w:asciiTheme="minorHAnsi" w:hAnsiTheme="minorHAnsi"/>
          <w:lang w:val="es-ES"/>
        </w:rPr>
        <w:t>La lectura de los errores debe considerar que algunas categorías comparten perfiles sintomáticos cercanos. Las confusiones más relevantes se concentran entre subtipos principales o entre formas puras y formas con comorbilidad, especialmente cuando el soporte de prueba por clase es pequeño.</w:t>
      </w:r>
    </w:p>
    <w:p w14:paraId="3F749342" w14:textId="77777777" w:rsidR="00E57A97" w:rsidRPr="009C7A54" w:rsidRDefault="00000000" w:rsidP="00F872EA">
      <w:pPr>
        <w:jc w:val="both"/>
        <w:rPr>
          <w:rFonts w:asciiTheme="minorHAnsi" w:hAnsiTheme="minorHAnsi"/>
          <w:lang w:val="es-ES"/>
        </w:rPr>
      </w:pPr>
      <w:r>
        <w:rPr>
          <w:rFonts w:asciiTheme="minorHAnsi" w:hAnsiTheme="minorHAnsi"/>
          <w:lang w:val="es-ES"/>
        </w:rPr>
        <w:t>Los pares de confusión más frecuentes se concentran en la frontera entre los subtipos TDAH Combinado e Hiperactivo/Impulsivo. El único error intra-subtipo correspondió a un caso de TDAH Inatento+TND clasificado como TDAH Inatento, donde el componente conductual TND no fue suficientemente pronunciado para que el modelo lo detectara. El 90% de los errores son entre subtipos principales; la detección de comorbilidades (TND, TEAZ, TEA) es la parte más robusta.</w:t>
      </w:r>
    </w:p>
    <w:p w14:paraId="7642154D" w14:textId="77777777" w:rsidR="0084657E" w:rsidRPr="009C7A54" w:rsidRDefault="00000000" w:rsidP="00F872EA">
      <w:pPr>
        <w:pStyle w:val="Ttulo1"/>
        <w:spacing w:after="120"/>
        <w:jc w:val="both"/>
        <w:rPr>
          <w:rFonts w:asciiTheme="minorHAnsi" w:hAnsiTheme="minorHAnsi"/>
          <w:lang w:val="es-ES"/>
        </w:rPr>
      </w:pPr>
      <w:r>
        <w:rPr>
          <w:rFonts w:asciiTheme="minorHAnsi" w:hAnsiTheme="minorHAnsi"/>
          <w:sz w:val="28"/>
          <w:lang w:val="es-ES"/>
        </w:rPr>
        <w:t>7. Estudio de ablación</w:t>
      </w:r>
    </w:p>
    <w:p w14:paraId="6038325E" w14:textId="77777777" w:rsidR="0084657E" w:rsidRDefault="00000000" w:rsidP="00F872EA">
      <w:pPr>
        <w:jc w:val="both"/>
        <w:rPr>
          <w:rFonts w:asciiTheme="minorHAnsi" w:hAnsiTheme="minorHAnsi"/>
          <w:lang w:val="es-ES"/>
        </w:rPr>
      </w:pPr>
      <w:r>
        <w:rPr>
          <w:rFonts w:asciiTheme="minorHAnsi" w:hAnsiTheme="minorHAnsi"/>
          <w:lang w:val="es-ES"/>
        </w:rPr>
        <w:t>La ablación cuantificó la dependencia del rendimiento respecto a grupos de variables. El resultado central es la caída marcada al retirar todas las escalas BASC-3, lo que confirma que el rendimiento alto depende de información conductual directamente relevante para la evaluación clínica.</w:t>
      </w:r>
    </w:p>
    <w:p w14:paraId="1F909479" w14:textId="77777777" w:rsidR="00757D52" w:rsidRPr="009C7A54" w:rsidRDefault="00757D52" w:rsidP="00F872EA">
      <w:pPr>
        <w:jc w:val="both"/>
        <w:rPr>
          <w:rFonts w:asciiTheme="minorHAnsi" w:hAnsiTheme="minorHAnsi"/>
          <w:lang w:val="es-ES"/>
        </w:rPr>
      </w:pPr>
    </w:p>
    <w:p w14:paraId="66F122AD" w14:textId="77777777" w:rsidR="000C21FD" w:rsidRDefault="00000000">
      <w:pPr>
        <w:pStyle w:val="Descripcin"/>
      </w:pPr>
      <w:r>
        <w:t>Tabla 6. Resultados del estudio de ablación por configuración de variables.</w:t>
      </w:r>
    </w:p>
    <w:tbl>
      <w:tblPr>
        <w:tblStyle w:val="Sombreadoclaro-nfasis1"/>
        <w:tblW w:w="0" w:type="auto"/>
        <w:jc w:val="center"/>
        <w:tblLook w:val="04A0" w:firstRow="1" w:lastRow="0" w:firstColumn="1" w:lastColumn="0" w:noHBand="0" w:noVBand="1"/>
      </w:tblPr>
      <w:tblGrid>
        <w:gridCol w:w="3456"/>
        <w:gridCol w:w="1440"/>
        <w:gridCol w:w="1728"/>
        <w:gridCol w:w="1440"/>
        <w:gridCol w:w="1728"/>
      </w:tblGrid>
      <w:tr w:rsidR="0084657E" w:rsidRPr="009C7A54" w14:paraId="005713BF"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shd w:val="clear" w:color="auto" w:fill="1F4E79"/>
            <w:vAlign w:val="center"/>
          </w:tcPr>
          <w:p w14:paraId="4BCC4194" w14:textId="77777777" w:rsidR="0084657E" w:rsidRPr="009C7A54" w:rsidRDefault="00000000" w:rsidP="00F872EA">
            <w:pPr>
              <w:spacing w:after="20"/>
              <w:jc w:val="both"/>
              <w:rPr>
                <w:rFonts w:asciiTheme="minorHAnsi" w:hAnsiTheme="minorHAnsi"/>
                <w:color w:val="FFFFFF" w:themeColor="background1"/>
                <w:lang w:val="es-ES"/>
              </w:rPr>
            </w:pPr>
            <w:r>
              <w:rPr>
                <w:rFonts w:asciiTheme="minorHAnsi" w:hAnsiTheme="minorHAnsi"/>
                <w:color w:val="FFFFFF" w:themeColor="background1"/>
                <w:sz w:val="18"/>
                <w:lang w:val="es-ES"/>
              </w:rPr>
              <w:t>Configuración</w:t>
            </w:r>
          </w:p>
        </w:tc>
        <w:tc>
          <w:tcPr>
            <w:tcW w:w="1440" w:type="dxa"/>
            <w:shd w:val="clear" w:color="auto" w:fill="1F4E79"/>
            <w:vAlign w:val="center"/>
          </w:tcPr>
          <w:p w14:paraId="75FCB8D5" w14:textId="77777777" w:rsidR="0084657E" w:rsidRPr="009C7A54" w:rsidRDefault="00000000" w:rsidP="00F872EA">
            <w:pPr>
              <w:spacing w:after="20"/>
              <w:jc w:val="both"/>
              <w:cnfStyle w:val="100000000000" w:firstRow="1" w:lastRow="0" w:firstColumn="0" w:lastColumn="0" w:oddVBand="0" w:evenVBand="0" w:oddHBand="0" w:evenHBand="0" w:firstRowFirstColumn="0" w:firstRowLastColumn="0" w:lastRowFirstColumn="0" w:lastRowLastColumn="0"/>
              <w:rPr>
                <w:rFonts w:asciiTheme="minorHAnsi" w:hAnsiTheme="minorHAnsi"/>
                <w:color w:val="FFFFFF" w:themeColor="background1"/>
                <w:lang w:val="es-ES"/>
              </w:rPr>
            </w:pPr>
            <w:r>
              <w:rPr>
                <w:rFonts w:asciiTheme="minorHAnsi" w:hAnsiTheme="minorHAnsi"/>
                <w:color w:val="FFFFFF" w:themeColor="background1"/>
                <w:sz w:val="18"/>
                <w:lang w:val="es-ES"/>
              </w:rPr>
              <w:t>N features</w:t>
            </w:r>
          </w:p>
        </w:tc>
        <w:tc>
          <w:tcPr>
            <w:tcW w:w="1728" w:type="dxa"/>
            <w:shd w:val="clear" w:color="auto" w:fill="1F4E79"/>
            <w:vAlign w:val="center"/>
          </w:tcPr>
          <w:p w14:paraId="7B4BBD0F" w14:textId="77777777" w:rsidR="0084657E" w:rsidRPr="009C7A54" w:rsidRDefault="00000000" w:rsidP="00F872EA">
            <w:pPr>
              <w:spacing w:after="20"/>
              <w:jc w:val="both"/>
              <w:cnfStyle w:val="100000000000" w:firstRow="1" w:lastRow="0" w:firstColumn="0" w:lastColumn="0" w:oddVBand="0" w:evenVBand="0" w:oddHBand="0" w:evenHBand="0" w:firstRowFirstColumn="0" w:firstRowLastColumn="0" w:lastRowFirstColumn="0" w:lastRowLastColumn="0"/>
              <w:rPr>
                <w:rFonts w:asciiTheme="minorHAnsi" w:hAnsiTheme="minorHAnsi"/>
                <w:color w:val="FFFFFF" w:themeColor="background1"/>
                <w:lang w:val="es-ES"/>
              </w:rPr>
            </w:pPr>
            <w:r>
              <w:rPr>
                <w:rFonts w:asciiTheme="minorHAnsi" w:hAnsiTheme="minorHAnsi"/>
                <w:color w:val="FFFFFF" w:themeColor="background1"/>
                <w:sz w:val="18"/>
                <w:lang w:val="es-ES"/>
              </w:rPr>
              <w:t>CV F1-macro</w:t>
            </w:r>
          </w:p>
        </w:tc>
        <w:tc>
          <w:tcPr>
            <w:tcW w:w="1440" w:type="dxa"/>
            <w:shd w:val="clear" w:color="auto" w:fill="1F4E79"/>
            <w:vAlign w:val="center"/>
          </w:tcPr>
          <w:p w14:paraId="23A0E80E" w14:textId="77777777" w:rsidR="0084657E" w:rsidRPr="009C7A54" w:rsidRDefault="00000000" w:rsidP="00F872EA">
            <w:pPr>
              <w:spacing w:after="20"/>
              <w:jc w:val="both"/>
              <w:cnfStyle w:val="100000000000" w:firstRow="1" w:lastRow="0" w:firstColumn="0" w:lastColumn="0" w:oddVBand="0" w:evenVBand="0" w:oddHBand="0" w:evenHBand="0" w:firstRowFirstColumn="0" w:firstRowLastColumn="0" w:lastRowFirstColumn="0" w:lastRowLastColumn="0"/>
              <w:rPr>
                <w:rFonts w:asciiTheme="minorHAnsi" w:hAnsiTheme="minorHAnsi"/>
                <w:color w:val="FFFFFF" w:themeColor="background1"/>
                <w:lang w:val="es-ES"/>
              </w:rPr>
            </w:pPr>
            <w:r>
              <w:rPr>
                <w:rFonts w:asciiTheme="minorHAnsi" w:hAnsiTheme="minorHAnsi"/>
                <w:color w:val="FFFFFF" w:themeColor="background1"/>
                <w:sz w:val="18"/>
                <w:lang w:val="es-ES"/>
              </w:rPr>
              <w:t>DE CV</w:t>
            </w:r>
          </w:p>
        </w:tc>
        <w:tc>
          <w:tcPr>
            <w:tcW w:w="1728" w:type="dxa"/>
            <w:shd w:val="clear" w:color="auto" w:fill="1F4E79"/>
            <w:vAlign w:val="center"/>
          </w:tcPr>
          <w:p w14:paraId="6EF32172" w14:textId="77777777" w:rsidR="0084657E" w:rsidRPr="009C7A54" w:rsidRDefault="00000000" w:rsidP="00F872EA">
            <w:pPr>
              <w:spacing w:after="20"/>
              <w:jc w:val="both"/>
              <w:cnfStyle w:val="100000000000" w:firstRow="1" w:lastRow="0" w:firstColumn="0" w:lastColumn="0" w:oddVBand="0" w:evenVBand="0" w:oddHBand="0" w:evenHBand="0" w:firstRowFirstColumn="0" w:firstRowLastColumn="0" w:lastRowFirstColumn="0" w:lastRowLastColumn="0"/>
              <w:rPr>
                <w:rFonts w:asciiTheme="minorHAnsi" w:hAnsiTheme="minorHAnsi"/>
                <w:color w:val="FFFFFF" w:themeColor="background1"/>
                <w:lang w:val="es-ES"/>
              </w:rPr>
            </w:pPr>
            <w:r>
              <w:rPr>
                <w:rFonts w:asciiTheme="minorHAnsi" w:hAnsiTheme="minorHAnsi"/>
                <w:color w:val="FFFFFF" w:themeColor="background1"/>
                <w:sz w:val="18"/>
                <w:lang w:val="es-ES"/>
              </w:rPr>
              <w:t>Test F1-macro</w:t>
            </w:r>
          </w:p>
        </w:tc>
      </w:tr>
      <w:tr w:rsidR="0084657E" w:rsidRPr="009C7A54" w14:paraId="36FDA2ED"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vAlign w:val="center"/>
          </w:tcPr>
          <w:p w14:paraId="279D2722" w14:textId="77777777" w:rsidR="0084657E" w:rsidRPr="009C7A54" w:rsidRDefault="00000000" w:rsidP="00F872EA">
            <w:pPr>
              <w:spacing w:after="20"/>
              <w:jc w:val="both"/>
              <w:rPr>
                <w:rFonts w:asciiTheme="minorHAnsi" w:hAnsiTheme="minorHAnsi"/>
                <w:lang w:val="es-ES"/>
              </w:rPr>
            </w:pPr>
            <w:r>
              <w:rPr>
                <w:rFonts w:asciiTheme="minorHAnsi" w:hAnsiTheme="minorHAnsi"/>
                <w:color w:val="000000"/>
                <w:sz w:val="18"/>
                <w:lang w:val="es-ES"/>
              </w:rPr>
              <w:t>Completo</w:t>
            </w:r>
          </w:p>
        </w:tc>
        <w:tc>
          <w:tcPr>
            <w:tcW w:w="1440" w:type="dxa"/>
            <w:vAlign w:val="center"/>
          </w:tcPr>
          <w:p w14:paraId="52F3054A" w14:textId="77777777" w:rsidR="0084657E" w:rsidRPr="009C7A54" w:rsidRDefault="00000000" w:rsidP="00F872EA">
            <w:pPr>
              <w:spacing w:after="20"/>
              <w:jc w:val="both"/>
              <w:cnfStyle w:val="000000100000" w:firstRow="0" w:lastRow="0" w:firstColumn="0" w:lastColumn="0" w:oddVBand="0" w:evenVBand="0" w:oddHBand="1" w:evenHBand="0" w:firstRowFirstColumn="0" w:firstRowLastColumn="0" w:lastRowFirstColumn="0" w:lastRowLastColumn="0"/>
              <w:rPr>
                <w:rFonts w:asciiTheme="minorHAnsi" w:hAnsiTheme="minorHAnsi"/>
                <w:lang w:val="es-ES"/>
              </w:rPr>
            </w:pPr>
            <w:r>
              <w:rPr>
                <w:rFonts w:asciiTheme="minorHAnsi" w:hAnsiTheme="minorHAnsi"/>
                <w:color w:val="000000"/>
                <w:sz w:val="18"/>
                <w:lang w:val="es-ES"/>
              </w:rPr>
              <w:t>14</w:t>
            </w:r>
          </w:p>
        </w:tc>
        <w:tc>
          <w:tcPr>
            <w:tcW w:w="1728" w:type="dxa"/>
            <w:vAlign w:val="center"/>
          </w:tcPr>
          <w:p w14:paraId="501ECA1D" w14:textId="17A3F872" w:rsidR="0084657E" w:rsidRPr="009C7A54" w:rsidRDefault="00000000" w:rsidP="00F872EA">
            <w:pPr>
              <w:spacing w:after="20"/>
              <w:jc w:val="both"/>
              <w:cnfStyle w:val="000000100000" w:firstRow="0" w:lastRow="0" w:firstColumn="0" w:lastColumn="0" w:oddVBand="0" w:evenVBand="0" w:oddHBand="1" w:evenHBand="0" w:firstRowFirstColumn="0" w:firstRowLastColumn="0" w:lastRowFirstColumn="0" w:lastRowLastColumn="0"/>
              <w:rPr>
                <w:rFonts w:asciiTheme="minorHAnsi" w:hAnsiTheme="minorHAnsi"/>
                <w:lang w:val="es-ES"/>
              </w:rPr>
            </w:pPr>
            <w:r>
              <w:rPr>
                <w:rFonts w:asciiTheme="minorHAnsi" w:hAnsiTheme="minorHAnsi"/>
                <w:color w:val="000000"/>
                <w:sz w:val="18"/>
                <w:lang w:val="es-ES"/>
              </w:rPr>
              <w:t>0.954</w:t>
            </w:r>
          </w:p>
        </w:tc>
        <w:tc>
          <w:tcPr>
            <w:tcW w:w="1440" w:type="dxa"/>
            <w:vAlign w:val="center"/>
          </w:tcPr>
          <w:p w14:paraId="483C9965" w14:textId="087EDC3F" w:rsidR="0084657E" w:rsidRPr="009C7A54" w:rsidRDefault="00000000" w:rsidP="00F872EA">
            <w:pPr>
              <w:spacing w:after="20"/>
              <w:jc w:val="both"/>
              <w:cnfStyle w:val="000000100000" w:firstRow="0" w:lastRow="0" w:firstColumn="0" w:lastColumn="0" w:oddVBand="0" w:evenVBand="0" w:oddHBand="1" w:evenHBand="0" w:firstRowFirstColumn="0" w:firstRowLastColumn="0" w:lastRowFirstColumn="0" w:lastRowLastColumn="0"/>
              <w:rPr>
                <w:rFonts w:asciiTheme="minorHAnsi" w:hAnsiTheme="minorHAnsi"/>
                <w:lang w:val="es-ES"/>
              </w:rPr>
            </w:pPr>
            <w:r>
              <w:rPr>
                <w:rFonts w:asciiTheme="minorHAnsi" w:hAnsiTheme="minorHAnsi"/>
                <w:color w:val="000000"/>
                <w:sz w:val="18"/>
                <w:lang w:val="es-ES"/>
              </w:rPr>
              <w:t>0.016</w:t>
            </w:r>
          </w:p>
        </w:tc>
        <w:tc>
          <w:tcPr>
            <w:tcW w:w="1728" w:type="dxa"/>
            <w:vAlign w:val="center"/>
          </w:tcPr>
          <w:p w14:paraId="57D58FE2" w14:textId="77777777" w:rsidR="0084657E" w:rsidRPr="009C7A54" w:rsidRDefault="00000000" w:rsidP="00F872EA">
            <w:pPr>
              <w:spacing w:after="20"/>
              <w:jc w:val="both"/>
              <w:cnfStyle w:val="000000100000" w:firstRow="0" w:lastRow="0" w:firstColumn="0" w:lastColumn="0" w:oddVBand="0" w:evenVBand="0" w:oddHBand="1" w:evenHBand="0" w:firstRowFirstColumn="0" w:firstRowLastColumn="0" w:lastRowFirstColumn="0" w:lastRowLastColumn="0"/>
              <w:rPr>
                <w:rFonts w:asciiTheme="minorHAnsi" w:hAnsiTheme="minorHAnsi"/>
                <w:lang w:val="es-ES"/>
              </w:rPr>
            </w:pPr>
            <w:r>
              <w:rPr>
                <w:rFonts w:asciiTheme="minorHAnsi" w:hAnsiTheme="minorHAnsi"/>
                <w:color w:val="000000"/>
                <w:sz w:val="18"/>
                <w:lang w:val="es-ES"/>
              </w:rPr>
              <w:t>0.942</w:t>
            </w:r>
          </w:p>
        </w:tc>
      </w:tr>
      <w:tr w:rsidR="0084657E" w:rsidRPr="009C7A54" w14:paraId="7D4BA324" w14:textId="77777777">
        <w:trPr>
          <w:jc w:val="center"/>
        </w:trPr>
        <w:tc>
          <w:tcPr>
            <w:cnfStyle w:val="001000000000" w:firstRow="0" w:lastRow="0" w:firstColumn="1" w:lastColumn="0" w:oddVBand="0" w:evenVBand="0" w:oddHBand="0" w:evenHBand="0" w:firstRowFirstColumn="0" w:firstRowLastColumn="0" w:lastRowFirstColumn="0" w:lastRowLastColumn="0"/>
            <w:tcW w:w="3456" w:type="dxa"/>
            <w:vAlign w:val="center"/>
          </w:tcPr>
          <w:p w14:paraId="3B601F10" w14:textId="77777777" w:rsidR="0084657E" w:rsidRPr="009C7A54" w:rsidRDefault="00000000" w:rsidP="00F872EA">
            <w:pPr>
              <w:spacing w:after="20"/>
              <w:jc w:val="both"/>
              <w:rPr>
                <w:rFonts w:asciiTheme="minorHAnsi" w:hAnsiTheme="minorHAnsi"/>
                <w:lang w:val="es-ES"/>
              </w:rPr>
            </w:pPr>
            <w:r>
              <w:rPr>
                <w:rFonts w:asciiTheme="minorHAnsi" w:hAnsiTheme="minorHAnsi"/>
                <w:color w:val="000000"/>
                <w:sz w:val="18"/>
                <w:lang w:val="es-ES"/>
              </w:rPr>
              <w:t>Sin atipicidad</w:t>
            </w:r>
          </w:p>
        </w:tc>
        <w:tc>
          <w:tcPr>
            <w:tcW w:w="1440" w:type="dxa"/>
            <w:vAlign w:val="center"/>
          </w:tcPr>
          <w:p w14:paraId="71946ECB" w14:textId="77777777" w:rsidR="0084657E" w:rsidRPr="009C7A54" w:rsidRDefault="00000000" w:rsidP="00F872EA">
            <w:pPr>
              <w:spacing w:after="20"/>
              <w:jc w:val="both"/>
              <w:cnfStyle w:val="000000000000" w:firstRow="0" w:lastRow="0" w:firstColumn="0" w:lastColumn="0" w:oddVBand="0" w:evenVBand="0" w:oddHBand="0" w:evenHBand="0" w:firstRowFirstColumn="0" w:firstRowLastColumn="0" w:lastRowFirstColumn="0" w:lastRowLastColumn="0"/>
              <w:rPr>
                <w:rFonts w:asciiTheme="minorHAnsi" w:hAnsiTheme="minorHAnsi"/>
                <w:lang w:val="es-ES"/>
              </w:rPr>
            </w:pPr>
            <w:r>
              <w:rPr>
                <w:rFonts w:asciiTheme="minorHAnsi" w:hAnsiTheme="minorHAnsi"/>
                <w:color w:val="000000"/>
                <w:sz w:val="18"/>
                <w:lang w:val="es-ES"/>
              </w:rPr>
              <w:t>13</w:t>
            </w:r>
          </w:p>
        </w:tc>
        <w:tc>
          <w:tcPr>
            <w:tcW w:w="1728" w:type="dxa"/>
            <w:vAlign w:val="center"/>
          </w:tcPr>
          <w:p w14:paraId="666B549C" w14:textId="05D42486" w:rsidR="0084657E" w:rsidRPr="009C7A54" w:rsidRDefault="00000000" w:rsidP="00F872EA">
            <w:pPr>
              <w:spacing w:after="20"/>
              <w:jc w:val="both"/>
              <w:cnfStyle w:val="000000000000" w:firstRow="0" w:lastRow="0" w:firstColumn="0" w:lastColumn="0" w:oddVBand="0" w:evenVBand="0" w:oddHBand="0" w:evenHBand="0" w:firstRowFirstColumn="0" w:firstRowLastColumn="0" w:lastRowFirstColumn="0" w:lastRowLastColumn="0"/>
              <w:rPr>
                <w:rFonts w:asciiTheme="minorHAnsi" w:hAnsiTheme="minorHAnsi"/>
                <w:lang w:val="es-ES"/>
              </w:rPr>
            </w:pPr>
            <w:r>
              <w:rPr>
                <w:rFonts w:asciiTheme="minorHAnsi" w:hAnsiTheme="minorHAnsi"/>
                <w:color w:val="000000"/>
                <w:sz w:val="18"/>
                <w:lang w:val="es-ES"/>
              </w:rPr>
              <w:t>0.833</w:t>
            </w:r>
          </w:p>
        </w:tc>
        <w:tc>
          <w:tcPr>
            <w:tcW w:w="1440" w:type="dxa"/>
            <w:vAlign w:val="center"/>
          </w:tcPr>
          <w:p w14:paraId="3E99D00B" w14:textId="3689CEAB" w:rsidR="0084657E" w:rsidRPr="009C7A54" w:rsidRDefault="00000000" w:rsidP="00F872EA">
            <w:pPr>
              <w:spacing w:after="20"/>
              <w:jc w:val="both"/>
              <w:cnfStyle w:val="000000000000" w:firstRow="0" w:lastRow="0" w:firstColumn="0" w:lastColumn="0" w:oddVBand="0" w:evenVBand="0" w:oddHBand="0" w:evenHBand="0" w:firstRowFirstColumn="0" w:firstRowLastColumn="0" w:lastRowFirstColumn="0" w:lastRowLastColumn="0"/>
              <w:rPr>
                <w:rFonts w:asciiTheme="minorHAnsi" w:hAnsiTheme="minorHAnsi"/>
                <w:lang w:val="es-ES"/>
              </w:rPr>
            </w:pPr>
            <w:r>
              <w:rPr>
                <w:rFonts w:asciiTheme="minorHAnsi" w:hAnsiTheme="minorHAnsi"/>
                <w:color w:val="000000"/>
                <w:sz w:val="18"/>
                <w:lang w:val="es-ES"/>
              </w:rPr>
              <w:t>0.045</w:t>
            </w:r>
          </w:p>
        </w:tc>
        <w:tc>
          <w:tcPr>
            <w:tcW w:w="1728" w:type="dxa"/>
            <w:vAlign w:val="center"/>
          </w:tcPr>
          <w:p w14:paraId="2DCF1B00" w14:textId="77777777" w:rsidR="0084657E" w:rsidRPr="009C7A54" w:rsidRDefault="00000000" w:rsidP="00F872EA">
            <w:pPr>
              <w:spacing w:after="20"/>
              <w:jc w:val="both"/>
              <w:cnfStyle w:val="000000000000" w:firstRow="0" w:lastRow="0" w:firstColumn="0" w:lastColumn="0" w:oddVBand="0" w:evenVBand="0" w:oddHBand="0" w:evenHBand="0" w:firstRowFirstColumn="0" w:firstRowLastColumn="0" w:lastRowFirstColumn="0" w:lastRowLastColumn="0"/>
              <w:rPr>
                <w:rFonts w:asciiTheme="minorHAnsi" w:hAnsiTheme="minorHAnsi"/>
                <w:lang w:val="es-ES"/>
              </w:rPr>
            </w:pPr>
            <w:r>
              <w:rPr>
                <w:rFonts w:asciiTheme="minorHAnsi" w:hAnsiTheme="minorHAnsi"/>
                <w:color w:val="000000"/>
                <w:sz w:val="18"/>
                <w:lang w:val="es-ES"/>
              </w:rPr>
              <w:t>0.799</w:t>
            </w:r>
          </w:p>
        </w:tc>
      </w:tr>
      <w:tr w:rsidR="0084657E" w:rsidRPr="009C7A54" w14:paraId="651710AC"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vAlign w:val="center"/>
          </w:tcPr>
          <w:p w14:paraId="59BE9B9B" w14:textId="77777777" w:rsidR="0084657E" w:rsidRPr="009C7A54" w:rsidRDefault="00000000" w:rsidP="00F872EA">
            <w:pPr>
              <w:spacing w:after="20"/>
              <w:jc w:val="both"/>
              <w:rPr>
                <w:rFonts w:asciiTheme="minorHAnsi" w:hAnsiTheme="minorHAnsi"/>
                <w:lang w:val="es-ES"/>
              </w:rPr>
            </w:pPr>
            <w:r>
              <w:rPr>
                <w:rFonts w:asciiTheme="minorHAnsi" w:hAnsiTheme="minorHAnsi"/>
                <w:color w:val="000000"/>
                <w:sz w:val="18"/>
                <w:lang w:val="es-ES"/>
              </w:rPr>
              <w:t>Sin agresividad/conducta</w:t>
            </w:r>
          </w:p>
        </w:tc>
        <w:tc>
          <w:tcPr>
            <w:tcW w:w="1440" w:type="dxa"/>
            <w:vAlign w:val="center"/>
          </w:tcPr>
          <w:p w14:paraId="006468FF" w14:textId="77777777" w:rsidR="0084657E" w:rsidRPr="009C7A54" w:rsidRDefault="00000000" w:rsidP="00F872EA">
            <w:pPr>
              <w:spacing w:after="20"/>
              <w:jc w:val="both"/>
              <w:cnfStyle w:val="000000100000" w:firstRow="0" w:lastRow="0" w:firstColumn="0" w:lastColumn="0" w:oddVBand="0" w:evenVBand="0" w:oddHBand="1" w:evenHBand="0" w:firstRowFirstColumn="0" w:firstRowLastColumn="0" w:lastRowFirstColumn="0" w:lastRowLastColumn="0"/>
              <w:rPr>
                <w:rFonts w:asciiTheme="minorHAnsi" w:hAnsiTheme="minorHAnsi"/>
                <w:lang w:val="es-ES"/>
              </w:rPr>
            </w:pPr>
            <w:r>
              <w:rPr>
                <w:rFonts w:asciiTheme="minorHAnsi" w:hAnsiTheme="minorHAnsi"/>
                <w:color w:val="000000"/>
                <w:sz w:val="18"/>
                <w:lang w:val="es-ES"/>
              </w:rPr>
              <w:t>12</w:t>
            </w:r>
          </w:p>
        </w:tc>
        <w:tc>
          <w:tcPr>
            <w:tcW w:w="1728" w:type="dxa"/>
            <w:vAlign w:val="center"/>
          </w:tcPr>
          <w:p w14:paraId="271CB064" w14:textId="5FCA537B" w:rsidR="0084657E" w:rsidRPr="009C7A54" w:rsidRDefault="00000000" w:rsidP="00F872EA">
            <w:pPr>
              <w:spacing w:after="20"/>
              <w:jc w:val="both"/>
              <w:cnfStyle w:val="000000100000" w:firstRow="0" w:lastRow="0" w:firstColumn="0" w:lastColumn="0" w:oddVBand="0" w:evenVBand="0" w:oddHBand="1" w:evenHBand="0" w:firstRowFirstColumn="0" w:firstRowLastColumn="0" w:lastRowFirstColumn="0" w:lastRowLastColumn="0"/>
              <w:rPr>
                <w:rFonts w:asciiTheme="minorHAnsi" w:hAnsiTheme="minorHAnsi"/>
                <w:lang w:val="es-ES"/>
              </w:rPr>
            </w:pPr>
            <w:r>
              <w:rPr>
                <w:rFonts w:asciiTheme="minorHAnsi" w:hAnsiTheme="minorHAnsi"/>
                <w:color w:val="000000"/>
                <w:sz w:val="18"/>
                <w:lang w:val="es-ES"/>
              </w:rPr>
              <w:t>0.829</w:t>
            </w:r>
          </w:p>
        </w:tc>
        <w:tc>
          <w:tcPr>
            <w:tcW w:w="1440" w:type="dxa"/>
            <w:vAlign w:val="center"/>
          </w:tcPr>
          <w:p w14:paraId="12A7B730" w14:textId="77777777" w:rsidR="0084657E" w:rsidRPr="009C7A54" w:rsidRDefault="00000000" w:rsidP="00F872EA">
            <w:pPr>
              <w:spacing w:after="20"/>
              <w:jc w:val="both"/>
              <w:cnfStyle w:val="000000100000" w:firstRow="0" w:lastRow="0" w:firstColumn="0" w:lastColumn="0" w:oddVBand="0" w:evenVBand="0" w:oddHBand="1" w:evenHBand="0" w:firstRowFirstColumn="0" w:firstRowLastColumn="0" w:lastRowFirstColumn="0" w:lastRowLastColumn="0"/>
              <w:rPr>
                <w:rFonts w:asciiTheme="minorHAnsi" w:hAnsiTheme="minorHAnsi"/>
                <w:lang w:val="es-ES"/>
              </w:rPr>
            </w:pPr>
            <w:r>
              <w:rPr>
                <w:rFonts w:asciiTheme="minorHAnsi" w:hAnsiTheme="minorHAnsi"/>
                <w:color w:val="000000"/>
                <w:sz w:val="18"/>
                <w:lang w:val="es-ES"/>
              </w:rPr>
              <w:t>0.031</w:t>
            </w:r>
          </w:p>
        </w:tc>
        <w:tc>
          <w:tcPr>
            <w:tcW w:w="1728" w:type="dxa"/>
            <w:vAlign w:val="center"/>
          </w:tcPr>
          <w:p w14:paraId="472B598B" w14:textId="77777777" w:rsidR="0084657E" w:rsidRPr="009C7A54" w:rsidRDefault="00000000" w:rsidP="00F872EA">
            <w:pPr>
              <w:spacing w:after="20"/>
              <w:jc w:val="both"/>
              <w:cnfStyle w:val="000000100000" w:firstRow="0" w:lastRow="0" w:firstColumn="0" w:lastColumn="0" w:oddVBand="0" w:evenVBand="0" w:oddHBand="1" w:evenHBand="0" w:firstRowFirstColumn="0" w:firstRowLastColumn="0" w:lastRowFirstColumn="0" w:lastRowLastColumn="0"/>
              <w:rPr>
                <w:rFonts w:asciiTheme="minorHAnsi" w:hAnsiTheme="minorHAnsi"/>
                <w:lang w:val="es-ES"/>
              </w:rPr>
            </w:pPr>
            <w:r>
              <w:rPr>
                <w:rFonts w:asciiTheme="minorHAnsi" w:hAnsiTheme="minorHAnsi"/>
                <w:color w:val="000000"/>
                <w:sz w:val="18"/>
                <w:lang w:val="es-ES"/>
              </w:rPr>
              <w:t>0.816</w:t>
            </w:r>
          </w:p>
        </w:tc>
      </w:tr>
      <w:tr w:rsidR="0084657E" w:rsidRPr="009C7A54" w14:paraId="15E3D724" w14:textId="77777777">
        <w:trPr>
          <w:jc w:val="center"/>
        </w:trPr>
        <w:tc>
          <w:tcPr>
            <w:cnfStyle w:val="001000000000" w:firstRow="0" w:lastRow="0" w:firstColumn="1" w:lastColumn="0" w:oddVBand="0" w:evenVBand="0" w:oddHBand="0" w:evenHBand="0" w:firstRowFirstColumn="0" w:firstRowLastColumn="0" w:lastRowFirstColumn="0" w:lastRowLastColumn="0"/>
            <w:tcW w:w="3456" w:type="dxa"/>
            <w:vAlign w:val="center"/>
          </w:tcPr>
          <w:p w14:paraId="40E774E5" w14:textId="77777777" w:rsidR="0084657E" w:rsidRPr="009C7A54" w:rsidRDefault="00000000" w:rsidP="00F872EA">
            <w:pPr>
              <w:spacing w:after="20"/>
              <w:jc w:val="both"/>
              <w:rPr>
                <w:rFonts w:asciiTheme="minorHAnsi" w:hAnsiTheme="minorHAnsi"/>
                <w:lang w:val="es-ES"/>
              </w:rPr>
            </w:pPr>
            <w:r>
              <w:rPr>
                <w:rFonts w:asciiTheme="minorHAnsi" w:hAnsiTheme="minorHAnsi"/>
                <w:color w:val="000000"/>
                <w:sz w:val="18"/>
                <w:lang w:val="es-ES"/>
              </w:rPr>
              <w:t>Sin BASC-3</w:t>
            </w:r>
          </w:p>
        </w:tc>
        <w:tc>
          <w:tcPr>
            <w:tcW w:w="1440" w:type="dxa"/>
            <w:vAlign w:val="center"/>
          </w:tcPr>
          <w:p w14:paraId="0A7C49F0" w14:textId="77777777" w:rsidR="0084657E" w:rsidRPr="009C7A54" w:rsidRDefault="00000000" w:rsidP="00F872EA">
            <w:pPr>
              <w:spacing w:after="20"/>
              <w:jc w:val="both"/>
              <w:cnfStyle w:val="000000000000" w:firstRow="0" w:lastRow="0" w:firstColumn="0" w:lastColumn="0" w:oddVBand="0" w:evenVBand="0" w:oddHBand="0" w:evenHBand="0" w:firstRowFirstColumn="0" w:firstRowLastColumn="0" w:lastRowFirstColumn="0" w:lastRowLastColumn="0"/>
              <w:rPr>
                <w:rFonts w:asciiTheme="minorHAnsi" w:hAnsiTheme="minorHAnsi"/>
                <w:lang w:val="es-ES"/>
              </w:rPr>
            </w:pPr>
            <w:r>
              <w:rPr>
                <w:rFonts w:asciiTheme="minorHAnsi" w:hAnsiTheme="minorHAnsi"/>
                <w:color w:val="000000"/>
                <w:sz w:val="18"/>
                <w:lang w:val="es-ES"/>
              </w:rPr>
              <w:t>9</w:t>
            </w:r>
          </w:p>
        </w:tc>
        <w:tc>
          <w:tcPr>
            <w:tcW w:w="1728" w:type="dxa"/>
            <w:vAlign w:val="center"/>
          </w:tcPr>
          <w:p w14:paraId="5D2D405F" w14:textId="6FF17BF5" w:rsidR="0084657E" w:rsidRPr="009C7A54" w:rsidRDefault="00000000" w:rsidP="00F872EA">
            <w:pPr>
              <w:spacing w:after="20"/>
              <w:jc w:val="both"/>
              <w:cnfStyle w:val="000000000000" w:firstRow="0" w:lastRow="0" w:firstColumn="0" w:lastColumn="0" w:oddVBand="0" w:evenVBand="0" w:oddHBand="0" w:evenHBand="0" w:firstRowFirstColumn="0" w:firstRowLastColumn="0" w:lastRowFirstColumn="0" w:lastRowLastColumn="0"/>
              <w:rPr>
                <w:rFonts w:asciiTheme="minorHAnsi" w:hAnsiTheme="minorHAnsi"/>
                <w:lang w:val="es-ES"/>
              </w:rPr>
            </w:pPr>
            <w:r>
              <w:rPr>
                <w:rFonts w:asciiTheme="minorHAnsi" w:hAnsiTheme="minorHAnsi"/>
                <w:color w:val="000000"/>
                <w:sz w:val="18"/>
                <w:lang w:val="es-ES"/>
              </w:rPr>
              <w:t>0.248</w:t>
            </w:r>
          </w:p>
        </w:tc>
        <w:tc>
          <w:tcPr>
            <w:tcW w:w="1440" w:type="dxa"/>
            <w:vAlign w:val="center"/>
          </w:tcPr>
          <w:p w14:paraId="2C0B6197" w14:textId="1E2D63E3" w:rsidR="0084657E" w:rsidRPr="009C7A54" w:rsidRDefault="00000000" w:rsidP="00F872EA">
            <w:pPr>
              <w:spacing w:after="20"/>
              <w:jc w:val="both"/>
              <w:cnfStyle w:val="000000000000" w:firstRow="0" w:lastRow="0" w:firstColumn="0" w:lastColumn="0" w:oddVBand="0" w:evenVBand="0" w:oddHBand="0" w:evenHBand="0" w:firstRowFirstColumn="0" w:firstRowLastColumn="0" w:lastRowFirstColumn="0" w:lastRowLastColumn="0"/>
              <w:rPr>
                <w:rFonts w:asciiTheme="minorHAnsi" w:hAnsiTheme="minorHAnsi"/>
                <w:lang w:val="es-ES"/>
              </w:rPr>
            </w:pPr>
            <w:r>
              <w:rPr>
                <w:rFonts w:asciiTheme="minorHAnsi" w:hAnsiTheme="minorHAnsi"/>
                <w:color w:val="000000"/>
                <w:sz w:val="18"/>
                <w:lang w:val="es-ES"/>
              </w:rPr>
              <w:t>0.039</w:t>
            </w:r>
          </w:p>
        </w:tc>
        <w:tc>
          <w:tcPr>
            <w:tcW w:w="1728" w:type="dxa"/>
            <w:vAlign w:val="center"/>
          </w:tcPr>
          <w:p w14:paraId="4BABB8F8" w14:textId="4E5DB4EF" w:rsidR="0084657E" w:rsidRPr="009C7A54" w:rsidRDefault="00000000" w:rsidP="00F872EA">
            <w:pPr>
              <w:spacing w:after="20"/>
              <w:jc w:val="both"/>
              <w:cnfStyle w:val="000000000000" w:firstRow="0" w:lastRow="0" w:firstColumn="0" w:lastColumn="0" w:oddVBand="0" w:evenVBand="0" w:oddHBand="0" w:evenHBand="0" w:firstRowFirstColumn="0" w:firstRowLastColumn="0" w:lastRowFirstColumn="0" w:lastRowLastColumn="0"/>
              <w:rPr>
                <w:rFonts w:asciiTheme="minorHAnsi" w:hAnsiTheme="minorHAnsi"/>
                <w:lang w:val="es-ES"/>
              </w:rPr>
            </w:pPr>
            <w:r>
              <w:rPr>
                <w:rFonts w:asciiTheme="minorHAnsi" w:hAnsiTheme="minorHAnsi"/>
                <w:color w:val="000000"/>
                <w:sz w:val="18"/>
                <w:lang w:val="es-ES"/>
              </w:rPr>
              <w:t>0.258</w:t>
            </w:r>
          </w:p>
        </w:tc>
      </w:tr>
      <w:tr w:rsidR="0084657E" w:rsidRPr="009C7A54" w14:paraId="63C38892"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vAlign w:val="center"/>
          </w:tcPr>
          <w:p w14:paraId="60C139C5" w14:textId="77777777" w:rsidR="0084657E" w:rsidRPr="009C7A54" w:rsidRDefault="00000000" w:rsidP="00F872EA">
            <w:pPr>
              <w:spacing w:after="20"/>
              <w:jc w:val="both"/>
              <w:rPr>
                <w:rFonts w:asciiTheme="minorHAnsi" w:hAnsiTheme="minorHAnsi"/>
                <w:lang w:val="es-ES"/>
              </w:rPr>
            </w:pPr>
            <w:r>
              <w:rPr>
                <w:rFonts w:asciiTheme="minorHAnsi" w:hAnsiTheme="minorHAnsi"/>
                <w:color w:val="000000"/>
                <w:sz w:val="18"/>
                <w:lang w:val="es-ES"/>
              </w:rPr>
              <w:t>Solo BASC-3</w:t>
            </w:r>
          </w:p>
        </w:tc>
        <w:tc>
          <w:tcPr>
            <w:tcW w:w="1440" w:type="dxa"/>
            <w:vAlign w:val="center"/>
          </w:tcPr>
          <w:p w14:paraId="6FD23585" w14:textId="77777777" w:rsidR="0084657E" w:rsidRPr="009C7A54" w:rsidRDefault="00000000" w:rsidP="00F872EA">
            <w:pPr>
              <w:spacing w:after="20"/>
              <w:jc w:val="both"/>
              <w:cnfStyle w:val="000000100000" w:firstRow="0" w:lastRow="0" w:firstColumn="0" w:lastColumn="0" w:oddVBand="0" w:evenVBand="0" w:oddHBand="1" w:evenHBand="0" w:firstRowFirstColumn="0" w:firstRowLastColumn="0" w:lastRowFirstColumn="0" w:lastRowLastColumn="0"/>
              <w:rPr>
                <w:rFonts w:asciiTheme="minorHAnsi" w:hAnsiTheme="minorHAnsi"/>
                <w:lang w:val="es-ES"/>
              </w:rPr>
            </w:pPr>
            <w:r>
              <w:rPr>
                <w:rFonts w:asciiTheme="minorHAnsi" w:hAnsiTheme="minorHAnsi"/>
                <w:color w:val="000000"/>
                <w:sz w:val="18"/>
                <w:lang w:val="es-ES"/>
              </w:rPr>
              <w:t>5</w:t>
            </w:r>
          </w:p>
        </w:tc>
        <w:tc>
          <w:tcPr>
            <w:tcW w:w="1728" w:type="dxa"/>
            <w:vAlign w:val="center"/>
          </w:tcPr>
          <w:p w14:paraId="6E5C324A" w14:textId="7BF31AE0" w:rsidR="0084657E" w:rsidRPr="009C7A54" w:rsidRDefault="00000000" w:rsidP="00F872EA">
            <w:pPr>
              <w:spacing w:after="20"/>
              <w:jc w:val="both"/>
              <w:cnfStyle w:val="000000100000" w:firstRow="0" w:lastRow="0" w:firstColumn="0" w:lastColumn="0" w:oddVBand="0" w:evenVBand="0" w:oddHBand="1" w:evenHBand="0" w:firstRowFirstColumn="0" w:firstRowLastColumn="0" w:lastRowFirstColumn="0" w:lastRowLastColumn="0"/>
              <w:rPr>
                <w:rFonts w:asciiTheme="minorHAnsi" w:hAnsiTheme="minorHAnsi"/>
                <w:lang w:val="es-ES"/>
              </w:rPr>
            </w:pPr>
            <w:r>
              <w:rPr>
                <w:rFonts w:asciiTheme="minorHAnsi" w:hAnsiTheme="minorHAnsi"/>
                <w:color w:val="000000"/>
                <w:sz w:val="18"/>
                <w:lang w:val="es-ES"/>
              </w:rPr>
              <w:t>0.874</w:t>
            </w:r>
          </w:p>
        </w:tc>
        <w:tc>
          <w:tcPr>
            <w:tcW w:w="1440" w:type="dxa"/>
            <w:vAlign w:val="center"/>
          </w:tcPr>
          <w:p w14:paraId="62022E34" w14:textId="385AEC5A" w:rsidR="0084657E" w:rsidRPr="009C7A54" w:rsidRDefault="00000000" w:rsidP="00F872EA">
            <w:pPr>
              <w:spacing w:after="20"/>
              <w:jc w:val="both"/>
              <w:cnfStyle w:val="000000100000" w:firstRow="0" w:lastRow="0" w:firstColumn="0" w:lastColumn="0" w:oddVBand="0" w:evenVBand="0" w:oddHBand="1" w:evenHBand="0" w:firstRowFirstColumn="0" w:firstRowLastColumn="0" w:lastRowFirstColumn="0" w:lastRowLastColumn="0"/>
              <w:rPr>
                <w:rFonts w:asciiTheme="minorHAnsi" w:hAnsiTheme="minorHAnsi"/>
                <w:lang w:val="es-ES"/>
              </w:rPr>
            </w:pPr>
            <w:r>
              <w:rPr>
                <w:rFonts w:asciiTheme="minorHAnsi" w:hAnsiTheme="minorHAnsi"/>
                <w:color w:val="000000"/>
                <w:sz w:val="18"/>
                <w:lang w:val="es-ES"/>
              </w:rPr>
              <w:t>0.030</w:t>
            </w:r>
          </w:p>
        </w:tc>
        <w:tc>
          <w:tcPr>
            <w:tcW w:w="1728" w:type="dxa"/>
            <w:vAlign w:val="center"/>
          </w:tcPr>
          <w:p w14:paraId="08B35B55" w14:textId="77777777" w:rsidR="0084657E" w:rsidRPr="009C7A54" w:rsidRDefault="00000000" w:rsidP="00F872EA">
            <w:pPr>
              <w:spacing w:after="20"/>
              <w:jc w:val="both"/>
              <w:cnfStyle w:val="000000100000" w:firstRow="0" w:lastRow="0" w:firstColumn="0" w:lastColumn="0" w:oddVBand="0" w:evenVBand="0" w:oddHBand="1" w:evenHBand="0" w:firstRowFirstColumn="0" w:firstRowLastColumn="0" w:lastRowFirstColumn="0" w:lastRowLastColumn="0"/>
              <w:rPr>
                <w:rFonts w:asciiTheme="minorHAnsi" w:hAnsiTheme="minorHAnsi"/>
                <w:lang w:val="es-ES"/>
              </w:rPr>
            </w:pPr>
            <w:r>
              <w:rPr>
                <w:rFonts w:asciiTheme="minorHAnsi" w:hAnsiTheme="minorHAnsi"/>
                <w:color w:val="000000"/>
                <w:sz w:val="18"/>
                <w:lang w:val="es-ES"/>
              </w:rPr>
              <w:t>0.891</w:t>
            </w:r>
          </w:p>
        </w:tc>
      </w:tr>
    </w:tbl>
    <w:p w14:paraId="5F5B27D2" w14:textId="77777777" w:rsidR="0084657E" w:rsidRPr="009C7A54" w:rsidRDefault="0084657E" w:rsidP="00F872EA">
      <w:pPr>
        <w:jc w:val="both"/>
        <w:rPr>
          <w:rFonts w:asciiTheme="minorHAnsi" w:hAnsiTheme="minorHAnsi"/>
          <w:lang w:val="es-ES"/>
        </w:rPr>
      </w:pPr>
    </w:p>
    <w:p w14:paraId="47139AE0" w14:textId="3C8F7FD7" w:rsidR="0084657E" w:rsidRPr="009C7A54" w:rsidRDefault="00D256A1" w:rsidP="00F872EA">
      <w:pPr>
        <w:jc w:val="both"/>
        <w:rPr>
          <w:rFonts w:asciiTheme="minorHAnsi" w:hAnsiTheme="minorHAnsi"/>
          <w:lang w:val="es-ES"/>
        </w:rPr>
      </w:pPr>
      <w:r>
        <w:rPr>
          <w:rFonts w:asciiTheme="minorHAnsi" w:hAnsiTheme="minorHAnsi"/>
          <w:noProof/>
          <w:lang w:val="es-ES"/>
        </w:rPr>
        <w:lastRenderedPageBreak/>
        <w:drawing>
          <wp:inline distT="0" distB="0" distL="0" distR="0" wp14:anchorId="682827C1" wp14:editId="79A4B195">
            <wp:extent cx="6400800" cy="2289810"/>
            <wp:effectExtent l="0" t="0" r="0" b="0"/>
            <wp:docPr id="12768663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866346" name=""/>
                    <pic:cNvPicPr/>
                  </pic:nvPicPr>
                  <pic:blipFill>
                    <a:blip r:embed="rId20"/>
                    <a:stretch>
                      <a:fillRect/>
                    </a:stretch>
                  </pic:blipFill>
                  <pic:spPr>
                    <a:xfrm>
                      <a:off x="0" y="0"/>
                      <a:ext cx="6400800" cy="2289810"/>
                    </a:xfrm>
                    <a:prstGeom prst="rect">
                      <a:avLst/>
                    </a:prstGeom>
                  </pic:spPr>
                </pic:pic>
              </a:graphicData>
            </a:graphic>
          </wp:inline>
        </w:drawing>
      </w:r>
    </w:p>
    <w:p w14:paraId="56295951" w14:textId="77777777" w:rsidR="0084657E" w:rsidRPr="009C7A54" w:rsidRDefault="00000000" w:rsidP="00F872EA">
      <w:pPr>
        <w:pStyle w:val="Descripcin"/>
        <w:spacing w:before="240" w:after="120"/>
        <w:jc w:val="both"/>
        <w:rPr>
          <w:rFonts w:asciiTheme="minorHAnsi" w:hAnsiTheme="minorHAnsi"/>
          <w:lang w:val="es-ES"/>
        </w:rPr>
      </w:pPr>
      <w:r>
        <w:rPr>
          <w:lang w:val="es-ES"/>
        </w:rPr>
        <w:t>Figura 13. Ablación por configuración de variables.</w:t>
      </w:r>
    </w:p>
    <w:p w14:paraId="0B545F61" w14:textId="77777777" w:rsidR="002E397F" w:rsidRPr="00757D52" w:rsidRDefault="00000000" w:rsidP="00F872EA">
      <w:pPr>
        <w:jc w:val="both"/>
        <w:rPr>
          <w:rFonts w:asciiTheme="minorHAnsi" w:hAnsiTheme="minorHAnsi"/>
          <w:iCs/>
          <w:lang w:val="es-ES"/>
        </w:rPr>
      </w:pPr>
      <w:r>
        <w:rPr>
          <w:rFonts w:asciiTheme="minorHAnsi" w:hAnsiTheme="minorHAnsi"/>
          <w:iCs/>
          <w:lang w:val="es-ES"/>
        </w:rPr>
        <w:t>La reducción sustancial del F1-macro al excluir el bloque BASC-3 indica que el modelo utiliza principalmente información conductual estructurada para diferenciar categorías diagnósticas, mientras que las variables demográficas, antecedentes clínicos y medidas cognitivas aportan información complementaria.</w:t>
      </w:r>
    </w:p>
    <w:p w14:paraId="3EDBD5BE" w14:textId="77777777" w:rsidR="00B460C3" w:rsidRPr="009C7A54" w:rsidRDefault="00B460C3" w:rsidP="00F872EA">
      <w:pPr>
        <w:jc w:val="both"/>
        <w:rPr>
          <w:rFonts w:asciiTheme="minorHAnsi" w:hAnsiTheme="minorHAnsi"/>
          <w:lang w:val="es-ES"/>
        </w:rPr>
      </w:pPr>
    </w:p>
    <w:p w14:paraId="12A3BB22" w14:textId="77777777" w:rsidR="00B460C3" w:rsidRPr="009C7A54" w:rsidRDefault="00B460C3" w:rsidP="00F872EA">
      <w:pPr>
        <w:jc w:val="both"/>
        <w:rPr>
          <w:rFonts w:asciiTheme="minorHAnsi" w:hAnsiTheme="minorHAnsi"/>
          <w:lang w:val="es-ES"/>
        </w:rPr>
      </w:pPr>
      <w:r>
        <w:rPr>
          <w:rFonts w:asciiTheme="minorHAnsi" w:hAnsiTheme="minorHAnsi"/>
          <w:lang w:val="es-ES"/>
        </w:rPr>
        <w:t>Hallazgos derivados de la ablación:</w:t>
      </w:r>
    </w:p>
    <w:p w14:paraId="2E4ECA6A" w14:textId="1329FE9B" w:rsidR="00B460C3" w:rsidRPr="009C7A54" w:rsidRDefault="00B460C3" w:rsidP="00F872EA">
      <w:pPr>
        <w:pStyle w:val="Listaconvietas"/>
        <w:numPr>
          <w:ilvl w:val="0"/>
          <w:numId w:val="10"/>
        </w:numPr>
        <w:spacing w:before="40" w:after="120" w:line="240" w:lineRule="auto"/>
        <w:contextualSpacing w:val="0"/>
        <w:jc w:val="both"/>
        <w:rPr>
          <w:rFonts w:asciiTheme="minorHAnsi" w:hAnsiTheme="minorHAnsi"/>
          <w:lang w:val="es-ES"/>
        </w:rPr>
      </w:pPr>
      <w:r>
        <w:rPr>
          <w:rFonts w:asciiTheme="minorHAnsi" w:hAnsiTheme="minorHAnsi"/>
          <w:lang w:val="es-ES"/>
        </w:rPr>
        <w:t>La eliminación completa del BASC-3 produce la caída más marcada: -68.4 puntos en F1-macro frente al modelo completo.</w:t>
      </w:r>
    </w:p>
    <w:p w14:paraId="1FB80DCA" w14:textId="77777777" w:rsidR="00B460C3" w:rsidRPr="009C7A54" w:rsidRDefault="00B460C3" w:rsidP="00F872EA">
      <w:pPr>
        <w:pStyle w:val="Listaconvietas"/>
        <w:numPr>
          <w:ilvl w:val="0"/>
          <w:numId w:val="10"/>
        </w:numPr>
        <w:spacing w:before="40" w:after="120" w:line="240" w:lineRule="auto"/>
        <w:contextualSpacing w:val="0"/>
        <w:jc w:val="both"/>
        <w:rPr>
          <w:rFonts w:asciiTheme="minorHAnsi" w:hAnsiTheme="minorHAnsi"/>
          <w:lang w:val="es-ES"/>
        </w:rPr>
      </w:pPr>
      <w:r>
        <w:rPr>
          <w:rFonts w:asciiTheme="minorHAnsi" w:hAnsiTheme="minorHAnsi"/>
          <w:lang w:val="es-ES"/>
        </w:rPr>
        <w:t>Con solo BASC-3, el modelo conserva aproximadamente el 94.6 % del rendimiento del modelo completo (0.891 frente a 0.942). La diferencia observada sugiere un aporte marginal de las variables no BASC-3 en este escenario.</w:t>
      </w:r>
    </w:p>
    <w:p w14:paraId="72F5CA95" w14:textId="77777777" w:rsidR="00B460C3" w:rsidRPr="009C7A54" w:rsidRDefault="00B460C3" w:rsidP="00F872EA">
      <w:pPr>
        <w:pStyle w:val="Listaconvietas"/>
        <w:numPr>
          <w:ilvl w:val="0"/>
          <w:numId w:val="10"/>
        </w:numPr>
        <w:spacing w:before="40" w:after="120" w:line="240" w:lineRule="auto"/>
        <w:contextualSpacing w:val="0"/>
        <w:jc w:val="both"/>
        <w:rPr>
          <w:rFonts w:asciiTheme="minorHAnsi" w:hAnsiTheme="minorHAnsi"/>
          <w:lang w:val="es-ES"/>
        </w:rPr>
      </w:pPr>
      <w:r>
        <w:rPr>
          <w:rFonts w:asciiTheme="minorHAnsi" w:hAnsiTheme="minorHAnsi"/>
          <w:lang w:val="es-ES"/>
        </w:rPr>
        <w:t>Eliminar atipicidad reduce el rendimiento en 14.3 puntos, lo que sugiere que esta escala aporta información relevante para diferenciar perfiles asociados a TEA.</w:t>
      </w:r>
    </w:p>
    <w:p w14:paraId="5A69ABEA" w14:textId="77777777" w:rsidR="00B460C3" w:rsidRPr="009C7A54" w:rsidRDefault="00B460C3" w:rsidP="00F872EA">
      <w:pPr>
        <w:pStyle w:val="Listaconvietas"/>
        <w:numPr>
          <w:ilvl w:val="0"/>
          <w:numId w:val="10"/>
        </w:numPr>
        <w:spacing w:before="40" w:after="120" w:line="240" w:lineRule="auto"/>
        <w:contextualSpacing w:val="0"/>
        <w:jc w:val="both"/>
        <w:rPr>
          <w:rFonts w:asciiTheme="minorHAnsi" w:hAnsiTheme="minorHAnsi"/>
          <w:lang w:val="es-ES"/>
        </w:rPr>
      </w:pPr>
      <w:r>
        <w:rPr>
          <w:rFonts w:asciiTheme="minorHAnsi" w:hAnsiTheme="minorHAnsi"/>
          <w:lang w:val="es-ES"/>
        </w:rPr>
        <w:t>Eliminar agresividad y problemas de conducta reduce el rendimiento en 12.6 puntos, principalmente en clases asociadas a TND.</w:t>
      </w:r>
    </w:p>
    <w:p w14:paraId="22F51E87" w14:textId="77777777" w:rsidR="0084657E" w:rsidRPr="009C7A54" w:rsidRDefault="00000000" w:rsidP="00F872EA">
      <w:pPr>
        <w:pStyle w:val="Ttulo1"/>
        <w:spacing w:after="120"/>
        <w:jc w:val="both"/>
        <w:rPr>
          <w:rFonts w:asciiTheme="minorHAnsi" w:hAnsiTheme="minorHAnsi"/>
          <w:lang w:val="es-ES"/>
        </w:rPr>
      </w:pPr>
      <w:r>
        <w:rPr>
          <w:rFonts w:asciiTheme="minorHAnsi" w:hAnsiTheme="minorHAnsi"/>
          <w:sz w:val="28"/>
          <w:lang w:val="es-ES"/>
        </w:rPr>
        <w:t>8. Conclusiones</w:t>
      </w:r>
    </w:p>
    <w:p w14:paraId="30A0F7D0" w14:textId="77777777" w:rsidR="0084657E" w:rsidRPr="009C7A54" w:rsidRDefault="00000000" w:rsidP="00F872EA">
      <w:pPr>
        <w:pStyle w:val="Listaconvietas"/>
        <w:spacing w:after="120"/>
        <w:jc w:val="both"/>
        <w:rPr>
          <w:rFonts w:asciiTheme="minorHAnsi" w:hAnsiTheme="minorHAnsi"/>
          <w:lang w:val="es-ES"/>
        </w:rPr>
      </w:pPr>
      <w:r>
        <w:rPr>
          <w:rFonts w:asciiTheme="minorHAnsi" w:hAnsiTheme="minorHAnsi"/>
          <w:lang w:val="es-ES"/>
        </w:rPr>
        <w:t>El dataset procesado es consistente para análisis exploratorio y modelamiento interno: conserva 875 registros, 18 variables, 13 clases diagnósticas y no presenta valores nulos.</w:t>
      </w:r>
    </w:p>
    <w:p w14:paraId="2A4FA714" w14:textId="77777777" w:rsidR="0084657E" w:rsidRPr="009C7A54" w:rsidRDefault="00000000" w:rsidP="00F872EA">
      <w:pPr>
        <w:pStyle w:val="Listaconvietas"/>
        <w:spacing w:after="120"/>
        <w:jc w:val="both"/>
        <w:rPr>
          <w:rFonts w:asciiTheme="minorHAnsi" w:hAnsiTheme="minorHAnsi"/>
          <w:lang w:val="es-ES"/>
        </w:rPr>
      </w:pPr>
      <w:r>
        <w:rPr>
          <w:rFonts w:asciiTheme="minorHAnsi" w:hAnsiTheme="minorHAnsi"/>
          <w:lang w:val="es-ES"/>
        </w:rPr>
        <w:t>Las escalas BASC-3, en especial problemas de atención e hiperactividad, fueron los predictores más informativos dentro del conjunto de variables conservadas tras el control de leakage.</w:t>
      </w:r>
    </w:p>
    <w:p w14:paraId="4CC96CCD" w14:textId="4D1945D7" w:rsidR="0084657E" w:rsidRPr="009C7A54" w:rsidRDefault="00000000" w:rsidP="00F872EA">
      <w:pPr>
        <w:pStyle w:val="Listaconvietas"/>
        <w:spacing w:after="120"/>
        <w:jc w:val="both"/>
        <w:rPr>
          <w:rFonts w:asciiTheme="minorHAnsi" w:hAnsiTheme="minorHAnsi"/>
          <w:lang w:val="es-ES"/>
        </w:rPr>
      </w:pPr>
      <w:r>
        <w:rPr>
          <w:rFonts w:asciiTheme="minorHAnsi" w:hAnsiTheme="minorHAnsi"/>
          <w:lang w:val="es-ES"/>
        </w:rPr>
        <w:t>Random Forest presentó el mejor desempeño entre los modelos evaluados, con F1-macro de 0.952 en el conjunto de prueba.</w:t>
      </w:r>
    </w:p>
    <w:p w14:paraId="665FD9B3" w14:textId="77777777" w:rsidR="0084657E" w:rsidRPr="009C7A54" w:rsidRDefault="00000000" w:rsidP="00F872EA">
      <w:pPr>
        <w:pStyle w:val="Listaconvietas"/>
        <w:spacing w:after="120"/>
        <w:jc w:val="both"/>
        <w:rPr>
          <w:rFonts w:asciiTheme="minorHAnsi" w:hAnsiTheme="minorHAnsi"/>
          <w:lang w:val="es-ES"/>
        </w:rPr>
      </w:pPr>
      <w:r>
        <w:rPr>
          <w:rFonts w:asciiTheme="minorHAnsi" w:hAnsiTheme="minorHAnsi"/>
          <w:lang w:val="es-ES"/>
        </w:rPr>
        <w:t>El modelo puede apoyar tareas de priorización, auditoría o revisión interna, siempre que se disponga de las mismas variables clínicas y se mantenga supervisión profesional.</w:t>
      </w:r>
    </w:p>
    <w:p w14:paraId="062F9115" w14:textId="77777777" w:rsidR="0084657E" w:rsidRPr="009C7A54" w:rsidRDefault="00000000" w:rsidP="00F872EA">
      <w:pPr>
        <w:pStyle w:val="Listaconvietas"/>
        <w:spacing w:after="120"/>
        <w:jc w:val="both"/>
        <w:rPr>
          <w:rFonts w:asciiTheme="minorHAnsi" w:hAnsiTheme="minorHAnsi"/>
          <w:lang w:val="es-ES"/>
        </w:rPr>
      </w:pPr>
      <w:r>
        <w:rPr>
          <w:rFonts w:asciiTheme="minorHAnsi" w:hAnsiTheme="minorHAnsi"/>
          <w:lang w:val="es-ES"/>
        </w:rPr>
        <w:t>El desempeño no debe presentarse como capacidad diagnóstica externa. La evidencia disponible corresponde a validación interna bajo el mismo protocolo clínico de recolección.</w:t>
      </w:r>
    </w:p>
    <w:p w14:paraId="69DD7911" w14:textId="77777777" w:rsidR="0084657E" w:rsidRPr="009C7A54" w:rsidRDefault="00000000" w:rsidP="00F872EA">
      <w:pPr>
        <w:pStyle w:val="Ttulo1"/>
        <w:spacing w:after="120"/>
        <w:jc w:val="both"/>
        <w:rPr>
          <w:rFonts w:asciiTheme="minorHAnsi" w:hAnsiTheme="minorHAnsi"/>
          <w:lang w:val="es-ES"/>
        </w:rPr>
      </w:pPr>
      <w:r>
        <w:rPr>
          <w:rFonts w:asciiTheme="minorHAnsi" w:hAnsiTheme="minorHAnsi"/>
          <w:sz w:val="28"/>
          <w:lang w:val="es-ES"/>
        </w:rPr>
        <w:t xml:space="preserve">9. Limitaciones </w:t>
      </w:r>
    </w:p>
    <w:p w14:paraId="707A61FB" w14:textId="77777777" w:rsidR="00E57A97" w:rsidRDefault="00000000" w:rsidP="00F872EA">
      <w:pPr>
        <w:jc w:val="both"/>
        <w:rPr>
          <w:rFonts w:asciiTheme="minorHAnsi" w:hAnsiTheme="minorHAnsi"/>
          <w:color w:val="000000"/>
          <w:sz w:val="20"/>
          <w:lang w:val="es-ES"/>
        </w:rPr>
      </w:pPr>
      <w:r>
        <w:rPr>
          <w:rFonts w:asciiTheme="minorHAnsi" w:hAnsiTheme="minorHAnsi"/>
          <w:color w:val="000000"/>
          <w:sz w:val="20"/>
          <w:lang w:val="es-ES"/>
        </w:rPr>
        <w:t>Los resultados de este informe corresponden a evaluación interna bajo el protocolo de recolección disponible. Las limitaciones siguientes deben considerarse al interpretar las métricas y antes de cualquier uso aplicado del modelo. Cada limitación se acompaña de su implicación práctica y una recomendación.</w:t>
      </w:r>
    </w:p>
    <w:p w14:paraId="5D9AB8BA" w14:textId="77777777" w:rsidR="00757D52" w:rsidRPr="009C7A54" w:rsidRDefault="00757D52" w:rsidP="00F872EA">
      <w:pPr>
        <w:jc w:val="both"/>
        <w:rPr>
          <w:rFonts w:asciiTheme="minorHAnsi" w:hAnsiTheme="minorHAnsi"/>
          <w:lang w:val="es-ES"/>
        </w:rPr>
      </w:pPr>
    </w:p>
    <w:p w14:paraId="220DCE1A" w14:textId="77777777" w:rsidR="000C21FD" w:rsidRDefault="00000000">
      <w:pPr>
        <w:pStyle w:val="Descripcin"/>
      </w:pPr>
      <w:r>
        <w:t>Tabla 7. Limitaciones del análisis, implicaciones y recomendaciones.</w:t>
      </w:r>
    </w:p>
    <w:tbl>
      <w:tblPr>
        <w:tblStyle w:val="Sombreadoclaro-nfasis1"/>
        <w:tblW w:w="0" w:type="auto"/>
        <w:jc w:val="center"/>
        <w:tblLook w:val="04A0" w:firstRow="1" w:lastRow="0" w:firstColumn="1" w:lastColumn="0" w:noHBand="0" w:noVBand="1"/>
      </w:tblPr>
      <w:tblGrid>
        <w:gridCol w:w="2532"/>
        <w:gridCol w:w="3632"/>
        <w:gridCol w:w="3916"/>
      </w:tblGrid>
      <w:tr w:rsidR="0084657E" w:rsidRPr="009C7A54" w14:paraId="0AA3C637" w14:textId="77777777" w:rsidTr="00757D5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32" w:type="dxa"/>
            <w:shd w:val="clear" w:color="auto" w:fill="1F4E79"/>
            <w:vAlign w:val="center"/>
          </w:tcPr>
          <w:p w14:paraId="06A86EED" w14:textId="77777777" w:rsidR="0084657E" w:rsidRPr="009C7A54" w:rsidRDefault="00000000" w:rsidP="00F872EA">
            <w:pPr>
              <w:spacing w:after="20"/>
              <w:jc w:val="both"/>
              <w:rPr>
                <w:rFonts w:asciiTheme="minorHAnsi" w:hAnsiTheme="minorHAnsi"/>
                <w:lang w:val="es-ES"/>
              </w:rPr>
            </w:pPr>
            <w:r>
              <w:rPr>
                <w:rFonts w:asciiTheme="minorHAnsi" w:hAnsiTheme="minorHAnsi"/>
                <w:color w:val="1F4E79"/>
                <w:sz w:val="18"/>
                <w:lang w:val="es-ES"/>
              </w:rPr>
              <w:t>Limitación</w:t>
            </w:r>
          </w:p>
        </w:tc>
        <w:tc>
          <w:tcPr>
            <w:tcW w:w="3632" w:type="dxa"/>
            <w:shd w:val="clear" w:color="auto" w:fill="1F4E79"/>
            <w:vAlign w:val="center"/>
          </w:tcPr>
          <w:p w14:paraId="06B42569" w14:textId="77777777" w:rsidR="0084657E" w:rsidRPr="009C7A54" w:rsidRDefault="00000000" w:rsidP="00F872EA">
            <w:pPr>
              <w:spacing w:after="20"/>
              <w:jc w:val="both"/>
              <w:cnfStyle w:val="100000000000" w:firstRow="1" w:lastRow="0" w:firstColumn="0" w:lastColumn="0" w:oddVBand="0" w:evenVBand="0" w:oddHBand="0" w:evenHBand="0" w:firstRowFirstColumn="0" w:firstRowLastColumn="0" w:lastRowFirstColumn="0" w:lastRowLastColumn="0"/>
              <w:rPr>
                <w:rFonts w:asciiTheme="minorHAnsi" w:hAnsiTheme="minorHAnsi"/>
                <w:lang w:val="es-ES"/>
              </w:rPr>
            </w:pPr>
            <w:r>
              <w:rPr>
                <w:rFonts w:asciiTheme="minorHAnsi" w:hAnsiTheme="minorHAnsi"/>
                <w:color w:val="1F4E79"/>
                <w:sz w:val="18"/>
                <w:lang w:val="es-ES"/>
              </w:rPr>
              <w:t>Implicación</w:t>
            </w:r>
          </w:p>
        </w:tc>
        <w:tc>
          <w:tcPr>
            <w:tcW w:w="3916" w:type="dxa"/>
            <w:shd w:val="clear" w:color="auto" w:fill="1F4E79"/>
            <w:vAlign w:val="center"/>
          </w:tcPr>
          <w:p w14:paraId="480BE02C" w14:textId="77777777" w:rsidR="0084657E" w:rsidRPr="009C7A54" w:rsidRDefault="00000000" w:rsidP="00F872EA">
            <w:pPr>
              <w:spacing w:after="20"/>
              <w:jc w:val="both"/>
              <w:cnfStyle w:val="100000000000" w:firstRow="1" w:lastRow="0" w:firstColumn="0" w:lastColumn="0" w:oddVBand="0" w:evenVBand="0" w:oddHBand="0" w:evenHBand="0" w:firstRowFirstColumn="0" w:firstRowLastColumn="0" w:lastRowFirstColumn="0" w:lastRowLastColumn="0"/>
              <w:rPr>
                <w:rFonts w:asciiTheme="minorHAnsi" w:hAnsiTheme="minorHAnsi"/>
                <w:lang w:val="es-ES"/>
              </w:rPr>
            </w:pPr>
            <w:r>
              <w:rPr>
                <w:rFonts w:asciiTheme="minorHAnsi" w:hAnsiTheme="minorHAnsi"/>
                <w:color w:val="1F4E79"/>
                <w:sz w:val="18"/>
                <w:lang w:val="es-ES"/>
              </w:rPr>
              <w:t>Recomendación</w:t>
            </w:r>
          </w:p>
        </w:tc>
      </w:tr>
      <w:tr w:rsidR="0084657E" w:rsidRPr="009C7A54" w14:paraId="21FC1AC4" w14:textId="77777777" w:rsidTr="00757D5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32" w:type="dxa"/>
            <w:vAlign w:val="center"/>
          </w:tcPr>
          <w:p w14:paraId="47F7D15F" w14:textId="77777777" w:rsidR="0084657E" w:rsidRPr="009C7A54" w:rsidRDefault="00000000" w:rsidP="00F872EA">
            <w:pPr>
              <w:spacing w:after="20"/>
              <w:jc w:val="both"/>
              <w:rPr>
                <w:rFonts w:asciiTheme="minorHAnsi" w:hAnsiTheme="minorHAnsi"/>
                <w:lang w:val="es-ES"/>
              </w:rPr>
            </w:pPr>
            <w:r>
              <w:rPr>
                <w:rFonts w:asciiTheme="minorHAnsi" w:hAnsiTheme="minorHAnsi"/>
                <w:color w:val="000000"/>
                <w:sz w:val="18"/>
                <w:lang w:val="es-ES"/>
              </w:rPr>
              <w:t>Dependencia del BASC-3</w:t>
            </w:r>
          </w:p>
        </w:tc>
        <w:tc>
          <w:tcPr>
            <w:tcW w:w="3632" w:type="dxa"/>
            <w:vAlign w:val="center"/>
          </w:tcPr>
          <w:p w14:paraId="0927F57E" w14:textId="77777777" w:rsidR="0084657E" w:rsidRPr="009C7A54" w:rsidRDefault="00000000" w:rsidP="00F872EA">
            <w:pPr>
              <w:spacing w:after="20"/>
              <w:jc w:val="both"/>
              <w:cnfStyle w:val="000000100000" w:firstRow="0" w:lastRow="0" w:firstColumn="0" w:lastColumn="0" w:oddVBand="0" w:evenVBand="0" w:oddHBand="1" w:evenHBand="0" w:firstRowFirstColumn="0" w:firstRowLastColumn="0" w:lastRowFirstColumn="0" w:lastRowLastColumn="0"/>
              <w:rPr>
                <w:rFonts w:asciiTheme="minorHAnsi" w:hAnsiTheme="minorHAnsi"/>
                <w:lang w:val="es-ES"/>
              </w:rPr>
            </w:pPr>
            <w:r>
              <w:rPr>
                <w:rFonts w:asciiTheme="minorHAnsi" w:hAnsiTheme="minorHAnsi"/>
                <w:color w:val="000000"/>
                <w:sz w:val="18"/>
                <w:lang w:val="es-ES"/>
              </w:rPr>
              <w:t>El modelo automatiza patrones ya presentes en escalas clínicas disponibles para el evaluador.</w:t>
            </w:r>
          </w:p>
        </w:tc>
        <w:tc>
          <w:tcPr>
            <w:tcW w:w="3916" w:type="dxa"/>
            <w:vAlign w:val="center"/>
          </w:tcPr>
          <w:p w14:paraId="5D019D4A" w14:textId="77777777" w:rsidR="0084657E" w:rsidRPr="009C7A54" w:rsidRDefault="00000000" w:rsidP="00F872EA">
            <w:pPr>
              <w:spacing w:after="20"/>
              <w:jc w:val="both"/>
              <w:cnfStyle w:val="000000100000" w:firstRow="0" w:lastRow="0" w:firstColumn="0" w:lastColumn="0" w:oddVBand="0" w:evenVBand="0" w:oddHBand="1" w:evenHBand="0" w:firstRowFirstColumn="0" w:firstRowLastColumn="0" w:lastRowFirstColumn="0" w:lastRowLastColumn="0"/>
              <w:rPr>
                <w:rFonts w:asciiTheme="minorHAnsi" w:hAnsiTheme="minorHAnsi"/>
                <w:lang w:val="es-ES"/>
              </w:rPr>
            </w:pPr>
            <w:r>
              <w:rPr>
                <w:rFonts w:asciiTheme="minorHAnsi" w:hAnsiTheme="minorHAnsi"/>
                <w:color w:val="000000"/>
                <w:sz w:val="18"/>
                <w:lang w:val="es-ES"/>
              </w:rPr>
              <w:t>Reportar el resultado como apoyo interno, no como sustituto diagnóstico ni como descubrimiento independiente.</w:t>
            </w:r>
          </w:p>
        </w:tc>
      </w:tr>
      <w:tr w:rsidR="0084657E" w:rsidRPr="009C7A54" w14:paraId="17379F8A" w14:textId="77777777" w:rsidTr="00757D52">
        <w:trPr>
          <w:jc w:val="center"/>
        </w:trPr>
        <w:tc>
          <w:tcPr>
            <w:cnfStyle w:val="001000000000" w:firstRow="0" w:lastRow="0" w:firstColumn="1" w:lastColumn="0" w:oddVBand="0" w:evenVBand="0" w:oddHBand="0" w:evenHBand="0" w:firstRowFirstColumn="0" w:firstRowLastColumn="0" w:lastRowFirstColumn="0" w:lastRowLastColumn="0"/>
            <w:tcW w:w="2532" w:type="dxa"/>
            <w:vAlign w:val="center"/>
          </w:tcPr>
          <w:p w14:paraId="5F9BA6D8" w14:textId="77777777" w:rsidR="0084657E" w:rsidRPr="00757D52" w:rsidRDefault="00000000" w:rsidP="00F872EA">
            <w:pPr>
              <w:spacing w:after="20"/>
              <w:jc w:val="both"/>
              <w:rPr>
                <w:rFonts w:asciiTheme="minorHAnsi" w:hAnsiTheme="minorHAnsi"/>
                <w:highlight w:val="yellow"/>
                <w:lang w:val="es-ES"/>
              </w:rPr>
            </w:pPr>
            <w:r>
              <w:rPr>
                <w:rFonts w:asciiTheme="minorHAnsi" w:hAnsiTheme="minorHAnsi"/>
                <w:color w:val="000000"/>
                <w:sz w:val="18"/>
                <w:highlight w:val="yellow"/>
                <w:lang w:val="es-ES"/>
              </w:rPr>
              <w:t>Muestra de un solo centro</w:t>
            </w:r>
          </w:p>
        </w:tc>
        <w:tc>
          <w:tcPr>
            <w:tcW w:w="3632" w:type="dxa"/>
            <w:vAlign w:val="center"/>
          </w:tcPr>
          <w:p w14:paraId="715C9DE8" w14:textId="77777777" w:rsidR="0084657E" w:rsidRPr="00757D52" w:rsidRDefault="00000000" w:rsidP="00F872EA">
            <w:pPr>
              <w:spacing w:after="20"/>
              <w:jc w:val="both"/>
              <w:cnfStyle w:val="000000000000" w:firstRow="0" w:lastRow="0" w:firstColumn="0" w:lastColumn="0" w:oddVBand="0" w:evenVBand="0" w:oddHBand="0" w:evenHBand="0" w:firstRowFirstColumn="0" w:firstRowLastColumn="0" w:lastRowFirstColumn="0" w:lastRowLastColumn="0"/>
              <w:rPr>
                <w:rFonts w:asciiTheme="minorHAnsi" w:hAnsiTheme="minorHAnsi"/>
                <w:highlight w:val="yellow"/>
                <w:lang w:val="es-ES"/>
              </w:rPr>
            </w:pPr>
            <w:r>
              <w:rPr>
                <w:rFonts w:asciiTheme="minorHAnsi" w:hAnsiTheme="minorHAnsi"/>
                <w:color w:val="000000"/>
                <w:sz w:val="18"/>
                <w:highlight w:val="yellow"/>
                <w:lang w:val="es-ES"/>
              </w:rPr>
              <w:t>La generalización a otros centros o protocolos no está demostrada.</w:t>
            </w:r>
          </w:p>
        </w:tc>
        <w:tc>
          <w:tcPr>
            <w:tcW w:w="3916" w:type="dxa"/>
            <w:vAlign w:val="center"/>
          </w:tcPr>
          <w:p w14:paraId="0922CDA3" w14:textId="77777777" w:rsidR="0084657E" w:rsidRPr="00757D52" w:rsidRDefault="00000000" w:rsidP="00F872EA">
            <w:pPr>
              <w:spacing w:after="20"/>
              <w:jc w:val="both"/>
              <w:cnfStyle w:val="000000000000" w:firstRow="0" w:lastRow="0" w:firstColumn="0" w:lastColumn="0" w:oddVBand="0" w:evenVBand="0" w:oddHBand="0" w:evenHBand="0" w:firstRowFirstColumn="0" w:firstRowLastColumn="0" w:lastRowFirstColumn="0" w:lastRowLastColumn="0"/>
              <w:rPr>
                <w:rFonts w:asciiTheme="minorHAnsi" w:hAnsiTheme="minorHAnsi"/>
                <w:highlight w:val="yellow"/>
                <w:lang w:val="es-ES"/>
              </w:rPr>
            </w:pPr>
            <w:r>
              <w:rPr>
                <w:rFonts w:asciiTheme="minorHAnsi" w:hAnsiTheme="minorHAnsi"/>
                <w:color w:val="000000"/>
                <w:sz w:val="18"/>
                <w:highlight w:val="yellow"/>
                <w:lang w:val="es-ES"/>
              </w:rPr>
              <w:t>Realizar validación externa con datos de otra institución o periodo.</w:t>
            </w:r>
          </w:p>
        </w:tc>
      </w:tr>
      <w:tr w:rsidR="0084657E" w:rsidRPr="009C7A54" w14:paraId="1F309DFC" w14:textId="77777777" w:rsidTr="00757D5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32" w:type="dxa"/>
            <w:vAlign w:val="center"/>
          </w:tcPr>
          <w:p w14:paraId="4BF022E3" w14:textId="77777777" w:rsidR="0084657E" w:rsidRPr="00757D52" w:rsidRDefault="00000000" w:rsidP="00F872EA">
            <w:pPr>
              <w:spacing w:after="20"/>
              <w:jc w:val="both"/>
              <w:rPr>
                <w:rFonts w:asciiTheme="minorHAnsi" w:hAnsiTheme="minorHAnsi"/>
                <w:highlight w:val="yellow"/>
                <w:lang w:val="es-ES"/>
              </w:rPr>
            </w:pPr>
            <w:r>
              <w:rPr>
                <w:rFonts w:asciiTheme="minorHAnsi" w:hAnsiTheme="minorHAnsi"/>
                <w:color w:val="000000"/>
                <w:sz w:val="18"/>
                <w:highlight w:val="yellow"/>
                <w:lang w:val="es-ES"/>
              </w:rPr>
              <w:t>Clases con bajo soporte</w:t>
            </w:r>
          </w:p>
        </w:tc>
        <w:tc>
          <w:tcPr>
            <w:tcW w:w="3632" w:type="dxa"/>
            <w:vAlign w:val="center"/>
          </w:tcPr>
          <w:p w14:paraId="56772951" w14:textId="77777777" w:rsidR="0084657E" w:rsidRPr="00757D52" w:rsidRDefault="00000000" w:rsidP="00F872EA">
            <w:pPr>
              <w:spacing w:after="20"/>
              <w:jc w:val="both"/>
              <w:cnfStyle w:val="000000100000" w:firstRow="0" w:lastRow="0" w:firstColumn="0" w:lastColumn="0" w:oddVBand="0" w:evenVBand="0" w:oddHBand="1" w:evenHBand="0" w:firstRowFirstColumn="0" w:firstRowLastColumn="0" w:lastRowFirstColumn="0" w:lastRowLastColumn="0"/>
              <w:rPr>
                <w:rFonts w:asciiTheme="minorHAnsi" w:hAnsiTheme="minorHAnsi"/>
                <w:highlight w:val="yellow"/>
                <w:lang w:val="es-ES"/>
              </w:rPr>
            </w:pPr>
            <w:r>
              <w:rPr>
                <w:rFonts w:asciiTheme="minorHAnsi" w:hAnsiTheme="minorHAnsi"/>
                <w:color w:val="000000"/>
                <w:sz w:val="18"/>
                <w:highlight w:val="yellow"/>
                <w:lang w:val="es-ES"/>
              </w:rPr>
              <w:t>Las métricas por clase son inestables cuando el número de casos de prueba es pequeño.</w:t>
            </w:r>
          </w:p>
        </w:tc>
        <w:tc>
          <w:tcPr>
            <w:tcW w:w="3916" w:type="dxa"/>
            <w:vAlign w:val="center"/>
          </w:tcPr>
          <w:p w14:paraId="3478F3E0" w14:textId="77777777" w:rsidR="0084657E" w:rsidRPr="00757D52" w:rsidRDefault="00000000" w:rsidP="00F872EA">
            <w:pPr>
              <w:spacing w:after="20"/>
              <w:jc w:val="both"/>
              <w:cnfStyle w:val="000000100000" w:firstRow="0" w:lastRow="0" w:firstColumn="0" w:lastColumn="0" w:oddVBand="0" w:evenVBand="0" w:oddHBand="1" w:evenHBand="0" w:firstRowFirstColumn="0" w:firstRowLastColumn="0" w:lastRowFirstColumn="0" w:lastRowLastColumn="0"/>
              <w:rPr>
                <w:rFonts w:asciiTheme="minorHAnsi" w:hAnsiTheme="minorHAnsi"/>
                <w:highlight w:val="yellow"/>
                <w:lang w:val="es-ES"/>
              </w:rPr>
            </w:pPr>
            <w:r>
              <w:rPr>
                <w:rFonts w:asciiTheme="minorHAnsi" w:hAnsiTheme="minorHAnsi"/>
                <w:color w:val="000000"/>
                <w:sz w:val="18"/>
                <w:highlight w:val="yellow"/>
                <w:lang w:val="es-ES"/>
              </w:rPr>
              <w:t>Complementar F1 por clase con intervalos de confianza o validación repetida.</w:t>
            </w:r>
          </w:p>
        </w:tc>
      </w:tr>
      <w:tr w:rsidR="0084657E" w:rsidRPr="009C7A54" w14:paraId="02B211DB" w14:textId="77777777" w:rsidTr="00757D52">
        <w:trPr>
          <w:jc w:val="center"/>
        </w:trPr>
        <w:tc>
          <w:tcPr>
            <w:cnfStyle w:val="001000000000" w:firstRow="0" w:lastRow="0" w:firstColumn="1" w:lastColumn="0" w:oddVBand="0" w:evenVBand="0" w:oddHBand="0" w:evenHBand="0" w:firstRowFirstColumn="0" w:firstRowLastColumn="0" w:lastRowFirstColumn="0" w:lastRowLastColumn="0"/>
            <w:tcW w:w="2532" w:type="dxa"/>
            <w:vAlign w:val="center"/>
          </w:tcPr>
          <w:p w14:paraId="3CD8DC30" w14:textId="77777777" w:rsidR="0084657E" w:rsidRPr="009C7A54" w:rsidRDefault="00000000" w:rsidP="00F872EA">
            <w:pPr>
              <w:spacing w:after="20"/>
              <w:jc w:val="both"/>
              <w:rPr>
                <w:rFonts w:asciiTheme="minorHAnsi" w:hAnsiTheme="minorHAnsi"/>
                <w:lang w:val="es-ES"/>
              </w:rPr>
            </w:pPr>
            <w:r>
              <w:rPr>
                <w:rFonts w:asciiTheme="minorHAnsi" w:hAnsiTheme="minorHAnsi"/>
                <w:color w:val="000000"/>
                <w:sz w:val="18"/>
                <w:lang w:val="es-ES"/>
              </w:rPr>
              <w:t>Variables excluidas por leakage</w:t>
            </w:r>
          </w:p>
        </w:tc>
        <w:tc>
          <w:tcPr>
            <w:tcW w:w="3632" w:type="dxa"/>
            <w:vAlign w:val="center"/>
          </w:tcPr>
          <w:p w14:paraId="6683EE35" w14:textId="77777777" w:rsidR="0084657E" w:rsidRPr="009C7A54" w:rsidRDefault="00000000" w:rsidP="00F872EA">
            <w:pPr>
              <w:spacing w:after="20"/>
              <w:jc w:val="both"/>
              <w:cnfStyle w:val="000000000000" w:firstRow="0" w:lastRow="0" w:firstColumn="0" w:lastColumn="0" w:oddVBand="0" w:evenVBand="0" w:oddHBand="0" w:evenHBand="0" w:firstRowFirstColumn="0" w:firstRowLastColumn="0" w:lastRowFirstColumn="0" w:lastRowLastColumn="0"/>
              <w:rPr>
                <w:rFonts w:asciiTheme="minorHAnsi" w:hAnsiTheme="minorHAnsi"/>
                <w:lang w:val="es-ES"/>
              </w:rPr>
            </w:pPr>
            <w:r>
              <w:rPr>
                <w:rFonts w:asciiTheme="minorHAnsi" w:hAnsiTheme="minorHAnsi"/>
                <w:color w:val="000000"/>
                <w:sz w:val="18"/>
                <w:lang w:val="es-ES"/>
              </w:rPr>
              <w:t>La exclusión es correcta, pero reduce el conjunto de señales disponibles.</w:t>
            </w:r>
          </w:p>
        </w:tc>
        <w:tc>
          <w:tcPr>
            <w:tcW w:w="3916" w:type="dxa"/>
            <w:vAlign w:val="center"/>
          </w:tcPr>
          <w:p w14:paraId="6E56601C" w14:textId="77777777" w:rsidR="0084657E" w:rsidRPr="009C7A54" w:rsidRDefault="00000000" w:rsidP="00F872EA">
            <w:pPr>
              <w:spacing w:after="20"/>
              <w:jc w:val="both"/>
              <w:cnfStyle w:val="000000000000" w:firstRow="0" w:lastRow="0" w:firstColumn="0" w:lastColumn="0" w:oddVBand="0" w:evenVBand="0" w:oddHBand="0" w:evenHBand="0" w:firstRowFirstColumn="0" w:firstRowLastColumn="0" w:lastRowFirstColumn="0" w:lastRowLastColumn="0"/>
              <w:rPr>
                <w:rFonts w:asciiTheme="minorHAnsi" w:hAnsiTheme="minorHAnsi"/>
                <w:lang w:val="es-ES"/>
              </w:rPr>
            </w:pPr>
            <w:r>
              <w:rPr>
                <w:rFonts w:asciiTheme="minorHAnsi" w:hAnsiTheme="minorHAnsi"/>
                <w:color w:val="000000"/>
                <w:sz w:val="18"/>
                <w:lang w:val="es-ES"/>
              </w:rPr>
              <w:t>Mantener dos escenarios: modelo sin leakage para evaluación metodológica y modelo clínico operacional claramente rotulado.</w:t>
            </w:r>
          </w:p>
        </w:tc>
      </w:tr>
    </w:tbl>
    <w:p w14:paraId="3BB5AF60" w14:textId="77777777" w:rsidR="005C685D" w:rsidRPr="009C7A54" w:rsidRDefault="005C685D" w:rsidP="00F872EA">
      <w:pPr>
        <w:jc w:val="both"/>
        <w:rPr>
          <w:rFonts w:asciiTheme="minorHAnsi" w:hAnsiTheme="minorHAnsi"/>
          <w:lang w:val="es-ES"/>
        </w:rPr>
      </w:pPr>
    </w:p>
    <w:sectPr w:rsidR="005C685D" w:rsidRPr="009C7A54" w:rsidSect="00034616">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C59B463" w14:textId="77777777" w:rsidR="000E2368" w:rsidRDefault="000E2368">
      <w:pPr>
        <w:spacing w:after="0" w:line="240" w:lineRule="auto"/>
      </w:pPr>
      <w:r>
        <w:separator/>
      </w:r>
    </w:p>
  </w:endnote>
  <w:endnote w:type="continuationSeparator" w:id="0">
    <w:p w14:paraId="688F371E" w14:textId="77777777" w:rsidR="000E2368" w:rsidRDefault="000E23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1A45E81" w14:textId="77777777" w:rsidR="000E2368" w:rsidRDefault="000E2368">
      <w:pPr>
        <w:spacing w:after="0" w:line="240" w:lineRule="auto"/>
      </w:pPr>
      <w:r>
        <w:separator/>
      </w:r>
    </w:p>
  </w:footnote>
  <w:footnote w:type="continuationSeparator" w:id="0">
    <w:p w14:paraId="0B1BBFE5" w14:textId="77777777" w:rsidR="000E2368" w:rsidRDefault="000E23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47D45F44"/>
    <w:multiLevelType w:val="hybridMultilevel"/>
    <w:tmpl w:val="06CABE20"/>
    <w:lvl w:ilvl="0" w:tplc="42145376">
      <w:start w:val="1"/>
      <w:numFmt w:val="bullet"/>
      <w:lvlText w:val="•"/>
      <w:lvlJc w:val="left"/>
      <w:pPr>
        <w:ind w:left="720" w:hanging="360"/>
      </w:pPr>
    </w:lvl>
    <w:lvl w:ilvl="1" w:tplc="6952C4AE">
      <w:start w:val="1"/>
      <w:numFmt w:val="bullet"/>
      <w:lvlText w:val="○"/>
      <w:lvlJc w:val="left"/>
      <w:pPr>
        <w:ind w:left="1080" w:hanging="360"/>
      </w:pPr>
    </w:lvl>
    <w:lvl w:ilvl="2" w:tplc="F8685866">
      <w:numFmt w:val="decimal"/>
      <w:lvlText w:val=""/>
      <w:lvlJc w:val="left"/>
    </w:lvl>
    <w:lvl w:ilvl="3" w:tplc="A3FEF8E8">
      <w:numFmt w:val="decimal"/>
      <w:lvlText w:val=""/>
      <w:lvlJc w:val="left"/>
    </w:lvl>
    <w:lvl w:ilvl="4" w:tplc="79B448FA">
      <w:numFmt w:val="decimal"/>
      <w:lvlText w:val=""/>
      <w:lvlJc w:val="left"/>
    </w:lvl>
    <w:lvl w:ilvl="5" w:tplc="35263FEC">
      <w:numFmt w:val="decimal"/>
      <w:lvlText w:val=""/>
      <w:lvlJc w:val="left"/>
    </w:lvl>
    <w:lvl w:ilvl="6" w:tplc="BAC824A6">
      <w:numFmt w:val="decimal"/>
      <w:lvlText w:val=""/>
      <w:lvlJc w:val="left"/>
    </w:lvl>
    <w:lvl w:ilvl="7" w:tplc="77D81FB6">
      <w:numFmt w:val="decimal"/>
      <w:lvlText w:val=""/>
      <w:lvlJc w:val="left"/>
    </w:lvl>
    <w:lvl w:ilvl="8" w:tplc="1518B67A">
      <w:numFmt w:val="decimal"/>
      <w:lvlText w:val=""/>
      <w:lvlJc w:val="left"/>
    </w:lvl>
  </w:abstractNum>
  <w:num w:numId="1" w16cid:durableId="1795635090">
    <w:abstractNumId w:val="8"/>
  </w:num>
  <w:num w:numId="2" w16cid:durableId="1628655582">
    <w:abstractNumId w:val="6"/>
  </w:num>
  <w:num w:numId="3" w16cid:durableId="1919746545">
    <w:abstractNumId w:val="5"/>
  </w:num>
  <w:num w:numId="4" w16cid:durableId="415202883">
    <w:abstractNumId w:val="4"/>
  </w:num>
  <w:num w:numId="5" w16cid:durableId="1449658596">
    <w:abstractNumId w:val="7"/>
  </w:num>
  <w:num w:numId="6" w16cid:durableId="854461869">
    <w:abstractNumId w:val="3"/>
  </w:num>
  <w:num w:numId="7" w16cid:durableId="875704645">
    <w:abstractNumId w:val="2"/>
  </w:num>
  <w:num w:numId="8" w16cid:durableId="605773063">
    <w:abstractNumId w:val="1"/>
  </w:num>
  <w:num w:numId="9" w16cid:durableId="153765493">
    <w:abstractNumId w:val="0"/>
  </w:num>
  <w:num w:numId="10" w16cid:durableId="1067340390">
    <w:abstractNumId w:val="9"/>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8"/>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2D78"/>
    <w:rsid w:val="0006063C"/>
    <w:rsid w:val="000A2030"/>
    <w:rsid w:val="000B5D83"/>
    <w:rsid w:val="000C21FD"/>
    <w:rsid w:val="000C37B8"/>
    <w:rsid w:val="000E2368"/>
    <w:rsid w:val="00147524"/>
    <w:rsid w:val="0015074B"/>
    <w:rsid w:val="00157BBC"/>
    <w:rsid w:val="002202FC"/>
    <w:rsid w:val="0023061F"/>
    <w:rsid w:val="0029639D"/>
    <w:rsid w:val="002A0DC6"/>
    <w:rsid w:val="002E397F"/>
    <w:rsid w:val="00326F90"/>
    <w:rsid w:val="00396F4C"/>
    <w:rsid w:val="004A57AB"/>
    <w:rsid w:val="005C685D"/>
    <w:rsid w:val="005D0FE1"/>
    <w:rsid w:val="006635D7"/>
    <w:rsid w:val="0066674A"/>
    <w:rsid w:val="006B6882"/>
    <w:rsid w:val="006D189A"/>
    <w:rsid w:val="006D61D7"/>
    <w:rsid w:val="00730E76"/>
    <w:rsid w:val="00757D52"/>
    <w:rsid w:val="0084657E"/>
    <w:rsid w:val="00850870"/>
    <w:rsid w:val="008F0388"/>
    <w:rsid w:val="009C7A54"/>
    <w:rsid w:val="009D77C9"/>
    <w:rsid w:val="00AA1D8D"/>
    <w:rsid w:val="00B411FB"/>
    <w:rsid w:val="00B460C3"/>
    <w:rsid w:val="00B47730"/>
    <w:rsid w:val="00B6494C"/>
    <w:rsid w:val="00B64D52"/>
    <w:rsid w:val="00B9125B"/>
    <w:rsid w:val="00C11CD9"/>
    <w:rsid w:val="00CB0664"/>
    <w:rsid w:val="00CF1030"/>
    <w:rsid w:val="00D256A1"/>
    <w:rsid w:val="00D333E7"/>
    <w:rsid w:val="00DA0709"/>
    <w:rsid w:val="00E3207C"/>
    <w:rsid w:val="00E3376C"/>
    <w:rsid w:val="00E51D9B"/>
    <w:rsid w:val="00E57A97"/>
    <w:rsid w:val="00E836FD"/>
    <w:rsid w:val="00EC0545"/>
    <w:rsid w:val="00EE3B34"/>
    <w:rsid w:val="00F30C4F"/>
    <w:rsid w:val="00F75097"/>
    <w:rsid w:val="00F872EA"/>
    <w:rsid w:val="00FC693F"/>
    <w:rsid w:val="00FD5D0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4BF4CE"/>
  <w14:defaultImageDpi w14:val="300"/>
  <w15:docId w15:val="{2309E25A-DA1B-8145-BA5A-B2C397829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eastAsia="Aptos" w:hAnsi="Aptos"/>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5"/>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unhideWhenUsed/>
    <w:qFormat/>
    <w:rsid w:val="00FC693F"/>
    <w:pPr>
      <w:spacing w:line="240" w:lineRule="auto"/>
    </w:pPr>
    <w:rPr>
      <w:b/>
      <w:bCs/>
      <w:i/>
      <w:color w:val="595959"/>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23061F"/>
    <w:pPr>
      <w:spacing w:before="100" w:beforeAutospacing="1" w:afterAutospacing="1" w:line="240" w:lineRule="auto"/>
    </w:pPr>
    <w:rPr>
      <w:rFonts w:ascii="Times New Roman" w:eastAsia="Times New Roman" w:hAnsi="Times New Roman" w:cs="Times New Roman"/>
      <w:sz w:val="24"/>
      <w:szCs w:val="24"/>
      <w:lang w:val="es-CO" w:eastAsia="es-MX"/>
    </w:rPr>
  </w:style>
  <w:style w:type="paragraph" w:customStyle="1" w:styleId="p1">
    <w:name w:val="p1"/>
    <w:basedOn w:val="Normal"/>
    <w:rsid w:val="00E3207C"/>
    <w:pPr>
      <w:spacing w:before="100" w:beforeAutospacing="1" w:afterAutospacing="1" w:line="240" w:lineRule="auto"/>
    </w:pPr>
    <w:rPr>
      <w:rFonts w:ascii="Times New Roman" w:eastAsia="Times New Roman" w:hAnsi="Times New Roman" w:cs="Times New Roman"/>
      <w:sz w:val="24"/>
      <w:szCs w:val="24"/>
      <w:lang w:val="es-CO" w:eastAsia="es-MX"/>
    </w:rPr>
  </w:style>
  <w:style w:type="character" w:styleId="CdigoHTML">
    <w:name w:val="HTML Code"/>
    <w:basedOn w:val="Fuentedeprrafopredeter"/>
    <w:uiPriority w:val="99"/>
    <w:semiHidden/>
    <w:unhideWhenUsed/>
    <w:rsid w:val="00E3207C"/>
    <w:rPr>
      <w:rFonts w:ascii="Courier New" w:eastAsia="Times New Roman" w:hAnsi="Courier New" w:cs="Courier New"/>
      <w:sz w:val="20"/>
      <w:szCs w:val="20"/>
    </w:rPr>
  </w:style>
  <w:style w:type="paragraph" w:customStyle="1" w:styleId="p2">
    <w:name w:val="p2"/>
    <w:basedOn w:val="Normal"/>
    <w:rsid w:val="00E3207C"/>
    <w:pPr>
      <w:spacing w:before="100" w:beforeAutospacing="1" w:afterAutospacing="1" w:line="240" w:lineRule="auto"/>
    </w:pPr>
    <w:rPr>
      <w:rFonts w:ascii="Times New Roman" w:eastAsia="Times New Roman" w:hAnsi="Times New Roman" w:cs="Times New Roman"/>
      <w:sz w:val="24"/>
      <w:szCs w:val="24"/>
      <w:lang w:val="es-CO" w:eastAsia="es-MX"/>
    </w:rPr>
  </w:style>
  <w:style w:type="character" w:customStyle="1" w:styleId="s1">
    <w:name w:val="s1"/>
    <w:basedOn w:val="Fuentedeprrafopredeter"/>
    <w:rsid w:val="00E320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2724</Words>
  <Characters>14984</Characters>
  <Application>Microsoft Office Word</Application>
  <DocSecurity>0</DocSecurity>
  <Lines>124</Lines>
  <Paragraphs>35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17673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Juan Pablo Ospina Lopez</cp:lastModifiedBy>
  <cp:revision>3</cp:revision>
  <dcterms:created xsi:type="dcterms:W3CDTF">2026-05-21T03:51:00Z</dcterms:created>
  <dcterms:modified xsi:type="dcterms:W3CDTF">2026-10-28T19:44:00Z</dcterms:modified>
  <cp:category/>
</cp:coreProperties>
</file>